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A62EE">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14:paraId="1AC6EB2A">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14:paraId="4D91547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14:paraId="2407382C">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机构设置情况</w:t>
      </w:r>
    </w:p>
    <w:p w14:paraId="0117A5C8">
      <w:pPr>
        <w:widowControl/>
        <w:spacing w:line="600" w:lineRule="exact"/>
        <w:ind w:firstLine="627" w:firstLineChars="196"/>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我局是一个正科级财政预算行政单位，根据编委办核定，我单位内设科室23个，所属单位 3个，全部纳入202</w:t>
      </w: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年部门预算编制范围。</w:t>
      </w:r>
    </w:p>
    <w:p w14:paraId="479C8F9E">
      <w:pPr>
        <w:widowControl/>
        <w:spacing w:line="600" w:lineRule="exact"/>
        <w:ind w:firstLine="627" w:firstLineChars="196"/>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内设</w:t>
      </w:r>
      <w:r>
        <w:rPr>
          <w:rFonts w:hint="eastAsia" w:ascii="仿宋" w:hAnsi="仿宋" w:eastAsia="仿宋" w:cs="仿宋"/>
          <w:color w:val="333333"/>
          <w:kern w:val="0"/>
          <w:sz w:val="32"/>
          <w:szCs w:val="32"/>
          <w:shd w:val="clear" w:color="auto" w:fill="FFFFFF"/>
          <w:lang w:eastAsia="zh-CN"/>
        </w:rPr>
        <w:t>股</w:t>
      </w:r>
      <w:r>
        <w:rPr>
          <w:rFonts w:hint="eastAsia" w:ascii="仿宋" w:hAnsi="仿宋" w:eastAsia="仿宋" w:cs="仿宋"/>
          <w:color w:val="333333"/>
          <w:kern w:val="0"/>
          <w:sz w:val="32"/>
          <w:szCs w:val="32"/>
          <w:shd w:val="clear" w:color="auto" w:fill="FFFFFF"/>
        </w:rPr>
        <w:t>室分别是：办公室、人事教育股、财务股、综合股（县津贴补贴工作办公室）、财政监督股、税政法规股、预算股、国库股、行政政法股、教科文股、经济建设股、农业农村股、企业股、金融股（对外经济贸易股、县政府投融资管理办公室、县政府和社会资本合作（PPP）办公室）、政府债务股、社会保障股、乡镇财政管理股（县农村综合改革办公室）、会计管理股、资产管理股（县清产核资办公室）、绩效管理股、政府采购股、信息管理股、工资统发中心。纪检（监察）机构按规定设置。</w:t>
      </w:r>
    </w:p>
    <w:p w14:paraId="4D35F680">
      <w:pPr>
        <w:pStyle w:val="2"/>
        <w:ind w:firstLine="640"/>
        <w:rPr>
          <w:rFonts w:hint="eastAsia" w:ascii="仿宋" w:hAnsi="仿宋" w:eastAsia="仿宋" w:cs="仿宋"/>
          <w:color w:val="333333"/>
          <w:kern w:val="0"/>
          <w:szCs w:val="32"/>
          <w:shd w:val="clear" w:color="auto" w:fill="FFFFFF"/>
        </w:rPr>
      </w:pPr>
      <w:r>
        <w:rPr>
          <w:rFonts w:hint="eastAsia" w:ascii="仿宋" w:hAnsi="仿宋" w:eastAsia="仿宋" w:cs="仿宋"/>
          <w:color w:val="333333"/>
          <w:kern w:val="0"/>
          <w:szCs w:val="32"/>
          <w:shd w:val="clear" w:color="auto" w:fill="FFFFFF"/>
        </w:rPr>
        <w:t xml:space="preserve">所属单位分别是: </w:t>
      </w:r>
      <w:r>
        <w:rPr>
          <w:rFonts w:hint="eastAsia" w:ascii="仿宋" w:hAnsi="仿宋" w:eastAsia="仿宋" w:cs="仿宋"/>
          <w:color w:val="333333"/>
          <w:kern w:val="0"/>
          <w:szCs w:val="32"/>
          <w:shd w:val="clear" w:color="auto" w:fill="FFFFFF"/>
          <w:lang w:eastAsia="zh-CN"/>
        </w:rPr>
        <w:t>县</w:t>
      </w:r>
      <w:r>
        <w:rPr>
          <w:rFonts w:hint="eastAsia" w:ascii="仿宋" w:hAnsi="仿宋" w:eastAsia="仿宋" w:cs="仿宋"/>
          <w:color w:val="333333"/>
          <w:kern w:val="0"/>
          <w:szCs w:val="32"/>
          <w:shd w:val="clear" w:color="auto" w:fill="FFFFFF"/>
        </w:rPr>
        <w:t>财政事务中心、</w:t>
      </w:r>
      <w:r>
        <w:rPr>
          <w:rFonts w:hint="eastAsia" w:ascii="仿宋" w:hAnsi="仿宋" w:eastAsia="仿宋" w:cs="仿宋"/>
          <w:color w:val="333333"/>
          <w:kern w:val="0"/>
          <w:szCs w:val="32"/>
          <w:shd w:val="clear" w:color="auto" w:fill="FFFFFF"/>
          <w:lang w:eastAsia="zh-CN"/>
        </w:rPr>
        <w:t>县</w:t>
      </w:r>
      <w:r>
        <w:rPr>
          <w:rFonts w:hint="eastAsia" w:ascii="仿宋" w:hAnsi="仿宋" w:eastAsia="仿宋" w:cs="仿宋"/>
          <w:color w:val="333333"/>
          <w:kern w:val="0"/>
          <w:szCs w:val="32"/>
          <w:shd w:val="clear" w:color="auto" w:fill="FFFFFF"/>
        </w:rPr>
        <w:t>投资评审事务中心及</w:t>
      </w:r>
      <w:r>
        <w:rPr>
          <w:rFonts w:hint="eastAsia" w:ascii="仿宋" w:hAnsi="仿宋" w:eastAsia="仿宋" w:cs="仿宋"/>
          <w:color w:val="333333"/>
          <w:kern w:val="0"/>
          <w:szCs w:val="32"/>
          <w:shd w:val="clear" w:color="auto" w:fill="FFFFFF"/>
          <w:lang w:eastAsia="zh-CN"/>
        </w:rPr>
        <w:t>县</w:t>
      </w:r>
      <w:r>
        <w:rPr>
          <w:rFonts w:hint="eastAsia" w:ascii="仿宋" w:hAnsi="仿宋" w:eastAsia="仿宋" w:cs="仿宋"/>
          <w:color w:val="333333"/>
          <w:kern w:val="0"/>
          <w:szCs w:val="32"/>
          <w:shd w:val="clear" w:color="auto" w:fill="FFFFFF"/>
        </w:rPr>
        <w:t>预算编审中心三个公益类二极机构。</w:t>
      </w:r>
    </w:p>
    <w:p w14:paraId="0FAACED9">
      <w:pPr>
        <w:pStyle w:val="2"/>
        <w:ind w:firstLine="640"/>
        <w:rPr>
          <w:rFonts w:hint="default" w:ascii="仿宋" w:hAnsi="仿宋" w:eastAsia="仿宋" w:cs="仿宋"/>
          <w:color w:val="333333"/>
          <w:kern w:val="0"/>
          <w:szCs w:val="32"/>
          <w:shd w:val="clear" w:color="auto" w:fill="FFFFFF"/>
          <w:lang w:val="en-US" w:eastAsia="zh-CN"/>
        </w:rPr>
      </w:pPr>
      <w:r>
        <w:rPr>
          <w:rFonts w:hint="eastAsia" w:ascii="仿宋" w:hAnsi="仿宋" w:eastAsia="仿宋" w:cs="仿宋"/>
          <w:color w:val="333333"/>
          <w:kern w:val="0"/>
          <w:szCs w:val="32"/>
          <w:shd w:val="clear" w:color="auto" w:fill="FFFFFF"/>
          <w:lang w:eastAsia="zh-CN"/>
        </w:rPr>
        <w:t>人员编制情况：编制数</w:t>
      </w:r>
      <w:r>
        <w:rPr>
          <w:rFonts w:hint="eastAsia" w:ascii="仿宋" w:hAnsi="仿宋" w:eastAsia="仿宋" w:cs="仿宋"/>
          <w:color w:val="333333"/>
          <w:kern w:val="0"/>
          <w:szCs w:val="32"/>
          <w:shd w:val="clear" w:color="auto" w:fill="FFFFFF"/>
          <w:lang w:val="en-US" w:eastAsia="zh-CN"/>
        </w:rPr>
        <w:t>95人，2023年底实际在职98人。</w:t>
      </w:r>
    </w:p>
    <w:p w14:paraId="12763B1D">
      <w:pPr>
        <w:spacing w:line="560"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kern w:val="0"/>
          <w:sz w:val="32"/>
          <w:szCs w:val="32"/>
          <w:shd w:val="clear" w:color="auto" w:fill="FFFFFF"/>
        </w:rPr>
        <w:t>主要职能职责是：</w:t>
      </w:r>
      <w:r>
        <w:rPr>
          <w:rFonts w:hint="eastAsia" w:ascii="仿宋" w:hAnsi="仿宋" w:eastAsia="仿宋" w:cs="仿宋"/>
          <w:color w:val="333333"/>
          <w:sz w:val="32"/>
          <w:szCs w:val="32"/>
          <w:shd w:val="clear" w:color="auto" w:fill="FFFFFF"/>
        </w:rPr>
        <w:t>1.组织贯彻执行国家财税方针政策，拟订和执行全县财政政策、财税改革方案，指导全县财政工作；分析预测宏观经济形势，参与制定各项宏观经济政策；提出运用财税政策实施宏观调控和综合平衡社会财力的建议；拟订和执行县与乡镇、政府与企业的分配政策，完善鼓励公益事业发展的财税政策。</w:t>
      </w:r>
    </w:p>
    <w:p w14:paraId="2AA2F478">
      <w:pPr>
        <w:pStyle w:val="8"/>
        <w:keepNext w:val="0"/>
        <w:keepLines w:val="0"/>
        <w:pageBreakBefore w:val="0"/>
        <w:widowControl w:val="0"/>
        <w:kinsoku/>
        <w:wordWrap/>
        <w:overflowPunct/>
        <w:topLinePunct w:val="0"/>
        <w:autoSpaceDE/>
        <w:autoSpaceDN/>
        <w:bidi w:val="0"/>
        <w:adjustRightInd/>
        <w:spacing w:line="560" w:lineRule="exact"/>
        <w:ind w:firstLine="579" w:firstLineChars="181"/>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2.制定和执行财政、财务、会计管理的制度及办法，参与涉外财政、债务等国际谈判并签订有关协议、协定。</w:t>
      </w:r>
    </w:p>
    <w:p w14:paraId="3DC7BC16">
      <w:pPr>
        <w:pStyle w:val="8"/>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3.负责县本级各项财政收支管理。编制年度县本级预决算草案并组织执行。代编全县财政收支预算，汇总全县财政总决算；受县人民政府委托，向县人民代表大会报告县本级、全县预算及其执行情况，向县人大常委会报告决算。组织制定县本级经费开支标准、定额，审核批复部门（单位）年度预决算。完善转移支付制度，做好财政省直管县财政体制改革有关工作。</w:t>
      </w:r>
    </w:p>
    <w:p w14:paraId="3011CF30">
      <w:pPr>
        <w:pStyle w:val="8"/>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4.组织制定政府非税收入管理制度。负责政府性基金管理，按规定管理行政事业性收费。管理财政票据。制定彩票监督管理政策和有关办法，管理彩票市场，会同有关部门监督和管理彩票公益金，管理其他彩票资金。</w:t>
      </w:r>
    </w:p>
    <w:p w14:paraId="422EB8C1">
      <w:pPr>
        <w:pStyle w:val="8"/>
        <w:keepNext w:val="0"/>
        <w:keepLines w:val="0"/>
        <w:pageBreakBefore w:val="0"/>
        <w:widowControl w:val="0"/>
        <w:kinsoku/>
        <w:wordWrap/>
        <w:overflowPunct/>
        <w:topLinePunct w:val="0"/>
        <w:autoSpaceDE/>
        <w:autoSpaceDN/>
        <w:bidi w:val="0"/>
        <w:adjustRightInd/>
        <w:spacing w:line="560" w:lineRule="exact"/>
        <w:ind w:firstLine="579" w:firstLineChars="181"/>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5.组织制定国库管理制度、国库集中收付制度，指导和监督县本级国库业务，按规定开展国库现金管理工作。制定和执行财政投资评审制度，负责财政投资评审工作。负责制定政府采购制度并监督管理。</w:t>
      </w:r>
    </w:p>
    <w:p w14:paraId="2FBE8734">
      <w:pPr>
        <w:pStyle w:val="8"/>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6.贯彻执行国家税收法律、行政法规和税收调整政策，反馈政策执行情况，提出调整建议。</w:t>
      </w:r>
    </w:p>
    <w:p w14:paraId="13752D2F">
      <w:pPr>
        <w:pStyle w:val="8"/>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7.负责制定全县行政事业单位国有资产管理规章制度，会同有关部门管理县本级行政事业单位国有资产，制定需要全县统一规定的开支标准和支出政策，负责财政预算内行政、事业单位和社会团体的非贸易外汇管理。</w:t>
      </w:r>
    </w:p>
    <w:p w14:paraId="55833312">
      <w:pPr>
        <w:pStyle w:val="8"/>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8.负责审核和汇总编制全县国有资本经营预决算草案，制定国有资本经营预算的制度和办法，收取县本级企业国有资本收益，组织实施企业财务制度，参与拟订企业国有资产管理相关制度，负责县级国有宣传文化、金融类企业的国有资产管理，按规定管理资产评估工作。</w:t>
      </w:r>
    </w:p>
    <w:p w14:paraId="39858DC3">
      <w:pPr>
        <w:pStyle w:val="8"/>
        <w:keepNext w:val="0"/>
        <w:keepLines w:val="0"/>
        <w:pageBreakBefore w:val="0"/>
        <w:widowControl w:val="0"/>
        <w:kinsoku/>
        <w:wordWrap/>
        <w:overflowPunct/>
        <w:topLinePunct w:val="0"/>
        <w:autoSpaceDE/>
        <w:autoSpaceDN/>
        <w:bidi w:val="0"/>
        <w:adjustRightInd/>
        <w:spacing w:line="560" w:lineRule="exact"/>
        <w:ind w:firstLine="42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9.负责办理和监督县财政的经济发展支出、县级政府性投资项目的财政拨款，参与拟订县建设投资有关政策，组织实施基本建设财务制度，负责有关政策性补贴和专项储备资金财政管理工作。负责农业综合开发管理工作。</w:t>
      </w:r>
    </w:p>
    <w:p w14:paraId="2D79B3AD">
      <w:pPr>
        <w:pStyle w:val="8"/>
        <w:keepNext w:val="0"/>
        <w:keepLines w:val="0"/>
        <w:pageBreakBefore w:val="0"/>
        <w:widowControl w:val="0"/>
        <w:kinsoku/>
        <w:wordWrap/>
        <w:overflowPunct/>
        <w:topLinePunct w:val="0"/>
        <w:autoSpaceDE/>
        <w:autoSpaceDN/>
        <w:bidi w:val="0"/>
        <w:adjustRightInd/>
        <w:spacing w:line="560" w:lineRule="exact"/>
        <w:ind w:firstLine="42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10.会同有关部门管理县财政社会保障和就业及医疗卫生支出，组织实施社会保障资金（基金）财务管理制度，编制县社会保障预决算草案。</w:t>
      </w:r>
    </w:p>
    <w:p w14:paraId="177F16B1">
      <w:pPr>
        <w:pStyle w:val="8"/>
        <w:keepNext w:val="0"/>
        <w:keepLines w:val="0"/>
        <w:pageBreakBefore w:val="0"/>
        <w:widowControl w:val="0"/>
        <w:kinsoku/>
        <w:wordWrap/>
        <w:overflowPunct/>
        <w:topLinePunct w:val="0"/>
        <w:autoSpaceDE/>
        <w:autoSpaceDN/>
        <w:bidi w:val="0"/>
        <w:adjustRightInd/>
        <w:spacing w:line="560" w:lineRule="exact"/>
        <w:ind w:firstLine="579" w:firstLineChars="181"/>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11.贯彻执行政府内外债务管理的政策、制度和办法，防范财政风险。负责统一管理县政府外债，制定基本管理制度。按规定管理外国政府和国际金融组织贷（赠）款。承担财税领域交流与合作的具体工作。承担地方政府债务核查、监督等相关职责。</w:t>
      </w:r>
    </w:p>
    <w:p w14:paraId="42E3FA79">
      <w:pPr>
        <w:pStyle w:val="8"/>
        <w:keepNext w:val="0"/>
        <w:keepLines w:val="0"/>
        <w:pageBreakBefore w:val="0"/>
        <w:widowControl w:val="0"/>
        <w:kinsoku/>
        <w:wordWrap/>
        <w:overflowPunct/>
        <w:topLinePunct w:val="0"/>
        <w:autoSpaceDE/>
        <w:autoSpaceDN/>
        <w:bidi w:val="0"/>
        <w:adjustRightInd/>
        <w:spacing w:line="560" w:lineRule="exact"/>
        <w:ind w:firstLine="736" w:firstLineChars="23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12.负责管理全县的会计工作，监督和规范会计行为，组织实施国家统一的会计制度，组织实施会计行政法规规章，指导和监督注册会计师和会计师事务所的业务，指导和管理社会审计。</w:t>
      </w:r>
    </w:p>
    <w:p w14:paraId="131399D7">
      <w:pPr>
        <w:pStyle w:val="8"/>
        <w:keepNext w:val="0"/>
        <w:keepLines w:val="0"/>
        <w:pageBreakBefore w:val="0"/>
        <w:widowControl w:val="0"/>
        <w:kinsoku/>
        <w:wordWrap/>
        <w:overflowPunct/>
        <w:topLinePunct w:val="0"/>
        <w:autoSpaceDE/>
        <w:autoSpaceDN/>
        <w:bidi w:val="0"/>
        <w:adjustRightInd/>
        <w:spacing w:line="560" w:lineRule="exact"/>
        <w:ind w:firstLine="896" w:firstLineChars="28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13.监督检查财税法规、政策的执行情况，反映财政收支管理中的重大问题，提出加强财政管理的政策和建议。</w:t>
      </w:r>
    </w:p>
    <w:p w14:paraId="4E216B0B">
      <w:pPr>
        <w:pStyle w:val="8"/>
        <w:keepNext w:val="0"/>
        <w:keepLines w:val="0"/>
        <w:pageBreakBefore w:val="0"/>
        <w:widowControl w:val="0"/>
        <w:kinsoku/>
        <w:wordWrap/>
        <w:overflowPunct/>
        <w:topLinePunct w:val="0"/>
        <w:autoSpaceDE/>
        <w:autoSpaceDN/>
        <w:bidi w:val="0"/>
        <w:adjustRightInd/>
        <w:spacing w:line="560" w:lineRule="exact"/>
        <w:ind w:firstLine="960" w:firstLineChars="3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14.负责指导乡镇财政管理工作。</w:t>
      </w:r>
    </w:p>
    <w:p w14:paraId="5415D663">
      <w:pPr>
        <w:pStyle w:val="8"/>
        <w:keepNext w:val="0"/>
        <w:keepLines w:val="0"/>
        <w:pageBreakBefore w:val="0"/>
        <w:widowControl w:val="0"/>
        <w:kinsoku/>
        <w:wordWrap/>
        <w:overflowPunct/>
        <w:topLinePunct w:val="0"/>
        <w:autoSpaceDE/>
        <w:autoSpaceDN/>
        <w:bidi w:val="0"/>
        <w:adjustRightInd/>
        <w:spacing w:line="560" w:lineRule="exact"/>
        <w:ind w:firstLine="960" w:firstLineChars="300"/>
        <w:textAlignment w:val="auto"/>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15.负责全面实施预算绩效管理相关工作。</w:t>
      </w:r>
    </w:p>
    <w:p w14:paraId="680E1502">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textAlignment w:val="auto"/>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16.负责牵头拟订政府购买服务政策并组织实施。</w:t>
      </w:r>
    </w:p>
    <w:p w14:paraId="722CB459">
      <w:pPr>
        <w:keepNext w:val="0"/>
        <w:keepLines w:val="0"/>
        <w:pageBreakBefore w:val="0"/>
        <w:widowControl w:val="0"/>
        <w:kinsoku/>
        <w:wordWrap/>
        <w:overflowPunct/>
        <w:topLinePunct w:val="0"/>
        <w:autoSpaceDE/>
        <w:autoSpaceDN/>
        <w:bidi w:val="0"/>
        <w:adjustRightInd/>
        <w:snapToGrid w:val="0"/>
        <w:spacing w:line="560" w:lineRule="exact"/>
        <w:ind w:left="958" w:leftChars="380" w:hanging="160" w:hangingChars="50"/>
        <w:jc w:val="left"/>
        <w:textAlignment w:val="auto"/>
      </w:pPr>
      <w:r>
        <w:rPr>
          <w:rFonts w:hint="eastAsia" w:ascii="仿宋" w:hAnsi="仿宋" w:eastAsia="仿宋" w:cs="仿宋"/>
          <w:color w:val="333333"/>
          <w:kern w:val="0"/>
          <w:sz w:val="32"/>
          <w:szCs w:val="32"/>
          <w:shd w:val="clear" w:color="auto" w:fill="FFFFFF"/>
        </w:rPr>
        <w:t>17.承办县人民政府交办的其他事项。</w:t>
      </w:r>
    </w:p>
    <w:p w14:paraId="7364FB81">
      <w:pPr>
        <w:spacing w:line="56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eastAsia="zh-CN"/>
        </w:rPr>
        <w:t>：</w:t>
      </w:r>
      <w:r>
        <w:rPr>
          <w:rFonts w:hint="eastAsia" w:ascii="仿宋" w:hAnsi="仿宋" w:eastAsia="仿宋" w:cs="仿宋"/>
          <w:color w:val="333333"/>
          <w:kern w:val="0"/>
          <w:sz w:val="32"/>
          <w:szCs w:val="32"/>
          <w:shd w:val="clear" w:color="auto" w:fill="FFFFFF"/>
        </w:rPr>
        <w:t>1.加大财源建设投入；2.支持全县产业发展；3.</w:t>
      </w:r>
      <w:r>
        <w:rPr>
          <w:rFonts w:ascii="仿宋" w:hAnsi="仿宋" w:eastAsia="仿宋" w:cs="仿宋"/>
          <w:color w:val="333333"/>
          <w:kern w:val="0"/>
          <w:sz w:val="32"/>
          <w:szCs w:val="32"/>
          <w:shd w:val="clear" w:color="auto" w:fill="FFFFFF"/>
        </w:rPr>
        <w:t>做大做强实体经济</w:t>
      </w:r>
      <w:r>
        <w:rPr>
          <w:rFonts w:hint="eastAsia" w:ascii="仿宋" w:hAnsi="仿宋" w:eastAsia="仿宋" w:cs="仿宋"/>
          <w:color w:val="333333"/>
          <w:kern w:val="0"/>
          <w:sz w:val="32"/>
          <w:szCs w:val="32"/>
          <w:shd w:val="clear" w:color="auto" w:fill="FFFFFF"/>
        </w:rPr>
        <w:t>；4.防范化解债务风险有序推进；5.精准脱贫攻坚资金整合有力；6.污染防治攻坚支持力度加大；7.预算管理日趋规范；8.存量资金有效盘活；9.财政评审效益明显; 10.“互联网+监督”持续推进；11.惠农补贴发放规范，惠农减负落实到位；12.政府采购监管有力；13.支付改革提质扩面；14.驻村帮扶成效显著；15.新政府会计制度顺利实施。</w:t>
      </w:r>
    </w:p>
    <w:p w14:paraId="531D905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绩效目标设定情况：组织贯彻执行国家财税方针政策，拟定和执行全县财政政策，财税改革方案，指导全县财政工作，负责县本级各项财政收支管理，编制年度县本级预决算草案并组织执行。</w:t>
      </w:r>
    </w:p>
    <w:p w14:paraId="161C9866">
      <w:pPr>
        <w:pStyle w:val="2"/>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）部门整体支出情况</w:t>
      </w:r>
    </w:p>
    <w:p w14:paraId="77481B98">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支出决算：我局202</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年度支出决算</w:t>
      </w:r>
      <w:r>
        <w:rPr>
          <w:rFonts w:hint="eastAsia" w:ascii="仿宋" w:hAnsi="仿宋" w:eastAsia="仿宋" w:cs="仿宋"/>
          <w:kern w:val="0"/>
          <w:sz w:val="32"/>
          <w:szCs w:val="32"/>
          <w:shd w:val="clear" w:color="auto" w:fill="FFFFFF"/>
          <w:lang w:val="en-US" w:eastAsia="zh-CN"/>
        </w:rPr>
        <w:t>2514.56</w:t>
      </w:r>
      <w:r>
        <w:rPr>
          <w:rFonts w:hint="eastAsia" w:ascii="仿宋" w:hAnsi="仿宋" w:eastAsia="仿宋" w:cs="仿宋"/>
          <w:kern w:val="0"/>
          <w:sz w:val="32"/>
          <w:szCs w:val="32"/>
          <w:shd w:val="clear" w:color="auto" w:fill="FFFFFF"/>
        </w:rPr>
        <w:t>万元，其中：基本支出</w:t>
      </w:r>
      <w:r>
        <w:rPr>
          <w:rFonts w:hint="eastAsia" w:ascii="仿宋" w:hAnsi="仿宋" w:eastAsia="仿宋" w:cs="仿宋"/>
          <w:kern w:val="0"/>
          <w:sz w:val="32"/>
          <w:szCs w:val="32"/>
          <w:shd w:val="clear" w:color="auto" w:fill="FFFFFF"/>
          <w:lang w:val="en-US" w:eastAsia="zh-CN"/>
        </w:rPr>
        <w:t>2514.56</w:t>
      </w:r>
      <w:r>
        <w:rPr>
          <w:rFonts w:hint="eastAsia" w:ascii="仿宋" w:hAnsi="仿宋" w:eastAsia="仿宋" w:cs="仿宋"/>
          <w:kern w:val="0"/>
          <w:sz w:val="32"/>
          <w:szCs w:val="32"/>
          <w:shd w:val="clear" w:color="auto" w:fill="FFFFFF"/>
        </w:rPr>
        <w:t>万元（三公经费支出</w:t>
      </w:r>
      <w:r>
        <w:rPr>
          <w:rFonts w:hint="eastAsia" w:ascii="仿宋" w:hAnsi="仿宋" w:eastAsia="仿宋" w:cs="仿宋"/>
          <w:kern w:val="0"/>
          <w:sz w:val="32"/>
          <w:szCs w:val="32"/>
          <w:shd w:val="clear" w:color="auto" w:fill="FFFFFF"/>
          <w:lang w:val="en-US" w:eastAsia="zh-CN"/>
        </w:rPr>
        <w:t>1.09</w:t>
      </w:r>
      <w:r>
        <w:rPr>
          <w:rFonts w:hint="eastAsia" w:ascii="仿宋" w:hAnsi="仿宋" w:eastAsia="仿宋" w:cs="仿宋"/>
          <w:kern w:val="0"/>
          <w:sz w:val="32"/>
          <w:szCs w:val="32"/>
          <w:shd w:val="clear" w:color="auto" w:fill="FFFFFF"/>
        </w:rPr>
        <w:t>万元），占总支出的100%。</w:t>
      </w:r>
    </w:p>
    <w:p w14:paraId="4D5A6F1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14:paraId="117A1680">
      <w:pPr>
        <w:spacing w:line="56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 xml:space="preserve">根据财政制度改革和部门预算细化的要求，以县财政下达我局的部门预算为基数，以现行财政财务法规为指南，我局开支用于维持单位基本工作运转，满足人员经费和日常公用经费的需求。对资金使用和控制严格按照行政单位财务制度及单位内部规章进行管理和监管，针对我局实际情况，本着勤俭办事、量入为出的原则，加强了对本部门收入情况、支出情况的管理。 </w:t>
      </w:r>
    </w:p>
    <w:p w14:paraId="573082AC">
      <w:pPr>
        <w:spacing w:line="560" w:lineRule="exact"/>
        <w:ind w:firstLine="800" w:firstLineChars="25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w:t>
      </w: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年公共财政拨款支出</w:t>
      </w:r>
      <w:r>
        <w:rPr>
          <w:rFonts w:hint="eastAsia" w:ascii="仿宋" w:hAnsi="仿宋" w:eastAsia="仿宋" w:cs="仿宋"/>
          <w:color w:val="333333"/>
          <w:kern w:val="0"/>
          <w:sz w:val="32"/>
          <w:szCs w:val="32"/>
          <w:shd w:val="clear" w:color="auto" w:fill="FFFFFF"/>
          <w:lang w:val="en-US" w:eastAsia="zh-CN"/>
        </w:rPr>
        <w:t>2514.56</w:t>
      </w:r>
      <w:r>
        <w:rPr>
          <w:rFonts w:hint="eastAsia" w:ascii="仿宋" w:hAnsi="仿宋" w:eastAsia="仿宋" w:cs="仿宋"/>
          <w:color w:val="333333"/>
          <w:kern w:val="0"/>
          <w:sz w:val="32"/>
          <w:szCs w:val="32"/>
          <w:shd w:val="clear" w:color="auto" w:fill="FFFFFF"/>
        </w:rPr>
        <w:t>万元，比上年</w:t>
      </w:r>
      <w:r>
        <w:rPr>
          <w:rFonts w:hint="eastAsia" w:ascii="仿宋" w:hAnsi="仿宋" w:eastAsia="仿宋" w:cs="仿宋"/>
          <w:color w:val="333333"/>
          <w:kern w:val="0"/>
          <w:sz w:val="32"/>
          <w:szCs w:val="32"/>
          <w:shd w:val="clear" w:color="auto" w:fill="FFFFFF"/>
          <w:lang w:eastAsia="zh-CN"/>
        </w:rPr>
        <w:t>增</w:t>
      </w:r>
      <w:r>
        <w:rPr>
          <w:rFonts w:hint="eastAsia" w:ascii="仿宋" w:hAnsi="仿宋" w:eastAsia="仿宋" w:cs="仿宋"/>
          <w:color w:val="333333"/>
          <w:kern w:val="0"/>
          <w:sz w:val="32"/>
          <w:szCs w:val="32"/>
          <w:shd w:val="clear" w:color="auto" w:fill="FFFFFF"/>
          <w:lang w:val="en-US" w:eastAsia="zh-CN"/>
        </w:rPr>
        <w:t>加478.8</w:t>
      </w:r>
      <w:r>
        <w:rPr>
          <w:rFonts w:hint="eastAsia" w:ascii="仿宋" w:hAnsi="仿宋" w:eastAsia="仿宋" w:cs="仿宋"/>
          <w:color w:val="333333"/>
          <w:kern w:val="0"/>
          <w:sz w:val="32"/>
          <w:szCs w:val="32"/>
          <w:shd w:val="clear" w:color="auto" w:fill="FFFFFF"/>
        </w:rPr>
        <w:t>万元，</w:t>
      </w:r>
      <w:r>
        <w:rPr>
          <w:rFonts w:hint="eastAsia" w:ascii="仿宋" w:hAnsi="仿宋" w:eastAsia="仿宋" w:cs="仿宋"/>
          <w:color w:val="333333"/>
          <w:kern w:val="0"/>
          <w:sz w:val="32"/>
          <w:szCs w:val="32"/>
          <w:shd w:val="clear" w:color="auto" w:fill="FFFFFF"/>
          <w:lang w:eastAsia="zh-CN"/>
        </w:rPr>
        <w:t>上升</w:t>
      </w:r>
      <w:r>
        <w:rPr>
          <w:rFonts w:hint="eastAsia" w:ascii="仿宋" w:hAnsi="仿宋" w:eastAsia="仿宋" w:cs="仿宋"/>
          <w:color w:val="333333"/>
          <w:kern w:val="0"/>
          <w:sz w:val="32"/>
          <w:szCs w:val="32"/>
          <w:shd w:val="clear" w:color="auto" w:fill="FFFFFF"/>
          <w:lang w:val="en-US" w:eastAsia="zh-CN"/>
        </w:rPr>
        <w:t>23%</w:t>
      </w:r>
      <w:r>
        <w:rPr>
          <w:rFonts w:hint="eastAsia" w:ascii="仿宋" w:hAnsi="仿宋" w:eastAsia="仿宋" w:cs="仿宋"/>
          <w:color w:val="333333"/>
          <w:kern w:val="0"/>
          <w:sz w:val="32"/>
          <w:szCs w:val="32"/>
          <w:shd w:val="clear" w:color="auto" w:fill="FFFFFF"/>
        </w:rPr>
        <w:t>，主要是</w:t>
      </w:r>
      <w:r>
        <w:rPr>
          <w:rFonts w:hint="eastAsia" w:ascii="仿宋" w:hAnsi="仿宋" w:eastAsia="仿宋" w:cs="仿宋"/>
          <w:color w:val="333333"/>
          <w:kern w:val="0"/>
          <w:sz w:val="32"/>
          <w:szCs w:val="32"/>
          <w:shd w:val="clear" w:color="auto" w:fill="FFFFFF"/>
          <w:lang w:eastAsia="zh-CN"/>
        </w:rPr>
        <w:t>软件维护、系统升级等合同支出跨年签订合同，上年</w:t>
      </w:r>
      <w:r>
        <w:rPr>
          <w:rFonts w:hint="eastAsia" w:ascii="仿宋" w:hAnsi="仿宋" w:eastAsia="仿宋" w:cs="仿宋"/>
          <w:color w:val="333333"/>
          <w:kern w:val="0"/>
          <w:sz w:val="32"/>
          <w:szCs w:val="32"/>
          <w:shd w:val="clear" w:color="auto" w:fill="FFFFFF"/>
          <w:lang w:val="en-US" w:eastAsia="zh-CN"/>
        </w:rPr>
        <w:t>度该项支出较少</w:t>
      </w:r>
      <w:r>
        <w:rPr>
          <w:rFonts w:hint="eastAsia" w:ascii="仿宋" w:hAnsi="仿宋" w:eastAsia="仿宋" w:cs="仿宋"/>
          <w:color w:val="333333"/>
          <w:kern w:val="0"/>
          <w:sz w:val="32"/>
          <w:szCs w:val="32"/>
          <w:shd w:val="clear" w:color="auto" w:fill="FFFFFF"/>
        </w:rPr>
        <w:t>。</w:t>
      </w:r>
    </w:p>
    <w:p w14:paraId="203FA1E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（一）基本支出情况</w:t>
      </w:r>
    </w:p>
    <w:p w14:paraId="3FC88F4E">
      <w:pPr>
        <w:spacing w:line="56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基本支出</w:t>
      </w:r>
      <w:r>
        <w:rPr>
          <w:rFonts w:hint="eastAsia" w:ascii="仿宋" w:hAnsi="仿宋" w:eastAsia="仿宋" w:cs="仿宋"/>
          <w:color w:val="333333"/>
          <w:kern w:val="0"/>
          <w:sz w:val="32"/>
          <w:szCs w:val="32"/>
          <w:shd w:val="clear" w:color="auto" w:fill="FFFFFF"/>
          <w:lang w:val="en-US" w:eastAsia="zh-CN"/>
        </w:rPr>
        <w:t>2514.56</w:t>
      </w:r>
      <w:r>
        <w:rPr>
          <w:rFonts w:hint="eastAsia" w:ascii="仿宋" w:hAnsi="仿宋" w:eastAsia="仿宋" w:cs="仿宋"/>
          <w:color w:val="333333"/>
          <w:kern w:val="0"/>
          <w:sz w:val="32"/>
          <w:szCs w:val="32"/>
          <w:shd w:val="clear" w:color="auto" w:fill="FFFFFF"/>
        </w:rPr>
        <w:t>万元。基本支出系保障我局机构正常运转、完成日常工作任务而发生的各项支出。包括用于在职和离退休人员基本工资、津贴补贴等人员经费以及办公费、印刷费、水电费、差旅费、办公设备购置等日常公用经费。其中：工资福利支出</w:t>
      </w:r>
      <w:r>
        <w:rPr>
          <w:rFonts w:hint="eastAsia" w:ascii="仿宋" w:hAnsi="仿宋" w:eastAsia="仿宋" w:cs="仿宋"/>
          <w:color w:val="333333"/>
          <w:kern w:val="0"/>
          <w:sz w:val="32"/>
          <w:szCs w:val="32"/>
          <w:shd w:val="clear" w:color="auto" w:fill="FFFFFF"/>
          <w:lang w:val="en-US" w:eastAsia="zh-CN"/>
        </w:rPr>
        <w:t>1323</w:t>
      </w:r>
      <w:r>
        <w:rPr>
          <w:rFonts w:hint="eastAsia" w:ascii="仿宋" w:hAnsi="仿宋" w:eastAsia="仿宋" w:cs="仿宋"/>
          <w:color w:val="333333"/>
          <w:kern w:val="0"/>
          <w:sz w:val="32"/>
          <w:szCs w:val="32"/>
          <w:shd w:val="clear" w:color="auto" w:fill="FFFFFF"/>
        </w:rPr>
        <w:t>万元，占基本支出的</w:t>
      </w:r>
      <w:r>
        <w:rPr>
          <w:rFonts w:hint="eastAsia" w:ascii="仿宋" w:hAnsi="仿宋" w:eastAsia="仿宋" w:cs="仿宋"/>
          <w:color w:val="333333"/>
          <w:kern w:val="0"/>
          <w:sz w:val="32"/>
          <w:szCs w:val="32"/>
          <w:shd w:val="clear" w:color="auto" w:fill="FFFFFF"/>
          <w:lang w:val="en-US" w:eastAsia="zh-CN"/>
        </w:rPr>
        <w:t>52.6</w:t>
      </w:r>
      <w:r>
        <w:rPr>
          <w:rFonts w:hint="eastAsia" w:ascii="仿宋" w:hAnsi="仿宋" w:eastAsia="仿宋" w:cs="仿宋"/>
          <w:color w:val="333333"/>
          <w:kern w:val="0"/>
          <w:sz w:val="32"/>
          <w:szCs w:val="32"/>
          <w:shd w:val="clear" w:color="auto" w:fill="FFFFFF"/>
        </w:rPr>
        <w:t xml:space="preserve"> %；商品和服务支出</w:t>
      </w:r>
      <w:r>
        <w:rPr>
          <w:rFonts w:hint="eastAsia" w:ascii="仿宋" w:hAnsi="仿宋" w:eastAsia="仿宋" w:cs="仿宋"/>
          <w:color w:val="333333"/>
          <w:kern w:val="0"/>
          <w:sz w:val="32"/>
          <w:szCs w:val="32"/>
          <w:shd w:val="clear" w:color="auto" w:fill="FFFFFF"/>
          <w:lang w:val="en-US" w:eastAsia="zh-CN"/>
        </w:rPr>
        <w:t>1039</w:t>
      </w:r>
      <w:r>
        <w:rPr>
          <w:rFonts w:hint="eastAsia" w:ascii="仿宋" w:hAnsi="仿宋" w:eastAsia="仿宋" w:cs="仿宋"/>
          <w:color w:val="333333"/>
          <w:kern w:val="0"/>
          <w:sz w:val="32"/>
          <w:szCs w:val="32"/>
          <w:shd w:val="clear" w:color="auto" w:fill="FFFFFF"/>
        </w:rPr>
        <w:t>万元，占基本支出的</w:t>
      </w:r>
      <w:r>
        <w:rPr>
          <w:rFonts w:hint="eastAsia" w:ascii="仿宋" w:hAnsi="仿宋" w:eastAsia="仿宋" w:cs="仿宋"/>
          <w:color w:val="333333"/>
          <w:kern w:val="0"/>
          <w:sz w:val="32"/>
          <w:szCs w:val="32"/>
          <w:shd w:val="clear" w:color="auto" w:fill="FFFFFF"/>
          <w:lang w:val="en-US" w:eastAsia="zh-CN"/>
        </w:rPr>
        <w:t>41.3</w:t>
      </w:r>
      <w:r>
        <w:rPr>
          <w:rFonts w:hint="eastAsia" w:ascii="仿宋" w:hAnsi="仿宋" w:eastAsia="仿宋" w:cs="仿宋"/>
          <w:color w:val="333333"/>
          <w:kern w:val="0"/>
          <w:sz w:val="32"/>
          <w:szCs w:val="32"/>
          <w:shd w:val="clear" w:color="auto" w:fill="FFFFFF"/>
        </w:rPr>
        <w:t>%； 对个人和家庭的补助</w:t>
      </w:r>
      <w:r>
        <w:rPr>
          <w:rFonts w:hint="eastAsia" w:ascii="仿宋" w:hAnsi="仿宋" w:eastAsia="仿宋" w:cs="仿宋"/>
          <w:color w:val="333333"/>
          <w:kern w:val="0"/>
          <w:sz w:val="32"/>
          <w:szCs w:val="32"/>
          <w:shd w:val="clear" w:color="auto" w:fill="FFFFFF"/>
          <w:lang w:val="en-US" w:eastAsia="zh-CN"/>
        </w:rPr>
        <w:t>152</w:t>
      </w:r>
      <w:r>
        <w:rPr>
          <w:rFonts w:hint="eastAsia" w:ascii="仿宋" w:hAnsi="仿宋" w:eastAsia="仿宋" w:cs="仿宋"/>
          <w:color w:val="333333"/>
          <w:kern w:val="0"/>
          <w:sz w:val="32"/>
          <w:szCs w:val="32"/>
          <w:shd w:val="clear" w:color="auto" w:fill="FFFFFF"/>
        </w:rPr>
        <w:t>万元，占基本支出的</w:t>
      </w:r>
      <w:r>
        <w:rPr>
          <w:rFonts w:hint="eastAsia" w:ascii="仿宋" w:hAnsi="仿宋" w:eastAsia="仿宋" w:cs="仿宋"/>
          <w:color w:val="333333"/>
          <w:kern w:val="0"/>
          <w:sz w:val="32"/>
          <w:szCs w:val="32"/>
          <w:shd w:val="clear" w:color="auto" w:fill="FFFFFF"/>
          <w:lang w:val="en-US" w:eastAsia="zh-CN"/>
        </w:rPr>
        <w:t>6.1</w:t>
      </w:r>
      <w:r>
        <w:rPr>
          <w:rFonts w:hint="eastAsia" w:ascii="仿宋" w:hAnsi="仿宋" w:eastAsia="仿宋" w:cs="仿宋"/>
          <w:color w:val="333333"/>
          <w:kern w:val="0"/>
          <w:sz w:val="32"/>
          <w:szCs w:val="32"/>
          <w:shd w:val="clear" w:color="auto" w:fill="FFFFFF"/>
        </w:rPr>
        <w:t>%。</w:t>
      </w:r>
    </w:p>
    <w:p w14:paraId="5EF83918">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县级专</w:t>
      </w:r>
      <w:r>
        <w:rPr>
          <w:rFonts w:hint="eastAsia" w:ascii="仿宋" w:hAnsi="仿宋" w:eastAsia="仿宋" w:cs="仿宋"/>
          <w:sz w:val="32"/>
          <w:szCs w:val="32"/>
        </w:rPr>
        <w:t>项</w:t>
      </w:r>
      <w:r>
        <w:rPr>
          <w:rFonts w:hint="eastAsia" w:ascii="仿宋" w:hAnsi="仿宋" w:eastAsia="仿宋" w:cs="仿宋"/>
          <w:sz w:val="32"/>
          <w:szCs w:val="32"/>
          <w:lang w:eastAsia="zh-CN"/>
        </w:rPr>
        <w:t>资金情况</w:t>
      </w:r>
    </w:p>
    <w:p w14:paraId="30859E3C">
      <w:pPr>
        <w:pStyle w:val="2"/>
        <w:ind w:firstLine="640"/>
        <w:rPr>
          <w:rFonts w:ascii="仿宋" w:hAnsi="仿宋" w:eastAsia="仿宋" w:cs="仿宋"/>
          <w:color w:val="333333"/>
          <w:kern w:val="0"/>
          <w:szCs w:val="32"/>
          <w:shd w:val="clear" w:color="auto" w:fill="FFFFFF"/>
        </w:rPr>
      </w:pPr>
      <w:r>
        <w:rPr>
          <w:rFonts w:hint="eastAsia" w:ascii="仿宋" w:hAnsi="仿宋" w:eastAsia="仿宋" w:cs="仿宋"/>
          <w:color w:val="333333"/>
          <w:kern w:val="0"/>
          <w:szCs w:val="32"/>
          <w:shd w:val="clear" w:color="auto" w:fill="FFFFFF"/>
        </w:rPr>
        <w:t>本年无项目支出</w:t>
      </w:r>
    </w:p>
    <w:p w14:paraId="2528C3E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（三）“三公”经费情况</w:t>
      </w:r>
    </w:p>
    <w:p w14:paraId="332F9376">
      <w:pPr>
        <w:spacing w:line="56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公务接待费严格按照《隆回县党政机关国内公务接待管理实施细则》执行，厉行节约，招待费实行先申报后招待，接待经费凭据报销，报销凭证包括财务票据（发票）、派出单位公函、接待清单、接待审批单，接待清单与派出单位公函要相一致，一起作为财务报销凭证。</w:t>
      </w:r>
    </w:p>
    <w:p w14:paraId="56D7D78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333333"/>
          <w:kern w:val="0"/>
          <w:sz w:val="32"/>
          <w:szCs w:val="32"/>
          <w:shd w:val="clear" w:color="auto" w:fill="FFFFFF"/>
        </w:rPr>
        <w:t xml:space="preserve"> 202</w:t>
      </w: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年我局没有因公出国的情况</w:t>
      </w:r>
      <w:r>
        <w:rPr>
          <w:rFonts w:hint="eastAsia" w:ascii="仿宋" w:hAnsi="仿宋" w:eastAsia="仿宋" w:cs="仿宋"/>
          <w:sz w:val="32"/>
          <w:szCs w:val="32"/>
        </w:rPr>
        <w:t>；</w:t>
      </w:r>
    </w:p>
    <w:p w14:paraId="0804670B">
      <w:pPr>
        <w:spacing w:line="56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sz w:val="32"/>
          <w:szCs w:val="32"/>
        </w:rPr>
        <w:t>2.</w:t>
      </w:r>
      <w:r>
        <w:rPr>
          <w:rFonts w:hint="eastAsia" w:ascii="仿宋" w:hAnsi="仿宋" w:eastAsia="仿宋" w:cs="仿宋"/>
          <w:color w:val="333333"/>
          <w:kern w:val="0"/>
          <w:sz w:val="32"/>
          <w:szCs w:val="32"/>
          <w:shd w:val="clear" w:color="auto" w:fill="FFFFFF"/>
        </w:rPr>
        <w:t xml:space="preserve"> 202</w:t>
      </w: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年我局“三公”经费实际支出数1.16万元。其中：因公出国(境)费0元、公务接待费1.16万元、公务用车费0万元，较上年减少0.2万元</w:t>
      </w:r>
      <w:r>
        <w:rPr>
          <w:rFonts w:hint="eastAsia" w:ascii="仿宋" w:hAnsi="仿宋" w:eastAsia="仿宋" w:cs="仿宋"/>
          <w:sz w:val="32"/>
          <w:szCs w:val="32"/>
        </w:rPr>
        <w:t>；</w:t>
      </w:r>
    </w:p>
    <w:p w14:paraId="07DBB35D">
      <w:pPr>
        <w:spacing w:line="56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sz w:val="32"/>
          <w:szCs w:val="32"/>
        </w:rPr>
        <w:t>3.</w:t>
      </w:r>
      <w:r>
        <w:rPr>
          <w:rFonts w:hint="eastAsia" w:ascii="仿宋" w:hAnsi="仿宋" w:eastAsia="仿宋" w:cs="仿宋"/>
          <w:color w:val="333333"/>
          <w:kern w:val="0"/>
          <w:sz w:val="32"/>
          <w:szCs w:val="32"/>
          <w:shd w:val="clear" w:color="auto" w:fill="FFFFFF"/>
        </w:rPr>
        <w:t xml:space="preserve"> 202</w:t>
      </w: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年我局没有公务车，因为实行公车改革后单位无公务车。</w:t>
      </w:r>
    </w:p>
    <w:p w14:paraId="2D8B3C11">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政府性基金预算支出情况</w:t>
      </w:r>
    </w:p>
    <w:p w14:paraId="4F7D71D3">
      <w:pPr>
        <w:pStyle w:val="2"/>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无</w:t>
      </w:r>
    </w:p>
    <w:p w14:paraId="419975ED">
      <w:pPr>
        <w:pStyle w:val="2"/>
        <w:rPr>
          <w:rFonts w:hint="eastAsia" w:ascii="仿宋" w:hAnsi="仿宋" w:eastAsia="仿宋" w:cs="仿宋"/>
          <w:color w:val="333333"/>
          <w:kern w:val="0"/>
          <w:sz w:val="32"/>
          <w:szCs w:val="32"/>
          <w:shd w:val="clear" w:color="auto" w:fill="FFFFFF"/>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国有资本经营预算支出情况</w:t>
      </w:r>
    </w:p>
    <w:p w14:paraId="7EA3B6E9">
      <w:pPr>
        <w:pStyle w:val="2"/>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无</w:t>
      </w:r>
    </w:p>
    <w:p w14:paraId="79C9A87C">
      <w:pPr>
        <w:pStyle w:val="2"/>
        <w:rPr>
          <w:rFonts w:hint="eastAsia" w:ascii="仿宋" w:hAnsi="仿宋" w:eastAsia="仿宋" w:cs="仿宋"/>
          <w:color w:val="333333"/>
          <w:kern w:val="0"/>
          <w:sz w:val="32"/>
          <w:szCs w:val="32"/>
          <w:shd w:val="clear" w:color="auto" w:fill="FFFFFF"/>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社会保险基金预算支出情况</w:t>
      </w:r>
    </w:p>
    <w:p w14:paraId="3BA9F875">
      <w:pPr>
        <w:pStyle w:val="2"/>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无</w:t>
      </w:r>
    </w:p>
    <w:p w14:paraId="3C2FE81B">
      <w:pPr>
        <w:spacing w:line="56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六、部门整体支出绩效情况</w:t>
      </w:r>
    </w:p>
    <w:p w14:paraId="2D843139">
      <w:pPr>
        <w:spacing w:line="56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 xml:space="preserve">每年年底我局编制下一年度部门预算，资金使用过程中严格按照预算批复支出预算资金，无超预算、超范围开支的现象；支出符合国家财经法规和财务制度规定，专项资金做到专款专用；支出拨付审批程序和手续齐全完整；不存在截留、挤占、挪用、虚列支出、大额使用现金等违规违法行为。 </w:t>
      </w:r>
    </w:p>
    <w:p w14:paraId="7F36DBA1">
      <w:pPr>
        <w:spacing w:line="56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 xml:space="preserve">不断加强制度建设，健全体制机制，根据市政府信息公开办法，制定一系列规章制度，初步形成政务公开工作的制度体系。从2014年开始我局按照县委政府和上级财政部门文件的规定，按时公开部门预算和部门决算。增强了资金支出和资产管理的监管力度，同时明确财务人员职责分工，确保了会计信息资料真实准确，会计基础工作完整，按规定的内容公开单位预决算信息。 </w:t>
      </w:r>
    </w:p>
    <w:p w14:paraId="769E04B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、存在的问题</w:t>
      </w:r>
    </w:p>
    <w:p w14:paraId="59D7C65C">
      <w:pPr>
        <w:pStyle w:val="2"/>
        <w:ind w:firstLine="640"/>
      </w:pPr>
      <w:r>
        <w:rPr>
          <w:rFonts w:hint="eastAsia" w:ascii="仿宋" w:hAnsi="仿宋" w:eastAsia="仿宋" w:cs="仿宋"/>
          <w:color w:val="333333"/>
          <w:kern w:val="0"/>
          <w:szCs w:val="32"/>
          <w:shd w:val="clear" w:color="auto" w:fill="FFFFFF"/>
        </w:rPr>
        <w:t>我局在资产使用和支出管理方面取得了较好的成绩，但是由于历史原因和管理惯性，资产管理在体制、监管等方面存在以下不足：第一，固定资产管理效率还有待提高。第二，固定资产管理力量有待加强。</w:t>
      </w:r>
    </w:p>
    <w:p w14:paraId="74D8445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、改进措施和有关建议</w:t>
      </w:r>
    </w:p>
    <w:p w14:paraId="499814C2">
      <w:pPr>
        <w:rPr>
          <w:rFonts w:hint="eastAsia"/>
          <w:lang w:val="en-US" w:eastAsia="zh-CN"/>
        </w:rPr>
      </w:pPr>
      <w:r>
        <w:rPr>
          <w:rFonts w:hint="eastAsia" w:ascii="仿宋" w:hAnsi="仿宋" w:eastAsia="仿宋" w:cs="仿宋"/>
          <w:color w:val="333333"/>
          <w:kern w:val="0"/>
          <w:sz w:val="32"/>
          <w:szCs w:val="32"/>
          <w:shd w:val="clear" w:color="auto" w:fill="FFFFFF"/>
        </w:rPr>
        <w:t xml:space="preserve">    针对存在的问题我局将提出以下切实可行的改进措施和有关建议：一、加强固定资产管理力量，提高管理人员的工作效率，明确职责，谁使用谁负责。二、根据单位办公需要购置新的资产，厉行节约，避免不必要的浪费，提高资产的使用效能。三、加强监管，定期对资产进行清查。</w:t>
      </w:r>
    </w:p>
    <w:p w14:paraId="5BF957CD">
      <w:pPr>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391EFC90">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14:paraId="24D895E0">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6444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53AFF3F">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33798940">
            <w:pPr>
              <w:pStyle w:val="2"/>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隆回县财政局</w:t>
            </w:r>
          </w:p>
        </w:tc>
      </w:tr>
      <w:tr w14:paraId="19FB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00" w:type="dxa"/>
            <w:vMerge w:val="restart"/>
            <w:vAlign w:val="center"/>
          </w:tcPr>
          <w:p w14:paraId="4DFBBEF8">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61605DB4">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61DF5FD8">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1D08D50C">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14A3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300" w:type="dxa"/>
            <w:vMerge w:val="continue"/>
            <w:vAlign w:val="center"/>
          </w:tcPr>
          <w:p w14:paraId="4307A5B3">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13901A0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95</w:t>
            </w:r>
          </w:p>
        </w:tc>
        <w:tc>
          <w:tcPr>
            <w:tcW w:w="2099" w:type="dxa"/>
            <w:gridSpan w:val="2"/>
            <w:vAlign w:val="center"/>
          </w:tcPr>
          <w:p w14:paraId="62C648B0">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98</w:t>
            </w:r>
          </w:p>
        </w:tc>
        <w:tc>
          <w:tcPr>
            <w:tcW w:w="1838" w:type="dxa"/>
            <w:gridSpan w:val="2"/>
            <w:vAlign w:val="center"/>
          </w:tcPr>
          <w:p w14:paraId="026A9B64">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103%</w:t>
            </w:r>
          </w:p>
        </w:tc>
      </w:tr>
      <w:tr w14:paraId="0C41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56C42B1">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1202A58C">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065C786C">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444F091A">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13B8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48A17620">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637D832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1.16</w:t>
            </w:r>
          </w:p>
        </w:tc>
        <w:tc>
          <w:tcPr>
            <w:tcW w:w="2099" w:type="dxa"/>
            <w:gridSpan w:val="2"/>
            <w:vAlign w:val="center"/>
          </w:tcPr>
          <w:p w14:paraId="2DFF3510">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w:t>
            </w:r>
          </w:p>
        </w:tc>
        <w:tc>
          <w:tcPr>
            <w:tcW w:w="1838" w:type="dxa"/>
            <w:gridSpan w:val="2"/>
            <w:vAlign w:val="center"/>
          </w:tcPr>
          <w:p w14:paraId="72E523D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1.09</w:t>
            </w:r>
          </w:p>
        </w:tc>
      </w:tr>
      <w:tr w14:paraId="727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705DB8B5">
            <w:pPr>
              <w:pStyle w:val="2"/>
              <w:numPr>
                <w:ilvl w:val="0"/>
                <w:numId w:val="1"/>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32E42FA1">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6742850A">
            <w:pPr>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5A0B93B3">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52EFC30A">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0798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300" w:type="dxa"/>
            <w:vAlign w:val="center"/>
          </w:tcPr>
          <w:p w14:paraId="1DE1EA3B">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447818A8">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662B4BD0">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2303ECDE">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77FE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300" w:type="dxa"/>
            <w:vAlign w:val="center"/>
          </w:tcPr>
          <w:p w14:paraId="2E92E32F">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53216AEF">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6A0DE293">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765D7EB8">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2435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300" w:type="dxa"/>
            <w:vAlign w:val="center"/>
          </w:tcPr>
          <w:p w14:paraId="470907BF">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3C19F00D">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5C872CDD">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2925FF08">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76EA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300" w:type="dxa"/>
            <w:vAlign w:val="center"/>
          </w:tcPr>
          <w:p w14:paraId="10929177">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61FE0B5D">
            <w:pPr>
              <w:pStyle w:val="2"/>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1.16</w:t>
            </w:r>
          </w:p>
        </w:tc>
        <w:tc>
          <w:tcPr>
            <w:tcW w:w="2099" w:type="dxa"/>
            <w:gridSpan w:val="2"/>
            <w:vAlign w:val="center"/>
          </w:tcPr>
          <w:p w14:paraId="118A5B0D">
            <w:pPr>
              <w:pStyle w:val="2"/>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2.2</w:t>
            </w:r>
          </w:p>
        </w:tc>
        <w:tc>
          <w:tcPr>
            <w:tcW w:w="1838" w:type="dxa"/>
            <w:gridSpan w:val="2"/>
            <w:vAlign w:val="center"/>
          </w:tcPr>
          <w:p w14:paraId="22D8ADD1">
            <w:pPr>
              <w:pStyle w:val="2"/>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1.09</w:t>
            </w:r>
          </w:p>
        </w:tc>
      </w:tr>
      <w:tr w14:paraId="4C95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2C55F9EC">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5504508F">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C8B7982">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1258DDE">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2872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1B685569">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1850AB4A">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3AD614DC">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47244D2">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151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50290E1">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459C39AF">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30933738">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534B1559">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2EE6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14:paraId="2404C969">
            <w:pPr>
              <w:pStyle w:val="2"/>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6E6584A6">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2B7192C0">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5FFC5E81">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24E4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00" w:type="dxa"/>
            <w:vAlign w:val="center"/>
          </w:tcPr>
          <w:p w14:paraId="2EA0FEE2">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1169CD36">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22745DD3">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1799820">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269E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300" w:type="dxa"/>
            <w:vAlign w:val="center"/>
          </w:tcPr>
          <w:p w14:paraId="10EFEF7B">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1265333B">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75D5C719">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BB3D413">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760B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705724F8">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46DE97AE">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746.54</w:t>
            </w:r>
          </w:p>
        </w:tc>
        <w:tc>
          <w:tcPr>
            <w:tcW w:w="2099" w:type="dxa"/>
            <w:gridSpan w:val="2"/>
            <w:vAlign w:val="center"/>
          </w:tcPr>
          <w:p w14:paraId="3FA591CF">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720.39</w:t>
            </w:r>
          </w:p>
        </w:tc>
        <w:tc>
          <w:tcPr>
            <w:tcW w:w="1838" w:type="dxa"/>
            <w:gridSpan w:val="2"/>
            <w:vAlign w:val="center"/>
          </w:tcPr>
          <w:p w14:paraId="1F9A847D">
            <w:pPr>
              <w:pStyle w:val="2"/>
              <w:ind w:firstLine="720" w:firstLineChars="400"/>
              <w:jc w:val="both"/>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687</w:t>
            </w:r>
          </w:p>
        </w:tc>
      </w:tr>
      <w:tr w14:paraId="5165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44D6780D">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1684A57A">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111.06</w:t>
            </w:r>
          </w:p>
        </w:tc>
        <w:tc>
          <w:tcPr>
            <w:tcW w:w="2099" w:type="dxa"/>
            <w:gridSpan w:val="2"/>
            <w:vAlign w:val="center"/>
          </w:tcPr>
          <w:p w14:paraId="611E57BC">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116.39</w:t>
            </w:r>
          </w:p>
        </w:tc>
        <w:tc>
          <w:tcPr>
            <w:tcW w:w="1838" w:type="dxa"/>
            <w:gridSpan w:val="2"/>
            <w:vAlign w:val="center"/>
          </w:tcPr>
          <w:p w14:paraId="17951F22">
            <w:pPr>
              <w:pStyle w:val="2"/>
              <w:ind w:firstLine="540" w:firstLineChars="300"/>
              <w:jc w:val="both"/>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103.45</w:t>
            </w:r>
          </w:p>
        </w:tc>
      </w:tr>
      <w:tr w14:paraId="51FF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22A634BA">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76C1C3E8">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152.97</w:t>
            </w:r>
          </w:p>
        </w:tc>
        <w:tc>
          <w:tcPr>
            <w:tcW w:w="2099" w:type="dxa"/>
            <w:gridSpan w:val="2"/>
            <w:vAlign w:val="center"/>
          </w:tcPr>
          <w:p w14:paraId="70EAB78E">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27</w:t>
            </w:r>
          </w:p>
        </w:tc>
        <w:tc>
          <w:tcPr>
            <w:tcW w:w="1838" w:type="dxa"/>
            <w:gridSpan w:val="2"/>
            <w:vAlign w:val="center"/>
          </w:tcPr>
          <w:p w14:paraId="0E41D32E">
            <w:pPr>
              <w:pStyle w:val="2"/>
              <w:ind w:firstLine="540" w:firstLineChars="300"/>
              <w:jc w:val="both"/>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65.5</w:t>
            </w:r>
          </w:p>
        </w:tc>
      </w:tr>
      <w:tr w14:paraId="48E6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300" w:type="dxa"/>
            <w:vAlign w:val="center"/>
          </w:tcPr>
          <w:p w14:paraId="69672DCC">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75C8DC0B">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4.36</w:t>
            </w:r>
          </w:p>
        </w:tc>
        <w:tc>
          <w:tcPr>
            <w:tcW w:w="2099" w:type="dxa"/>
            <w:gridSpan w:val="2"/>
            <w:vAlign w:val="center"/>
          </w:tcPr>
          <w:p w14:paraId="0C980900">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4</w:t>
            </w:r>
          </w:p>
        </w:tc>
        <w:tc>
          <w:tcPr>
            <w:tcW w:w="1838" w:type="dxa"/>
            <w:gridSpan w:val="2"/>
            <w:vAlign w:val="center"/>
          </w:tcPr>
          <w:p w14:paraId="179F90A1">
            <w:pPr>
              <w:pStyle w:val="2"/>
              <w:ind w:firstLine="540" w:firstLineChars="300"/>
              <w:jc w:val="both"/>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22.6</w:t>
            </w:r>
          </w:p>
        </w:tc>
      </w:tr>
      <w:tr w14:paraId="2790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1B149B4D">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59AF3552">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80</w:t>
            </w:r>
          </w:p>
        </w:tc>
        <w:tc>
          <w:tcPr>
            <w:tcW w:w="2099" w:type="dxa"/>
            <w:gridSpan w:val="2"/>
            <w:vAlign w:val="center"/>
          </w:tcPr>
          <w:p w14:paraId="407C9B03">
            <w:pPr>
              <w:pStyle w:val="2"/>
              <w:jc w:val="center"/>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67.31</w:t>
            </w:r>
          </w:p>
        </w:tc>
        <w:tc>
          <w:tcPr>
            <w:tcW w:w="1838" w:type="dxa"/>
            <w:gridSpan w:val="2"/>
            <w:vAlign w:val="center"/>
          </w:tcPr>
          <w:p w14:paraId="72778DBB">
            <w:pPr>
              <w:pStyle w:val="2"/>
              <w:ind w:firstLine="540" w:firstLineChars="300"/>
              <w:jc w:val="both"/>
              <w:rPr>
                <w:rFonts w:hint="default" w:ascii="仿宋" w:hAnsi="仿宋" w:eastAsia="仿宋" w:cs="仿宋"/>
                <w:b w:val="0"/>
                <w:bCs w:val="0"/>
                <w:kern w:val="0"/>
                <w:sz w:val="18"/>
                <w:szCs w:val="18"/>
                <w:highlight w:val="none"/>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157</w:t>
            </w:r>
          </w:p>
        </w:tc>
      </w:tr>
      <w:tr w14:paraId="6178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42FF94DC">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1EAFE47E">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498E8F40">
            <w:pPr>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4F79D38">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50DC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1480EF5D">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p w14:paraId="164D2B1D">
            <w:pPr>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950" w:type="dxa"/>
            <w:vAlign w:val="center"/>
          </w:tcPr>
          <w:p w14:paraId="6FD4960D">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0C2B6888">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3C5884DE">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59023448">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625FD5C3">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6BF98948">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4AB8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150ACF39">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14:paraId="2F005457">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14:paraId="2964C6AC">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14:paraId="6BC4E9CB">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14:paraId="5B01E4DE">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14:paraId="05F67ADC">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14:paraId="646AD147">
            <w:pPr>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0</w:t>
            </w:r>
          </w:p>
        </w:tc>
      </w:tr>
      <w:tr w14:paraId="01A2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17D4CF2D">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14:paraId="615CF186">
            <w:pPr>
              <w:pStyle w:val="2"/>
              <w:ind w:left="0" w:leftChars="0" w:firstLine="0" w:firstLineChars="0"/>
              <w:jc w:val="both"/>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树牢过“紧日子”思想，把握好必要性紧迫性，把财力真正用到重点领域。坚持可花可不花的一律不花，可以少花的尽量少花，必须要办的活动务必厉行节约，坚决杜绝耗费公帑的形式主义官僚主义现象，将有限的资金用在刀刃上，加强财政资源统筹力度，有效保障市委市政府决策部署的重点需求。</w:t>
            </w:r>
          </w:p>
        </w:tc>
      </w:tr>
    </w:tbl>
    <w:p w14:paraId="31F89D53">
      <w:pPr>
        <w:pStyle w:val="2"/>
        <w:ind w:left="0" w:leftChars="0" w:firstLine="0" w:firstLineChars="0"/>
        <w:jc w:val="both"/>
        <w:rPr>
          <w:rFonts w:hint="eastAsia" w:ascii="仿宋" w:hAnsi="仿宋" w:eastAsia="仿宋" w:cs="仿宋"/>
          <w:b w:val="0"/>
          <w:bCs w:val="0"/>
          <w:kern w:val="0"/>
          <w:sz w:val="30"/>
          <w:szCs w:val="30"/>
          <w:lang w:eastAsia="zh-CN"/>
        </w:rPr>
      </w:pPr>
    </w:p>
    <w:p w14:paraId="62E85013">
      <w:pPr>
        <w:pStyle w:val="2"/>
        <w:ind w:left="0" w:leftChars="0" w:firstLine="440" w:firstLineChars="200"/>
        <w:jc w:val="both"/>
        <w:rPr>
          <w:rFonts w:hint="eastAsia" w:ascii="仿宋" w:hAnsi="仿宋" w:eastAsia="仿宋" w:cs="仿宋"/>
          <w:b w:val="0"/>
          <w:bCs w:val="0"/>
          <w:kern w:val="0"/>
          <w:sz w:val="22"/>
          <w:szCs w:val="22"/>
          <w:lang w:eastAsia="zh-CN"/>
        </w:rPr>
      </w:pPr>
      <w:r>
        <w:rPr>
          <w:rFonts w:hint="eastAsia" w:ascii="仿宋" w:hAnsi="仿宋" w:eastAsia="仿宋" w:cs="仿宋"/>
          <w:b w:val="0"/>
          <w:bCs w:val="0"/>
          <w:kern w:val="0"/>
          <w:sz w:val="22"/>
          <w:szCs w:val="22"/>
          <w:lang w:eastAsia="zh-CN"/>
        </w:rPr>
        <w:t>说明：“县级专项资金”需要填报基本支出以外的所有县级专项资金情况，“公用经费”填报基本支出中的一般商品和服务支出。</w:t>
      </w:r>
    </w:p>
    <w:p w14:paraId="139D60D5">
      <w:pPr>
        <w:spacing w:line="600" w:lineRule="exact"/>
        <w:jc w:val="left"/>
        <w:rPr>
          <w:rFonts w:hint="eastAsia" w:ascii="仿宋" w:hAnsi="仿宋" w:eastAsia="仿宋" w:cs="仿宋"/>
          <w:kern w:val="0"/>
        </w:rPr>
      </w:pPr>
    </w:p>
    <w:p w14:paraId="2EF248D4">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1F9D7902">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29B100EE">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443798C2">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667D8D5C">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隆回县财政局</w:t>
            </w:r>
            <w:r>
              <w:rPr>
                <w:rFonts w:eastAsia="仿宋_GB2312"/>
                <w:color w:val="000000"/>
                <w:kern w:val="0"/>
                <w:sz w:val="18"/>
                <w:szCs w:val="18"/>
              </w:rPr>
              <w:t>　</w:t>
            </w:r>
          </w:p>
        </w:tc>
      </w:tr>
      <w:tr w14:paraId="43F29E72">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13E375C3">
            <w:pPr>
              <w:spacing w:line="240" w:lineRule="exact"/>
              <w:ind w:firstLine="0" w:firstLineChars="0"/>
              <w:rPr>
                <w:rFonts w:eastAsia="仿宋_GB2312"/>
                <w:color w:val="000000"/>
                <w:kern w:val="0"/>
                <w:sz w:val="18"/>
                <w:szCs w:val="18"/>
              </w:rPr>
            </w:pPr>
          </w:p>
          <w:p w14:paraId="107427C8">
            <w:pPr>
              <w:pStyle w:val="5"/>
            </w:pPr>
          </w:p>
        </w:tc>
        <w:tc>
          <w:tcPr>
            <w:tcW w:w="1681" w:type="dxa"/>
            <w:gridSpan w:val="2"/>
            <w:tcBorders>
              <w:top w:val="nil"/>
              <w:left w:val="nil"/>
              <w:bottom w:val="single" w:color="auto" w:sz="4" w:space="0"/>
              <w:right w:val="single" w:color="auto" w:sz="4" w:space="0"/>
            </w:tcBorders>
            <w:noWrap w:val="0"/>
            <w:vAlign w:val="center"/>
          </w:tcPr>
          <w:p w14:paraId="74EC5674">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14:paraId="4AE0B3B3">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7A5F1268">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14:paraId="27725DF5">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139F5AF0">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0875037F">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036FFCC4">
            <w:pPr>
              <w:spacing w:line="240" w:lineRule="exact"/>
              <w:ind w:firstLine="0" w:firstLineChars="0"/>
              <w:rPr>
                <w:rFonts w:eastAsia="仿宋_GB2312"/>
                <w:sz w:val="18"/>
                <w:szCs w:val="18"/>
              </w:rPr>
            </w:pPr>
            <w:r>
              <w:rPr>
                <w:rFonts w:eastAsia="仿宋_GB2312"/>
                <w:sz w:val="18"/>
                <w:szCs w:val="18"/>
              </w:rPr>
              <w:t>得分</w:t>
            </w:r>
          </w:p>
        </w:tc>
      </w:tr>
      <w:tr w14:paraId="622974F8">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1C54C59E">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107BFC1B">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208D638A">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2631.63</w:t>
            </w:r>
          </w:p>
        </w:tc>
        <w:tc>
          <w:tcPr>
            <w:tcW w:w="1161" w:type="dxa"/>
            <w:gridSpan w:val="2"/>
            <w:tcBorders>
              <w:top w:val="nil"/>
              <w:left w:val="nil"/>
              <w:bottom w:val="single" w:color="auto" w:sz="4" w:space="0"/>
              <w:right w:val="single" w:color="auto" w:sz="4" w:space="0"/>
            </w:tcBorders>
            <w:noWrap w:val="0"/>
            <w:vAlign w:val="center"/>
          </w:tcPr>
          <w:p w14:paraId="31AE179E">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2514.56</w:t>
            </w:r>
          </w:p>
        </w:tc>
        <w:tc>
          <w:tcPr>
            <w:tcW w:w="1146" w:type="dxa"/>
            <w:tcBorders>
              <w:top w:val="nil"/>
              <w:left w:val="nil"/>
              <w:bottom w:val="single" w:color="auto" w:sz="4" w:space="0"/>
              <w:right w:val="single" w:color="auto" w:sz="4" w:space="0"/>
            </w:tcBorders>
            <w:noWrap w:val="0"/>
            <w:vAlign w:val="center"/>
          </w:tcPr>
          <w:p w14:paraId="36DFEECC">
            <w:pPr>
              <w:spacing w:line="240" w:lineRule="exact"/>
              <w:ind w:firstLine="180" w:firstLineChars="100"/>
              <w:jc w:val="both"/>
              <w:rPr>
                <w:rFonts w:hint="default" w:eastAsia="仿宋_GB2312"/>
                <w:sz w:val="18"/>
                <w:szCs w:val="18"/>
                <w:lang w:val="en-US" w:eastAsia="zh-CN"/>
              </w:rPr>
            </w:pPr>
            <w:r>
              <w:rPr>
                <w:rFonts w:hint="eastAsia" w:eastAsia="仿宋_GB2312"/>
                <w:sz w:val="18"/>
                <w:szCs w:val="18"/>
                <w:lang w:val="en-US" w:eastAsia="zh-CN"/>
              </w:rPr>
              <w:t>2514.56</w:t>
            </w:r>
          </w:p>
        </w:tc>
        <w:tc>
          <w:tcPr>
            <w:tcW w:w="636" w:type="dxa"/>
            <w:tcBorders>
              <w:top w:val="nil"/>
              <w:left w:val="nil"/>
              <w:bottom w:val="single" w:color="auto" w:sz="4" w:space="0"/>
              <w:right w:val="single" w:color="auto" w:sz="4" w:space="0"/>
            </w:tcBorders>
            <w:noWrap w:val="0"/>
            <w:vAlign w:val="center"/>
          </w:tcPr>
          <w:p w14:paraId="4CAA8684">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14:paraId="01E23F25">
            <w:pPr>
              <w:spacing w:line="240" w:lineRule="exact"/>
              <w:ind w:firstLine="180" w:firstLineChars="100"/>
              <w:jc w:val="both"/>
              <w:rPr>
                <w:rFonts w:hint="default" w:eastAsia="仿宋_GB2312"/>
                <w:sz w:val="18"/>
                <w:szCs w:val="18"/>
                <w:lang w:val="en-US" w:eastAsia="zh-CN"/>
              </w:rPr>
            </w:pPr>
            <w:r>
              <w:rPr>
                <w:rFonts w:hint="eastAsia" w:eastAsia="仿宋_GB2312"/>
                <w:sz w:val="18"/>
                <w:szCs w:val="18"/>
                <w:lang w:val="en-US" w:eastAsia="zh-CN"/>
              </w:rPr>
              <w:t>95.6%</w:t>
            </w:r>
          </w:p>
        </w:tc>
        <w:tc>
          <w:tcPr>
            <w:tcW w:w="1223" w:type="dxa"/>
            <w:tcBorders>
              <w:top w:val="nil"/>
              <w:left w:val="nil"/>
              <w:bottom w:val="single" w:color="auto" w:sz="4" w:space="0"/>
              <w:right w:val="single" w:color="auto" w:sz="4" w:space="0"/>
            </w:tcBorders>
            <w:noWrap w:val="0"/>
            <w:vAlign w:val="center"/>
          </w:tcPr>
          <w:p w14:paraId="1841351F">
            <w:pPr>
              <w:spacing w:line="240" w:lineRule="exact"/>
              <w:ind w:firstLine="360"/>
              <w:jc w:val="center"/>
              <w:rPr>
                <w:rFonts w:eastAsia="仿宋_GB2312"/>
                <w:sz w:val="18"/>
                <w:szCs w:val="18"/>
              </w:rPr>
            </w:pPr>
          </w:p>
        </w:tc>
      </w:tr>
      <w:tr w14:paraId="417D99C8">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795CFE5">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04E2A7B3">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14:paraId="3EB55BE0">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7C702E3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D90E4A9">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6DFF726F">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2631.63万元</w:t>
            </w:r>
          </w:p>
        </w:tc>
        <w:tc>
          <w:tcPr>
            <w:tcW w:w="3895" w:type="dxa"/>
            <w:gridSpan w:val="4"/>
            <w:tcBorders>
              <w:top w:val="nil"/>
              <w:left w:val="nil"/>
              <w:bottom w:val="single" w:color="auto" w:sz="4" w:space="0"/>
              <w:right w:val="single" w:color="auto" w:sz="4" w:space="0"/>
            </w:tcBorders>
            <w:noWrap w:val="0"/>
            <w:vAlign w:val="center"/>
          </w:tcPr>
          <w:p w14:paraId="5C2A3216">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2502.56万元</w:t>
            </w:r>
          </w:p>
        </w:tc>
      </w:tr>
      <w:tr w14:paraId="6537856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52E337D">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0D09F2C5">
            <w:pPr>
              <w:spacing w:line="240" w:lineRule="exact"/>
              <w:ind w:firstLine="720" w:firstLineChars="400"/>
              <w:jc w:val="left"/>
              <w:rPr>
                <w:rFonts w:hint="eastAsia"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0万元</w:t>
            </w:r>
          </w:p>
        </w:tc>
        <w:tc>
          <w:tcPr>
            <w:tcW w:w="3895" w:type="dxa"/>
            <w:gridSpan w:val="4"/>
            <w:tcBorders>
              <w:top w:val="nil"/>
              <w:left w:val="nil"/>
              <w:bottom w:val="single" w:color="auto" w:sz="4" w:space="0"/>
              <w:right w:val="single" w:color="auto" w:sz="4" w:space="0"/>
            </w:tcBorders>
            <w:noWrap w:val="0"/>
            <w:vAlign w:val="center"/>
          </w:tcPr>
          <w:p w14:paraId="023DD01A">
            <w:pPr>
              <w:spacing w:line="240" w:lineRule="exact"/>
              <w:ind w:firstLine="540" w:firstLineChars="300"/>
              <w:jc w:val="left"/>
              <w:rPr>
                <w:rFonts w:hint="eastAsia"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r>
              <w:rPr>
                <w:rFonts w:hint="eastAsia" w:eastAsia="仿宋_GB2312"/>
                <w:color w:val="000000"/>
                <w:kern w:val="0"/>
                <w:sz w:val="18"/>
                <w:szCs w:val="18"/>
                <w:lang w:val="en-US" w:eastAsia="zh-CN"/>
              </w:rPr>
              <w:t>12万元</w:t>
            </w:r>
          </w:p>
        </w:tc>
      </w:tr>
      <w:tr w14:paraId="724932D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874FC01">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58CD0E32">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0万元</w:t>
            </w:r>
          </w:p>
        </w:tc>
        <w:tc>
          <w:tcPr>
            <w:tcW w:w="3895" w:type="dxa"/>
            <w:gridSpan w:val="4"/>
            <w:tcBorders>
              <w:top w:val="nil"/>
              <w:left w:val="nil"/>
              <w:bottom w:val="single" w:color="auto" w:sz="4" w:space="0"/>
              <w:right w:val="single" w:color="auto" w:sz="4" w:space="0"/>
            </w:tcBorders>
            <w:noWrap w:val="0"/>
            <w:vAlign w:val="center"/>
          </w:tcPr>
          <w:p w14:paraId="0DAB6DFF">
            <w:pPr>
              <w:spacing w:line="240" w:lineRule="exact"/>
              <w:ind w:firstLine="360"/>
              <w:jc w:val="left"/>
              <w:rPr>
                <w:rFonts w:eastAsia="仿宋_GB2312"/>
                <w:color w:val="000000"/>
                <w:kern w:val="0"/>
                <w:sz w:val="18"/>
                <w:szCs w:val="18"/>
              </w:rPr>
            </w:pPr>
          </w:p>
        </w:tc>
      </w:tr>
      <w:tr w14:paraId="64A5B5A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63A30027">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1D0964F3">
            <w:pPr>
              <w:spacing w:line="240" w:lineRule="exact"/>
              <w:ind w:firstLine="1260" w:firstLineChars="700"/>
              <w:jc w:val="left"/>
              <w:rPr>
                <w:rFonts w:hint="eastAsia"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0万元</w:t>
            </w:r>
          </w:p>
        </w:tc>
        <w:tc>
          <w:tcPr>
            <w:tcW w:w="3895" w:type="dxa"/>
            <w:gridSpan w:val="4"/>
            <w:tcBorders>
              <w:top w:val="nil"/>
              <w:left w:val="nil"/>
              <w:bottom w:val="single" w:color="auto" w:sz="4" w:space="0"/>
              <w:right w:val="single" w:color="auto" w:sz="4" w:space="0"/>
            </w:tcBorders>
            <w:noWrap w:val="0"/>
            <w:vAlign w:val="center"/>
          </w:tcPr>
          <w:p w14:paraId="4B638398">
            <w:pPr>
              <w:spacing w:line="240" w:lineRule="exact"/>
              <w:ind w:firstLine="360"/>
              <w:jc w:val="left"/>
              <w:rPr>
                <w:rFonts w:eastAsia="仿宋_GB2312"/>
                <w:color w:val="000000"/>
                <w:kern w:val="0"/>
                <w:sz w:val="18"/>
                <w:szCs w:val="18"/>
              </w:rPr>
            </w:pPr>
          </w:p>
        </w:tc>
      </w:tr>
      <w:tr w14:paraId="4F67288F">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54D00E98">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3F642F5C">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4F900B12">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7ED8DF5C">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6D7AE9C7">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2648BF91">
            <w:pPr>
              <w:spacing w:line="240" w:lineRule="exact"/>
              <w:ind w:firstLine="360"/>
              <w:jc w:val="left"/>
              <w:rPr>
                <w:rFonts w:hint="eastAsia" w:eastAsia="仿宋_GB2312"/>
                <w:color w:val="000000"/>
                <w:kern w:val="0"/>
                <w:sz w:val="18"/>
                <w:szCs w:val="18"/>
              </w:rPr>
            </w:pPr>
            <w:r>
              <w:rPr>
                <w:rFonts w:hint="eastAsia" w:eastAsia="仿宋_GB2312"/>
                <w:color w:val="000000"/>
                <w:kern w:val="0"/>
                <w:sz w:val="18"/>
                <w:szCs w:val="18"/>
              </w:rPr>
              <w:t>目标1：按照“财政收入保增长、财政支出保民生、财政改革保利益、财政运转保高效”的思路，加大财政支持力度，完善民生保障机制，强化预算收支管理，推进财税体制改革，较好地完成了全年各项工作任务；</w:t>
            </w:r>
          </w:p>
          <w:p w14:paraId="0A1C00CD">
            <w:pPr>
              <w:spacing w:line="240" w:lineRule="exact"/>
              <w:ind w:firstLine="360"/>
              <w:jc w:val="left"/>
              <w:rPr>
                <w:rFonts w:hint="eastAsia" w:eastAsia="仿宋_GB2312"/>
                <w:color w:val="000000"/>
                <w:kern w:val="0"/>
                <w:sz w:val="18"/>
                <w:szCs w:val="18"/>
              </w:rPr>
            </w:pPr>
            <w:r>
              <w:rPr>
                <w:rFonts w:hint="eastAsia" w:eastAsia="仿宋_GB2312"/>
                <w:color w:val="000000"/>
                <w:kern w:val="0"/>
                <w:sz w:val="18"/>
                <w:szCs w:val="18"/>
              </w:rPr>
              <w:t>目标2：重点保障机关运转及重点工作的需要，大力压缩一般性支出，提高财政资金使用效益；</w:t>
            </w:r>
          </w:p>
          <w:p w14:paraId="137F834B">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rPr>
              <w:t>目标3：切实提高行政效率，降低行政成本。进一步精简文件数量，提高文件质量。规范行文程序，严格行文规则，控制文件规格。减少会议数量，压缩会议时间。控制会议规模，创新会议形式。节约会议成本，严肃会议纪律。简化办事程序，对重大事项实行督查交办制度。推进办事公开，按照政务公开要求，对涉及财政相关的资料及时挂网公开。</w:t>
            </w:r>
            <w:r>
              <w:rPr>
                <w:rFonts w:eastAsia="仿宋_GB2312"/>
                <w:color w:val="000000"/>
                <w:kern w:val="0"/>
                <w:sz w:val="18"/>
                <w:szCs w:val="18"/>
              </w:rPr>
              <w:t>　　</w:t>
            </w:r>
            <w:r>
              <w:rPr>
                <w:rFonts w:hint="eastAsia" w:eastAsia="仿宋_GB2312"/>
                <w:color w:val="000000"/>
                <w:kern w:val="0"/>
                <w:sz w:val="18"/>
                <w:szCs w:val="18"/>
                <w:lang w:eastAsia="zh-CN"/>
              </w:rPr>
              <w:t>、</w:t>
            </w:r>
          </w:p>
        </w:tc>
        <w:tc>
          <w:tcPr>
            <w:tcW w:w="3895" w:type="dxa"/>
            <w:gridSpan w:val="4"/>
            <w:tcBorders>
              <w:top w:val="single" w:color="auto" w:sz="4" w:space="0"/>
              <w:left w:val="nil"/>
              <w:bottom w:val="single" w:color="auto" w:sz="4" w:space="0"/>
              <w:right w:val="single" w:color="auto" w:sz="4" w:space="0"/>
            </w:tcBorders>
            <w:noWrap w:val="0"/>
            <w:vAlign w:val="center"/>
          </w:tcPr>
          <w:p w14:paraId="1A385E0B">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加大财源建设、支持全县产业发展，做大做强实体经济、防范化解债务风险有序推进，预算管理日趋规范，存量资金有效盘活，财政评审效益明显，“互联网</w:t>
            </w:r>
            <w:r>
              <w:rPr>
                <w:rFonts w:hint="eastAsia" w:eastAsia="仿宋_GB2312"/>
                <w:color w:val="000000"/>
                <w:kern w:val="0"/>
                <w:sz w:val="18"/>
                <w:szCs w:val="18"/>
                <w:lang w:val="en-US" w:eastAsia="zh-CN"/>
              </w:rPr>
              <w:t>+监督</w:t>
            </w:r>
            <w:r>
              <w:rPr>
                <w:rFonts w:hint="eastAsia" w:eastAsia="仿宋_GB2312"/>
                <w:color w:val="000000"/>
                <w:kern w:val="0"/>
                <w:sz w:val="18"/>
                <w:szCs w:val="18"/>
                <w:lang w:eastAsia="zh-CN"/>
              </w:rPr>
              <w:t>”持续推进，惠农补贴发放规范、惠农肩负落实到位，政府采购监管有力，支付改革体质扩面，驻村帮扶成效显著，</w:t>
            </w:r>
            <w:r>
              <w:rPr>
                <w:rFonts w:hint="eastAsia" w:eastAsia="仿宋_GB2312"/>
                <w:color w:val="000000"/>
                <w:kern w:val="0"/>
                <w:sz w:val="18"/>
                <w:szCs w:val="18"/>
                <w:lang w:val="en-US" w:eastAsia="zh-CN"/>
              </w:rPr>
              <w:t>新政府会计制度顺利实施。</w:t>
            </w:r>
          </w:p>
        </w:tc>
      </w:tr>
      <w:tr w14:paraId="75016158">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3567A170">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7E11E0A5">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24DB1754">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6702BA14">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2FDFBF18">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1095D32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1FCF23B2">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31A46A1B">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5B5BB742">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7FC42F3C">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4E17E00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73B6F353">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0E56FDAE">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309A008">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472EBB78">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7DD3816C">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6DAE9B5C">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14:paraId="08E6315B">
            <w:pPr>
              <w:spacing w:line="240" w:lineRule="exact"/>
              <w:jc w:val="left"/>
              <w:rPr>
                <w:rFonts w:eastAsia="仿宋_GB2312"/>
                <w:color w:val="000000"/>
                <w:kern w:val="0"/>
                <w:sz w:val="18"/>
                <w:szCs w:val="18"/>
              </w:rPr>
            </w:pPr>
            <w:r>
              <w:rPr>
                <w:rFonts w:hint="eastAsia" w:eastAsia="仿宋_GB2312"/>
                <w:color w:val="000000"/>
                <w:kern w:val="0"/>
                <w:sz w:val="18"/>
                <w:szCs w:val="18"/>
              </w:rPr>
              <w:t>在职人员数</w:t>
            </w:r>
          </w:p>
        </w:tc>
        <w:tc>
          <w:tcPr>
            <w:tcW w:w="1077" w:type="dxa"/>
            <w:tcBorders>
              <w:top w:val="nil"/>
              <w:left w:val="nil"/>
              <w:bottom w:val="single" w:color="auto" w:sz="4" w:space="0"/>
              <w:right w:val="single" w:color="auto" w:sz="4" w:space="0"/>
            </w:tcBorders>
            <w:noWrap w:val="0"/>
            <w:vAlign w:val="center"/>
          </w:tcPr>
          <w:p w14:paraId="4B8A3850">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&lt;100人</w:t>
            </w:r>
          </w:p>
        </w:tc>
        <w:tc>
          <w:tcPr>
            <w:tcW w:w="1146" w:type="dxa"/>
            <w:tcBorders>
              <w:top w:val="nil"/>
              <w:left w:val="nil"/>
              <w:bottom w:val="single" w:color="auto" w:sz="4" w:space="0"/>
              <w:right w:val="single" w:color="auto" w:sz="4" w:space="0"/>
            </w:tcBorders>
            <w:noWrap w:val="0"/>
            <w:vAlign w:val="center"/>
          </w:tcPr>
          <w:p w14:paraId="3FC061B9">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100人</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DE33556">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val="en-US" w:eastAsia="zh-CN"/>
              </w:rPr>
              <w:t>6</w:t>
            </w:r>
          </w:p>
        </w:tc>
        <w:tc>
          <w:tcPr>
            <w:tcW w:w="890" w:type="dxa"/>
            <w:tcBorders>
              <w:top w:val="nil"/>
              <w:left w:val="nil"/>
              <w:bottom w:val="single" w:color="auto" w:sz="4" w:space="0"/>
              <w:right w:val="single" w:color="auto" w:sz="4" w:space="0"/>
            </w:tcBorders>
            <w:noWrap w:val="0"/>
            <w:vAlign w:val="center"/>
          </w:tcPr>
          <w:p w14:paraId="4D37285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1223" w:type="dxa"/>
            <w:tcBorders>
              <w:top w:val="nil"/>
              <w:left w:val="nil"/>
              <w:bottom w:val="single" w:color="auto" w:sz="4" w:space="0"/>
              <w:right w:val="single" w:color="auto" w:sz="4" w:space="0"/>
            </w:tcBorders>
            <w:noWrap w:val="0"/>
            <w:vAlign w:val="center"/>
          </w:tcPr>
          <w:p w14:paraId="0E1C6EA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5AE3E28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D310826">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2FE4241">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4B0CBC9A">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1E62EA8B">
            <w:pPr>
              <w:spacing w:line="240" w:lineRule="exact"/>
              <w:jc w:val="left"/>
              <w:rPr>
                <w:rFonts w:eastAsia="仿宋_GB2312"/>
                <w:color w:val="000000"/>
                <w:kern w:val="0"/>
                <w:sz w:val="18"/>
                <w:szCs w:val="18"/>
              </w:rPr>
            </w:pPr>
            <w:r>
              <w:rPr>
                <w:rFonts w:hint="eastAsia" w:eastAsia="仿宋_GB2312"/>
                <w:color w:val="000000"/>
                <w:kern w:val="0"/>
                <w:sz w:val="18"/>
                <w:szCs w:val="18"/>
              </w:rPr>
              <w:t>举办计人员业务培训次数</w:t>
            </w:r>
          </w:p>
        </w:tc>
        <w:tc>
          <w:tcPr>
            <w:tcW w:w="1077" w:type="dxa"/>
            <w:tcBorders>
              <w:top w:val="nil"/>
              <w:left w:val="nil"/>
              <w:bottom w:val="single" w:color="auto" w:sz="4" w:space="0"/>
              <w:right w:val="single" w:color="auto" w:sz="4" w:space="0"/>
            </w:tcBorders>
            <w:noWrap w:val="0"/>
            <w:vAlign w:val="center"/>
          </w:tcPr>
          <w:p w14:paraId="3C61AF90">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&gt;2次</w:t>
            </w:r>
          </w:p>
        </w:tc>
        <w:tc>
          <w:tcPr>
            <w:tcW w:w="1146" w:type="dxa"/>
            <w:tcBorders>
              <w:top w:val="nil"/>
              <w:left w:val="nil"/>
              <w:bottom w:val="single" w:color="auto" w:sz="4" w:space="0"/>
              <w:right w:val="single" w:color="auto" w:sz="4" w:space="0"/>
            </w:tcBorders>
            <w:noWrap w:val="0"/>
            <w:vAlign w:val="center"/>
          </w:tcPr>
          <w:p w14:paraId="0AD2F9C4">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2次</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B09B0F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890" w:type="dxa"/>
            <w:tcBorders>
              <w:top w:val="nil"/>
              <w:left w:val="nil"/>
              <w:bottom w:val="single" w:color="auto" w:sz="4" w:space="0"/>
              <w:right w:val="single" w:color="auto" w:sz="4" w:space="0"/>
            </w:tcBorders>
            <w:noWrap w:val="0"/>
            <w:vAlign w:val="center"/>
          </w:tcPr>
          <w:p w14:paraId="6FC742B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1223" w:type="dxa"/>
            <w:tcBorders>
              <w:top w:val="nil"/>
              <w:left w:val="nil"/>
              <w:bottom w:val="single" w:color="auto" w:sz="4" w:space="0"/>
              <w:right w:val="single" w:color="auto" w:sz="4" w:space="0"/>
            </w:tcBorders>
            <w:noWrap w:val="0"/>
            <w:vAlign w:val="center"/>
          </w:tcPr>
          <w:p w14:paraId="653F6A8C">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1AFF197E">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93C83D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C42B5DE">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BF3C43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14:paraId="354F0253">
            <w:pPr>
              <w:spacing w:line="240" w:lineRule="exact"/>
              <w:jc w:val="left"/>
              <w:rPr>
                <w:rFonts w:eastAsia="仿宋_GB2312"/>
                <w:color w:val="000000"/>
                <w:kern w:val="0"/>
                <w:sz w:val="18"/>
                <w:szCs w:val="18"/>
              </w:rPr>
            </w:pPr>
            <w:r>
              <w:rPr>
                <w:rFonts w:hint="eastAsia" w:eastAsia="仿宋_GB2312"/>
                <w:color w:val="000000"/>
                <w:kern w:val="0"/>
                <w:sz w:val="18"/>
                <w:szCs w:val="18"/>
              </w:rPr>
              <w:t>重点工作办结率</w:t>
            </w:r>
          </w:p>
        </w:tc>
        <w:tc>
          <w:tcPr>
            <w:tcW w:w="1077" w:type="dxa"/>
            <w:tcBorders>
              <w:top w:val="nil"/>
              <w:left w:val="nil"/>
              <w:bottom w:val="single" w:color="auto" w:sz="4" w:space="0"/>
              <w:right w:val="single" w:color="auto" w:sz="4" w:space="0"/>
            </w:tcBorders>
            <w:noWrap w:val="0"/>
            <w:vAlign w:val="center"/>
          </w:tcPr>
          <w:p w14:paraId="56003E9F">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&gt;95%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AD28B95">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96%</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ED9C8A0">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890" w:type="dxa"/>
            <w:tcBorders>
              <w:top w:val="nil"/>
              <w:left w:val="nil"/>
              <w:bottom w:val="single" w:color="auto" w:sz="4" w:space="0"/>
              <w:right w:val="single" w:color="auto" w:sz="4" w:space="0"/>
            </w:tcBorders>
            <w:noWrap w:val="0"/>
            <w:vAlign w:val="center"/>
          </w:tcPr>
          <w:p w14:paraId="3D709E0F">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1223" w:type="dxa"/>
            <w:tcBorders>
              <w:top w:val="nil"/>
              <w:left w:val="nil"/>
              <w:bottom w:val="single" w:color="auto" w:sz="4" w:space="0"/>
              <w:right w:val="single" w:color="auto" w:sz="4" w:space="0"/>
            </w:tcBorders>
            <w:noWrap w:val="0"/>
            <w:vAlign w:val="center"/>
          </w:tcPr>
          <w:p w14:paraId="37403B3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354CC01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E5CE55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920678C">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727CFCCE">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87B4481">
            <w:pPr>
              <w:spacing w:line="240" w:lineRule="exact"/>
              <w:jc w:val="left"/>
              <w:rPr>
                <w:rFonts w:eastAsia="仿宋_GB2312"/>
                <w:color w:val="000000"/>
                <w:kern w:val="0"/>
                <w:sz w:val="18"/>
                <w:szCs w:val="18"/>
              </w:rPr>
            </w:pPr>
            <w:r>
              <w:rPr>
                <w:rFonts w:hint="eastAsia" w:eastAsia="仿宋_GB2312"/>
                <w:color w:val="000000"/>
                <w:kern w:val="0"/>
                <w:sz w:val="18"/>
                <w:szCs w:val="18"/>
              </w:rPr>
              <w:t>财政专项检查通过率</w:t>
            </w:r>
          </w:p>
        </w:tc>
        <w:tc>
          <w:tcPr>
            <w:tcW w:w="1077" w:type="dxa"/>
            <w:tcBorders>
              <w:top w:val="nil"/>
              <w:left w:val="nil"/>
              <w:bottom w:val="single" w:color="auto" w:sz="4" w:space="0"/>
              <w:right w:val="single" w:color="auto" w:sz="4" w:space="0"/>
            </w:tcBorders>
            <w:noWrap w:val="0"/>
            <w:vAlign w:val="center"/>
          </w:tcPr>
          <w:p w14:paraId="42F2FF47">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&gt;95%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49A60A2">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96%</w:t>
            </w:r>
          </w:p>
        </w:tc>
        <w:tc>
          <w:tcPr>
            <w:tcW w:w="636" w:type="dxa"/>
            <w:tcBorders>
              <w:top w:val="nil"/>
              <w:left w:val="nil"/>
              <w:bottom w:val="single" w:color="auto" w:sz="4" w:space="0"/>
              <w:right w:val="single" w:color="auto" w:sz="4" w:space="0"/>
            </w:tcBorders>
            <w:noWrap w:val="0"/>
            <w:vAlign w:val="center"/>
          </w:tcPr>
          <w:p w14:paraId="41C2DED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890" w:type="dxa"/>
            <w:tcBorders>
              <w:top w:val="nil"/>
              <w:left w:val="nil"/>
              <w:bottom w:val="single" w:color="auto" w:sz="4" w:space="0"/>
              <w:right w:val="single" w:color="auto" w:sz="4" w:space="0"/>
            </w:tcBorders>
            <w:noWrap w:val="0"/>
            <w:vAlign w:val="center"/>
          </w:tcPr>
          <w:p w14:paraId="35E2D61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1223" w:type="dxa"/>
            <w:tcBorders>
              <w:top w:val="nil"/>
              <w:left w:val="nil"/>
              <w:bottom w:val="single" w:color="auto" w:sz="4" w:space="0"/>
              <w:right w:val="single" w:color="auto" w:sz="4" w:space="0"/>
            </w:tcBorders>
            <w:noWrap w:val="0"/>
            <w:vAlign w:val="center"/>
          </w:tcPr>
          <w:p w14:paraId="1F0DE175">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0D6079D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F989C9D">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B5AD7DE">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650F44C6">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7CA120C">
            <w:pPr>
              <w:spacing w:line="240" w:lineRule="exact"/>
              <w:jc w:val="left"/>
              <w:rPr>
                <w:rFonts w:eastAsia="仿宋_GB2312"/>
                <w:color w:val="000000"/>
                <w:kern w:val="0"/>
                <w:sz w:val="18"/>
                <w:szCs w:val="18"/>
              </w:rPr>
            </w:pPr>
            <w:r>
              <w:rPr>
                <w:rFonts w:hint="eastAsia" w:eastAsia="仿宋_GB2312"/>
                <w:color w:val="000000"/>
                <w:kern w:val="0"/>
                <w:sz w:val="18"/>
                <w:szCs w:val="18"/>
              </w:rPr>
              <w:t>财政供养人员控制率</w:t>
            </w:r>
          </w:p>
        </w:tc>
        <w:tc>
          <w:tcPr>
            <w:tcW w:w="1077" w:type="dxa"/>
            <w:tcBorders>
              <w:top w:val="nil"/>
              <w:left w:val="nil"/>
              <w:bottom w:val="single" w:color="auto" w:sz="4" w:space="0"/>
              <w:right w:val="single" w:color="auto" w:sz="4" w:space="0"/>
            </w:tcBorders>
            <w:noWrap w:val="0"/>
            <w:vAlign w:val="center"/>
          </w:tcPr>
          <w:p w14:paraId="5E099E7E">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&gt;95%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E2A8C7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96%</w:t>
            </w:r>
          </w:p>
        </w:tc>
        <w:tc>
          <w:tcPr>
            <w:tcW w:w="636" w:type="dxa"/>
            <w:tcBorders>
              <w:top w:val="nil"/>
              <w:left w:val="nil"/>
              <w:bottom w:val="single" w:color="auto" w:sz="4" w:space="0"/>
              <w:right w:val="single" w:color="auto" w:sz="4" w:space="0"/>
            </w:tcBorders>
            <w:noWrap w:val="0"/>
            <w:vAlign w:val="center"/>
          </w:tcPr>
          <w:p w14:paraId="6367D69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890" w:type="dxa"/>
            <w:tcBorders>
              <w:top w:val="nil"/>
              <w:left w:val="nil"/>
              <w:bottom w:val="single" w:color="auto" w:sz="4" w:space="0"/>
              <w:right w:val="single" w:color="auto" w:sz="4" w:space="0"/>
            </w:tcBorders>
            <w:noWrap w:val="0"/>
            <w:vAlign w:val="center"/>
          </w:tcPr>
          <w:p w14:paraId="7130CF7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p>
        </w:tc>
        <w:tc>
          <w:tcPr>
            <w:tcW w:w="1223" w:type="dxa"/>
            <w:tcBorders>
              <w:top w:val="nil"/>
              <w:left w:val="nil"/>
              <w:bottom w:val="single" w:color="auto" w:sz="4" w:space="0"/>
              <w:right w:val="single" w:color="auto" w:sz="4" w:space="0"/>
            </w:tcBorders>
            <w:noWrap w:val="0"/>
            <w:vAlign w:val="center"/>
          </w:tcPr>
          <w:p w14:paraId="7DD77EFD">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5E2D2B9E">
        <w:tblPrEx>
          <w:tblCellMar>
            <w:top w:w="0" w:type="dxa"/>
            <w:left w:w="108" w:type="dxa"/>
            <w:bottom w:w="0" w:type="dxa"/>
            <w:right w:w="108" w:type="dxa"/>
          </w:tblCellMar>
        </w:tblPrEx>
        <w:trPr>
          <w:trHeight w:val="404" w:hRule="atLeast"/>
          <w:jc w:val="center"/>
        </w:trPr>
        <w:tc>
          <w:tcPr>
            <w:tcW w:w="969" w:type="dxa"/>
            <w:vMerge w:val="continue"/>
            <w:tcBorders>
              <w:left w:val="single" w:color="auto" w:sz="4" w:space="0"/>
              <w:right w:val="single" w:color="auto" w:sz="4" w:space="0"/>
            </w:tcBorders>
            <w:noWrap w:val="0"/>
            <w:vAlign w:val="center"/>
          </w:tcPr>
          <w:p w14:paraId="5BB8AC46">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9A40D63">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318483C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14:paraId="5402EE1A">
            <w:pPr>
              <w:spacing w:line="240" w:lineRule="exact"/>
              <w:jc w:val="left"/>
              <w:rPr>
                <w:rFonts w:eastAsia="仿宋_GB2312"/>
                <w:color w:val="000000"/>
                <w:kern w:val="0"/>
                <w:sz w:val="18"/>
                <w:szCs w:val="18"/>
              </w:rPr>
            </w:pPr>
            <w:r>
              <w:rPr>
                <w:rFonts w:hint="eastAsia" w:eastAsia="仿宋_GB2312"/>
                <w:color w:val="000000"/>
                <w:kern w:val="0"/>
                <w:sz w:val="18"/>
                <w:szCs w:val="18"/>
              </w:rPr>
              <w:t>验收及时率</w:t>
            </w:r>
          </w:p>
        </w:tc>
        <w:tc>
          <w:tcPr>
            <w:tcW w:w="1077" w:type="dxa"/>
            <w:tcBorders>
              <w:top w:val="nil"/>
              <w:left w:val="nil"/>
              <w:bottom w:val="single" w:color="auto" w:sz="4" w:space="0"/>
              <w:right w:val="single" w:color="auto" w:sz="4" w:space="0"/>
            </w:tcBorders>
            <w:noWrap w:val="0"/>
            <w:vAlign w:val="center"/>
          </w:tcPr>
          <w:p w14:paraId="3BBE438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A057E84">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0B6A91C1">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890" w:type="dxa"/>
            <w:tcBorders>
              <w:top w:val="nil"/>
              <w:left w:val="nil"/>
              <w:bottom w:val="single" w:color="auto" w:sz="4" w:space="0"/>
              <w:right w:val="single" w:color="auto" w:sz="4" w:space="0"/>
            </w:tcBorders>
            <w:noWrap w:val="0"/>
            <w:vAlign w:val="center"/>
          </w:tcPr>
          <w:p w14:paraId="09FEAB35">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1223" w:type="dxa"/>
            <w:tcBorders>
              <w:top w:val="nil"/>
              <w:left w:val="nil"/>
              <w:bottom w:val="single" w:color="auto" w:sz="4" w:space="0"/>
              <w:right w:val="single" w:color="auto" w:sz="4" w:space="0"/>
            </w:tcBorders>
            <w:noWrap w:val="0"/>
            <w:vAlign w:val="center"/>
          </w:tcPr>
          <w:p w14:paraId="0CEE62E6">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4AFF1AD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652BF29">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DD3422D">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6BF05F39">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19EB2543">
            <w:pPr>
              <w:spacing w:line="240" w:lineRule="exact"/>
              <w:jc w:val="left"/>
              <w:rPr>
                <w:rFonts w:eastAsia="仿宋_GB2312"/>
                <w:color w:val="000000"/>
                <w:kern w:val="0"/>
                <w:sz w:val="18"/>
                <w:szCs w:val="18"/>
              </w:rPr>
            </w:pPr>
            <w:r>
              <w:rPr>
                <w:rFonts w:hint="eastAsia" w:eastAsia="仿宋_GB2312"/>
                <w:color w:val="000000"/>
                <w:kern w:val="0"/>
                <w:sz w:val="18"/>
                <w:szCs w:val="18"/>
              </w:rPr>
              <w:t>财政评审及时率</w:t>
            </w:r>
          </w:p>
        </w:tc>
        <w:tc>
          <w:tcPr>
            <w:tcW w:w="1077" w:type="dxa"/>
            <w:tcBorders>
              <w:top w:val="nil"/>
              <w:left w:val="nil"/>
              <w:bottom w:val="single" w:color="auto" w:sz="4" w:space="0"/>
              <w:right w:val="single" w:color="auto" w:sz="4" w:space="0"/>
            </w:tcBorders>
            <w:noWrap w:val="0"/>
            <w:vAlign w:val="center"/>
          </w:tcPr>
          <w:p w14:paraId="0C701FF5">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621238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3A33F0C7">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w:t>
            </w:r>
          </w:p>
        </w:tc>
        <w:tc>
          <w:tcPr>
            <w:tcW w:w="890" w:type="dxa"/>
            <w:tcBorders>
              <w:top w:val="nil"/>
              <w:left w:val="nil"/>
              <w:bottom w:val="single" w:color="auto" w:sz="4" w:space="0"/>
              <w:right w:val="single" w:color="auto" w:sz="4" w:space="0"/>
            </w:tcBorders>
            <w:noWrap w:val="0"/>
            <w:vAlign w:val="center"/>
          </w:tcPr>
          <w:p w14:paraId="56FFBAB9">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w:t>
            </w:r>
          </w:p>
        </w:tc>
        <w:tc>
          <w:tcPr>
            <w:tcW w:w="1223" w:type="dxa"/>
            <w:tcBorders>
              <w:top w:val="nil"/>
              <w:left w:val="nil"/>
              <w:bottom w:val="single" w:color="auto" w:sz="4" w:space="0"/>
              <w:right w:val="single" w:color="auto" w:sz="4" w:space="0"/>
            </w:tcBorders>
            <w:noWrap w:val="0"/>
            <w:vAlign w:val="center"/>
          </w:tcPr>
          <w:p w14:paraId="0073F4B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3CA37B92">
        <w:tblPrEx>
          <w:tblCellMar>
            <w:top w:w="0" w:type="dxa"/>
            <w:left w:w="108" w:type="dxa"/>
            <w:bottom w:w="0" w:type="dxa"/>
            <w:right w:w="108" w:type="dxa"/>
          </w:tblCellMar>
        </w:tblPrEx>
        <w:trPr>
          <w:trHeight w:val="610" w:hRule="atLeast"/>
          <w:jc w:val="center"/>
        </w:trPr>
        <w:tc>
          <w:tcPr>
            <w:tcW w:w="969" w:type="dxa"/>
            <w:vMerge w:val="continue"/>
            <w:tcBorders>
              <w:left w:val="single" w:color="auto" w:sz="4" w:space="0"/>
              <w:right w:val="single" w:color="auto" w:sz="4" w:space="0"/>
            </w:tcBorders>
            <w:noWrap w:val="0"/>
            <w:vAlign w:val="center"/>
          </w:tcPr>
          <w:p w14:paraId="48CD508C">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73F26E2">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54009A2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noWrap w:val="0"/>
            <w:vAlign w:val="center"/>
          </w:tcPr>
          <w:p w14:paraId="5F266AD4">
            <w:pPr>
              <w:spacing w:line="240" w:lineRule="exact"/>
              <w:jc w:val="left"/>
              <w:rPr>
                <w:rFonts w:eastAsia="仿宋_GB2312"/>
                <w:color w:val="000000"/>
                <w:kern w:val="0"/>
                <w:sz w:val="18"/>
                <w:szCs w:val="18"/>
              </w:rPr>
            </w:pPr>
            <w:r>
              <w:rPr>
                <w:rFonts w:hint="eastAsia" w:eastAsia="仿宋_GB2312"/>
                <w:color w:val="000000"/>
                <w:kern w:val="0"/>
                <w:sz w:val="18"/>
                <w:szCs w:val="18"/>
              </w:rPr>
              <w:t>部门预算支出金额</w:t>
            </w:r>
          </w:p>
        </w:tc>
        <w:tc>
          <w:tcPr>
            <w:tcW w:w="1077" w:type="dxa"/>
            <w:tcBorders>
              <w:top w:val="nil"/>
              <w:left w:val="nil"/>
              <w:bottom w:val="single" w:color="auto" w:sz="4" w:space="0"/>
              <w:right w:val="single" w:color="auto" w:sz="4" w:space="0"/>
            </w:tcBorders>
            <w:noWrap w:val="0"/>
            <w:vAlign w:val="center"/>
          </w:tcPr>
          <w:p w14:paraId="67375830">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&lt;2631.63万元</w:t>
            </w:r>
          </w:p>
        </w:tc>
        <w:tc>
          <w:tcPr>
            <w:tcW w:w="1146" w:type="dxa"/>
            <w:tcBorders>
              <w:top w:val="nil"/>
              <w:left w:val="nil"/>
              <w:bottom w:val="single" w:color="auto" w:sz="4" w:space="0"/>
              <w:right w:val="single" w:color="auto" w:sz="4" w:space="0"/>
            </w:tcBorders>
            <w:noWrap w:val="0"/>
            <w:vAlign w:val="center"/>
          </w:tcPr>
          <w:p w14:paraId="31E470C9">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2514.55万元</w:t>
            </w:r>
          </w:p>
        </w:tc>
        <w:tc>
          <w:tcPr>
            <w:tcW w:w="636" w:type="dxa"/>
            <w:tcBorders>
              <w:top w:val="nil"/>
              <w:left w:val="nil"/>
              <w:bottom w:val="single" w:color="auto" w:sz="4" w:space="0"/>
              <w:right w:val="single" w:color="auto" w:sz="4" w:space="0"/>
            </w:tcBorders>
            <w:noWrap w:val="0"/>
            <w:vAlign w:val="center"/>
          </w:tcPr>
          <w:p w14:paraId="7BBA7ECC">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6</w:t>
            </w:r>
          </w:p>
        </w:tc>
        <w:tc>
          <w:tcPr>
            <w:tcW w:w="890" w:type="dxa"/>
            <w:tcBorders>
              <w:top w:val="nil"/>
              <w:left w:val="nil"/>
              <w:bottom w:val="single" w:color="auto" w:sz="4" w:space="0"/>
              <w:right w:val="single" w:color="auto" w:sz="4" w:space="0"/>
            </w:tcBorders>
            <w:noWrap w:val="0"/>
            <w:vAlign w:val="center"/>
          </w:tcPr>
          <w:p w14:paraId="01B7D41A">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6</w:t>
            </w:r>
          </w:p>
        </w:tc>
        <w:tc>
          <w:tcPr>
            <w:tcW w:w="1223" w:type="dxa"/>
            <w:tcBorders>
              <w:top w:val="nil"/>
              <w:left w:val="nil"/>
              <w:bottom w:val="single" w:color="auto" w:sz="4" w:space="0"/>
              <w:right w:val="single" w:color="auto" w:sz="4" w:space="0"/>
            </w:tcBorders>
            <w:noWrap w:val="0"/>
            <w:vAlign w:val="center"/>
          </w:tcPr>
          <w:p w14:paraId="4B46D39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4C1C1177">
        <w:tblPrEx>
          <w:tblCellMar>
            <w:top w:w="0" w:type="dxa"/>
            <w:left w:w="108" w:type="dxa"/>
            <w:bottom w:w="0" w:type="dxa"/>
            <w:right w:w="108" w:type="dxa"/>
          </w:tblCellMar>
        </w:tblPrEx>
        <w:trPr>
          <w:trHeight w:val="1480" w:hRule="atLeast"/>
          <w:jc w:val="center"/>
        </w:trPr>
        <w:tc>
          <w:tcPr>
            <w:tcW w:w="969" w:type="dxa"/>
            <w:vMerge w:val="continue"/>
            <w:tcBorders>
              <w:left w:val="single" w:color="auto" w:sz="4" w:space="0"/>
              <w:right w:val="single" w:color="auto" w:sz="4" w:space="0"/>
            </w:tcBorders>
            <w:noWrap w:val="0"/>
            <w:vAlign w:val="center"/>
          </w:tcPr>
          <w:p w14:paraId="1C306515">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012DE7A7">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64D14231">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D97702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14:paraId="5F147D35">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为乡村振兴提供坚实财力支撑</w:t>
            </w:r>
          </w:p>
        </w:tc>
        <w:tc>
          <w:tcPr>
            <w:tcW w:w="1077" w:type="dxa"/>
            <w:tcBorders>
              <w:top w:val="nil"/>
              <w:left w:val="nil"/>
              <w:bottom w:val="single" w:color="auto" w:sz="4" w:space="0"/>
              <w:right w:val="single" w:color="auto" w:sz="4" w:space="0"/>
            </w:tcBorders>
            <w:noWrap w:val="0"/>
            <w:vAlign w:val="center"/>
          </w:tcPr>
          <w:p w14:paraId="69F64DFB">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有所帮助</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1B6570E">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帮助到位</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2851AC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0FE55247">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5C9B3A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1C77260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0D21E25">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3527C04">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654A25BD">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614744F">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发扬艰苦奋斗精神，严控公用经费，力争把经费用好到到每一方面</w:t>
            </w:r>
          </w:p>
        </w:tc>
        <w:tc>
          <w:tcPr>
            <w:tcW w:w="1077" w:type="dxa"/>
            <w:tcBorders>
              <w:top w:val="nil"/>
              <w:left w:val="nil"/>
              <w:bottom w:val="single" w:color="auto" w:sz="4" w:space="0"/>
              <w:right w:val="single" w:color="auto" w:sz="4" w:space="0"/>
            </w:tcBorders>
            <w:noWrap w:val="0"/>
            <w:vAlign w:val="center"/>
          </w:tcPr>
          <w:p w14:paraId="70A7D7C9">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缩减经费</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E3CFC8C">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有所缩减</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35E663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E9DA129">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57734FD5">
            <w:pPr>
              <w:spacing w:line="240" w:lineRule="exact"/>
              <w:ind w:firstLine="360" w:firstLineChars="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76636C5E">
        <w:tblPrEx>
          <w:tblCellMar>
            <w:top w:w="0" w:type="dxa"/>
            <w:left w:w="108" w:type="dxa"/>
            <w:bottom w:w="0" w:type="dxa"/>
            <w:right w:w="108" w:type="dxa"/>
          </w:tblCellMar>
        </w:tblPrEx>
        <w:trPr>
          <w:trHeight w:val="708" w:hRule="atLeast"/>
          <w:jc w:val="center"/>
        </w:trPr>
        <w:tc>
          <w:tcPr>
            <w:tcW w:w="969" w:type="dxa"/>
            <w:vMerge w:val="continue"/>
            <w:tcBorders>
              <w:left w:val="single" w:color="auto" w:sz="4" w:space="0"/>
              <w:right w:val="single" w:color="auto" w:sz="4" w:space="0"/>
            </w:tcBorders>
            <w:noWrap w:val="0"/>
            <w:vAlign w:val="center"/>
          </w:tcPr>
          <w:p w14:paraId="500A8CC2">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763D8EF1">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42076D9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25E42688">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2625D18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29DE1352">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保障全县经济持续稳定发展</w:t>
            </w:r>
          </w:p>
        </w:tc>
        <w:tc>
          <w:tcPr>
            <w:tcW w:w="1077" w:type="dxa"/>
            <w:tcBorders>
              <w:top w:val="nil"/>
              <w:left w:val="nil"/>
              <w:bottom w:val="single" w:color="auto" w:sz="4" w:space="0"/>
              <w:right w:val="single" w:color="auto" w:sz="4" w:space="0"/>
            </w:tcBorders>
            <w:noWrap w:val="0"/>
            <w:vAlign w:val="center"/>
          </w:tcPr>
          <w:p w14:paraId="25E724F5">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落实到位</w:t>
            </w:r>
          </w:p>
        </w:tc>
        <w:tc>
          <w:tcPr>
            <w:tcW w:w="1146" w:type="dxa"/>
            <w:tcBorders>
              <w:top w:val="nil"/>
              <w:left w:val="nil"/>
              <w:bottom w:val="single" w:color="auto" w:sz="4" w:space="0"/>
              <w:right w:val="single" w:color="auto" w:sz="4" w:space="0"/>
            </w:tcBorders>
            <w:noWrap w:val="0"/>
            <w:vAlign w:val="center"/>
          </w:tcPr>
          <w:p w14:paraId="709A58D5">
            <w:pPr>
              <w:pStyle w:val="5"/>
              <w:rPr>
                <w:rFonts w:hint="eastAsia" w:eastAsia="仿宋_GB2312"/>
                <w:lang w:eastAsia="zh-CN"/>
              </w:rPr>
            </w:pPr>
            <w:r>
              <w:rPr>
                <w:rFonts w:hint="eastAsia" w:eastAsia="仿宋_GB2312"/>
                <w:color w:val="000000"/>
                <w:kern w:val="0"/>
                <w:sz w:val="18"/>
                <w:szCs w:val="18"/>
                <w:lang w:eastAsia="zh-CN"/>
              </w:rPr>
              <w:t>保障到位</w:t>
            </w:r>
          </w:p>
        </w:tc>
        <w:tc>
          <w:tcPr>
            <w:tcW w:w="636" w:type="dxa"/>
            <w:tcBorders>
              <w:top w:val="nil"/>
              <w:left w:val="nil"/>
              <w:bottom w:val="single" w:color="auto" w:sz="4" w:space="0"/>
              <w:right w:val="single" w:color="auto" w:sz="4" w:space="0"/>
            </w:tcBorders>
            <w:noWrap w:val="0"/>
            <w:vAlign w:val="center"/>
          </w:tcPr>
          <w:p w14:paraId="242FA51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06C7A367">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770A2E14">
            <w:pPr>
              <w:spacing w:line="240" w:lineRule="exact"/>
              <w:ind w:firstLine="360" w:firstLineChars="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4B82877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4660F4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5D453B97">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6C61ABE4">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1B0E0797">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全力保障基本支出，财力持续向民生领域倾斜，提升群众生活幸福感</w:t>
            </w:r>
          </w:p>
        </w:tc>
        <w:tc>
          <w:tcPr>
            <w:tcW w:w="1077" w:type="dxa"/>
            <w:tcBorders>
              <w:top w:val="nil"/>
              <w:left w:val="nil"/>
              <w:bottom w:val="single" w:color="auto" w:sz="4" w:space="0"/>
              <w:right w:val="single" w:color="auto" w:sz="4" w:space="0"/>
            </w:tcBorders>
            <w:noWrap w:val="0"/>
            <w:vAlign w:val="center"/>
          </w:tcPr>
          <w:p w14:paraId="49F7E155">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提升幸福感</w:t>
            </w:r>
          </w:p>
        </w:tc>
        <w:tc>
          <w:tcPr>
            <w:tcW w:w="1146" w:type="dxa"/>
            <w:tcBorders>
              <w:top w:val="nil"/>
              <w:left w:val="nil"/>
              <w:bottom w:val="single" w:color="auto" w:sz="4" w:space="0"/>
              <w:right w:val="single" w:color="auto" w:sz="4" w:space="0"/>
            </w:tcBorders>
            <w:noWrap w:val="0"/>
            <w:vAlign w:val="center"/>
          </w:tcPr>
          <w:p w14:paraId="110F7BAB">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有所提高</w:t>
            </w:r>
          </w:p>
        </w:tc>
        <w:tc>
          <w:tcPr>
            <w:tcW w:w="636" w:type="dxa"/>
            <w:tcBorders>
              <w:top w:val="nil"/>
              <w:left w:val="nil"/>
              <w:bottom w:val="single" w:color="auto" w:sz="4" w:space="0"/>
              <w:right w:val="single" w:color="auto" w:sz="4" w:space="0"/>
            </w:tcBorders>
            <w:noWrap w:val="0"/>
            <w:vAlign w:val="center"/>
          </w:tcPr>
          <w:p w14:paraId="274B6F04">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5A1BA0E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5D5FE307">
            <w:pPr>
              <w:spacing w:line="240" w:lineRule="exact"/>
              <w:ind w:firstLine="360" w:firstLineChars="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0BCE4797">
        <w:tblPrEx>
          <w:tblCellMar>
            <w:top w:w="0" w:type="dxa"/>
            <w:left w:w="108" w:type="dxa"/>
            <w:bottom w:w="0" w:type="dxa"/>
            <w:right w:w="108" w:type="dxa"/>
          </w:tblCellMar>
        </w:tblPrEx>
        <w:trPr>
          <w:trHeight w:val="735" w:hRule="atLeast"/>
          <w:jc w:val="center"/>
        </w:trPr>
        <w:tc>
          <w:tcPr>
            <w:tcW w:w="969" w:type="dxa"/>
            <w:vMerge w:val="continue"/>
            <w:tcBorders>
              <w:left w:val="single" w:color="auto" w:sz="4" w:space="0"/>
              <w:right w:val="single" w:color="auto" w:sz="4" w:space="0"/>
            </w:tcBorders>
            <w:noWrap w:val="0"/>
            <w:vAlign w:val="center"/>
          </w:tcPr>
          <w:p w14:paraId="1EBAC804">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27AE597">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563653A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14:paraId="5BA307BE">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开展创卫工作</w:t>
            </w:r>
          </w:p>
        </w:tc>
        <w:tc>
          <w:tcPr>
            <w:tcW w:w="1077" w:type="dxa"/>
            <w:tcBorders>
              <w:top w:val="nil"/>
              <w:left w:val="nil"/>
              <w:bottom w:val="single" w:color="auto" w:sz="4" w:space="0"/>
              <w:right w:val="single" w:color="auto" w:sz="4" w:space="0"/>
            </w:tcBorders>
            <w:noWrap w:val="0"/>
            <w:vAlign w:val="center"/>
          </w:tcPr>
          <w:p w14:paraId="70DBCC95">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有成效</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D1DD08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有</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1A3556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464822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36C346C">
            <w:pPr>
              <w:spacing w:line="240" w:lineRule="exact"/>
              <w:ind w:firstLine="360" w:firstLineChars="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1479070F">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4E032B2A">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1AEE8AF1">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5307C1D2">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2A14DAD5">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vMerge w:val="restart"/>
            <w:tcBorders>
              <w:top w:val="single" w:color="auto" w:sz="4" w:space="0"/>
              <w:left w:val="single" w:color="auto" w:sz="4" w:space="0"/>
              <w:right w:val="single" w:color="auto" w:sz="4" w:space="0"/>
            </w:tcBorders>
            <w:noWrap w:val="0"/>
            <w:vAlign w:val="center"/>
          </w:tcPr>
          <w:p w14:paraId="28F5C1E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7BF75F2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408391F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36129E9E">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加强财务、资产管理、提高资金利用率</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FEE8917">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有所提高</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A0138B5">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有</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53A75EC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28B83B3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07230F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D7FA386">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36AD2263">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right w:val="single" w:color="auto" w:sz="4" w:space="0"/>
            </w:tcBorders>
            <w:noWrap w:val="0"/>
            <w:vAlign w:val="center"/>
          </w:tcPr>
          <w:p w14:paraId="3EE2E962">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right w:val="single" w:color="auto" w:sz="4" w:space="0"/>
            </w:tcBorders>
            <w:noWrap w:val="0"/>
            <w:tcMar>
              <w:top w:w="0" w:type="dxa"/>
              <w:left w:w="0" w:type="dxa"/>
              <w:bottom w:w="0" w:type="dxa"/>
              <w:right w:w="0" w:type="dxa"/>
            </w:tcMar>
            <w:vAlign w:val="center"/>
          </w:tcPr>
          <w:p w14:paraId="611496E9">
            <w:pPr>
              <w:spacing w:line="240" w:lineRule="exact"/>
              <w:ind w:firstLine="360"/>
              <w:jc w:val="center"/>
              <w:rPr>
                <w:rFonts w:eastAsia="仿宋_GB2312"/>
                <w:color w:val="000000"/>
                <w:kern w:val="0"/>
                <w:sz w:val="18"/>
                <w:szCs w:val="18"/>
              </w:rPr>
            </w:pPr>
          </w:p>
        </w:tc>
        <w:tc>
          <w:tcPr>
            <w:tcW w:w="1357" w:type="dxa"/>
            <w:gridSpan w:val="2"/>
            <w:tcBorders>
              <w:top w:val="single" w:color="auto" w:sz="4" w:space="0"/>
              <w:left w:val="nil"/>
              <w:bottom w:val="single" w:color="auto" w:sz="4" w:space="0"/>
              <w:right w:val="single" w:color="auto" w:sz="4" w:space="0"/>
            </w:tcBorders>
            <w:noWrap w:val="0"/>
            <w:vAlign w:val="center"/>
          </w:tcPr>
          <w:p w14:paraId="2806018A">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全县经济健康发展发展和社会稳定提供坚实财力支撑</w:t>
            </w:r>
          </w:p>
        </w:tc>
        <w:tc>
          <w:tcPr>
            <w:tcW w:w="1077" w:type="dxa"/>
            <w:tcBorders>
              <w:top w:val="single" w:color="auto" w:sz="4" w:space="0"/>
              <w:left w:val="nil"/>
              <w:bottom w:val="single" w:color="auto" w:sz="4" w:space="0"/>
              <w:right w:val="single" w:color="auto" w:sz="4" w:space="0"/>
            </w:tcBorders>
            <w:noWrap w:val="0"/>
            <w:vAlign w:val="center"/>
          </w:tcPr>
          <w:p w14:paraId="70E29F99">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影响长远</w:t>
            </w: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15BB4F2C">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始终坚持</w:t>
            </w:r>
          </w:p>
        </w:tc>
        <w:tc>
          <w:tcPr>
            <w:tcW w:w="636" w:type="dxa"/>
            <w:tcBorders>
              <w:top w:val="single" w:color="auto" w:sz="4" w:space="0"/>
              <w:left w:val="nil"/>
              <w:bottom w:val="single" w:color="auto" w:sz="4" w:space="0"/>
              <w:right w:val="single" w:color="auto" w:sz="4" w:space="0"/>
            </w:tcBorders>
            <w:noWrap w:val="0"/>
            <w:vAlign w:val="center"/>
          </w:tcPr>
          <w:p w14:paraId="0740E29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6AD6625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14:paraId="5F012EB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9435578">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14:paraId="75186F11">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60CF83A6">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2BFBE812">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02BC301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0A7A712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4A51E61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667C681C">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社会公众满意度</w:t>
            </w:r>
          </w:p>
        </w:tc>
        <w:tc>
          <w:tcPr>
            <w:tcW w:w="1077" w:type="dxa"/>
            <w:tcBorders>
              <w:top w:val="nil"/>
              <w:left w:val="nil"/>
              <w:bottom w:val="single" w:color="auto" w:sz="4" w:space="0"/>
              <w:right w:val="single" w:color="auto" w:sz="4" w:space="0"/>
            </w:tcBorders>
            <w:noWrap w:val="0"/>
            <w:vAlign w:val="center"/>
          </w:tcPr>
          <w:p w14:paraId="38F9367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&gt;95%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95F2E78">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达到满意度</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87F897D">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C72B2B4">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14:paraId="37CB86F2">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068A7366">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16C8E12F">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75A7D55">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vAlign w:val="center"/>
          </w:tcPr>
          <w:p w14:paraId="3352E154">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9215AB4">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主管部门满意度</w:t>
            </w:r>
          </w:p>
        </w:tc>
        <w:tc>
          <w:tcPr>
            <w:tcW w:w="1077" w:type="dxa"/>
            <w:tcBorders>
              <w:top w:val="nil"/>
              <w:left w:val="nil"/>
              <w:bottom w:val="single" w:color="auto" w:sz="4" w:space="0"/>
              <w:right w:val="single" w:color="auto" w:sz="4" w:space="0"/>
            </w:tcBorders>
            <w:noWrap w:val="0"/>
            <w:vAlign w:val="center"/>
          </w:tcPr>
          <w:p w14:paraId="70B166E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&gt;95%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3CEB05A">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达到满意度</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9F9052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0232997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4579F505">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无</w:t>
            </w:r>
            <w:r>
              <w:rPr>
                <w:rFonts w:eastAsia="仿宋_GB2312"/>
                <w:color w:val="000000"/>
                <w:kern w:val="0"/>
                <w:sz w:val="18"/>
                <w:szCs w:val="18"/>
              </w:rPr>
              <w:t>　</w:t>
            </w:r>
          </w:p>
        </w:tc>
      </w:tr>
      <w:tr w14:paraId="42ED1510">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0E40EC80">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383B58B3">
            <w:pPr>
              <w:spacing w:line="240" w:lineRule="exact"/>
              <w:ind w:firstLine="0" w:firstLineChars="0"/>
              <w:jc w:val="both"/>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21CA7FAD">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7DE6A4D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2D2B92A4">
      <w:pPr>
        <w:spacing w:line="600" w:lineRule="exact"/>
        <w:jc w:val="left"/>
        <w:rPr>
          <w:rFonts w:hint="eastAsia" w:ascii="仿宋" w:hAnsi="仿宋" w:eastAsia="仿宋" w:cs="仿宋"/>
          <w:kern w:val="0"/>
        </w:rPr>
      </w:pPr>
      <w:bookmarkStart w:id="0" w:name="_GoBack"/>
      <w:bookmarkEnd w:id="0"/>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92692F-E324-4B8A-8BA5-FBE0D04312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020573A-1A9B-4B4A-8331-1DD48C748555}"/>
  </w:font>
  <w:font w:name="方正大标宋简体">
    <w:panose1 w:val="02000000000000000000"/>
    <w:charset w:val="86"/>
    <w:family w:val="auto"/>
    <w:pitch w:val="default"/>
    <w:sig w:usb0="A00002BF" w:usb1="184F6CFA" w:usb2="00000012" w:usb3="00000000" w:csb0="00040001" w:csb1="00000000"/>
    <w:embedRegular r:id="rId3" w:fontKey="{3C228EC6-AA69-4646-BDEE-9A15EE544A67}"/>
  </w:font>
  <w:font w:name="仿宋">
    <w:panose1 w:val="02010609060101010101"/>
    <w:charset w:val="86"/>
    <w:family w:val="auto"/>
    <w:pitch w:val="default"/>
    <w:sig w:usb0="800002BF" w:usb1="38CF7CFA" w:usb2="00000016" w:usb3="00000000" w:csb0="00040001" w:csb1="00000000"/>
    <w:embedRegular r:id="rId4" w:fontKey="{15BCBC61-AB8A-4757-B6CA-386A43065E61}"/>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D795">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7506B">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77506B">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6FE4">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14:paraId="08755162">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2E3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1D1B1"/>
    <w:multiLevelType w:val="singleLevel"/>
    <w:tmpl w:val="EC81D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jlhMDk2MGJlN2ViMWRjMGQ2MWY4NmZjOTdjZjM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AC5543"/>
    <w:rsid w:val="06F51A39"/>
    <w:rsid w:val="07155C37"/>
    <w:rsid w:val="071F2B16"/>
    <w:rsid w:val="07287718"/>
    <w:rsid w:val="074D22E3"/>
    <w:rsid w:val="077E558A"/>
    <w:rsid w:val="086C1887"/>
    <w:rsid w:val="08C0694B"/>
    <w:rsid w:val="08CD3D91"/>
    <w:rsid w:val="092D1499"/>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0F13271"/>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03A45"/>
    <w:rsid w:val="144F5156"/>
    <w:rsid w:val="14682A52"/>
    <w:rsid w:val="14740441"/>
    <w:rsid w:val="14B52807"/>
    <w:rsid w:val="15301FCE"/>
    <w:rsid w:val="15916DD0"/>
    <w:rsid w:val="167504A0"/>
    <w:rsid w:val="16FE0496"/>
    <w:rsid w:val="1711641B"/>
    <w:rsid w:val="17233A58"/>
    <w:rsid w:val="174148B4"/>
    <w:rsid w:val="1767588B"/>
    <w:rsid w:val="176D1177"/>
    <w:rsid w:val="18383533"/>
    <w:rsid w:val="184E2D57"/>
    <w:rsid w:val="18956BD8"/>
    <w:rsid w:val="18BC23B6"/>
    <w:rsid w:val="18D538B0"/>
    <w:rsid w:val="18E032C2"/>
    <w:rsid w:val="19954A44"/>
    <w:rsid w:val="19A277FE"/>
    <w:rsid w:val="19BB266E"/>
    <w:rsid w:val="1A073B05"/>
    <w:rsid w:val="1A5605E9"/>
    <w:rsid w:val="1B326960"/>
    <w:rsid w:val="1B8B42C2"/>
    <w:rsid w:val="1BCD6688"/>
    <w:rsid w:val="1BD417C5"/>
    <w:rsid w:val="1CB05D8E"/>
    <w:rsid w:val="1CCF110C"/>
    <w:rsid w:val="1D743260"/>
    <w:rsid w:val="1D9456B0"/>
    <w:rsid w:val="1DEB1048"/>
    <w:rsid w:val="1DF80E0A"/>
    <w:rsid w:val="1E0F4D36"/>
    <w:rsid w:val="1E164317"/>
    <w:rsid w:val="1EDD568A"/>
    <w:rsid w:val="1F3D3B25"/>
    <w:rsid w:val="1FA31533"/>
    <w:rsid w:val="1FDB75C6"/>
    <w:rsid w:val="206A094A"/>
    <w:rsid w:val="20F3418D"/>
    <w:rsid w:val="211A411E"/>
    <w:rsid w:val="21260D15"/>
    <w:rsid w:val="21274A8D"/>
    <w:rsid w:val="213827F6"/>
    <w:rsid w:val="21771570"/>
    <w:rsid w:val="21796BC2"/>
    <w:rsid w:val="21B552CB"/>
    <w:rsid w:val="220527FD"/>
    <w:rsid w:val="22BE0E76"/>
    <w:rsid w:val="22DE4C55"/>
    <w:rsid w:val="231132FF"/>
    <w:rsid w:val="23250B58"/>
    <w:rsid w:val="244A2F6C"/>
    <w:rsid w:val="244A495C"/>
    <w:rsid w:val="2483632E"/>
    <w:rsid w:val="24883A94"/>
    <w:rsid w:val="24A05998"/>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515A5B"/>
    <w:rsid w:val="27873B8F"/>
    <w:rsid w:val="281D135F"/>
    <w:rsid w:val="28377363"/>
    <w:rsid w:val="28BF4190"/>
    <w:rsid w:val="28C4406E"/>
    <w:rsid w:val="28C878C3"/>
    <w:rsid w:val="29037B8D"/>
    <w:rsid w:val="2A5341FD"/>
    <w:rsid w:val="2A706BB3"/>
    <w:rsid w:val="2A7C719C"/>
    <w:rsid w:val="2A974647"/>
    <w:rsid w:val="2ACC49F6"/>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3F4659"/>
    <w:rsid w:val="2F9C21A2"/>
    <w:rsid w:val="2FC02FA6"/>
    <w:rsid w:val="2FCE528B"/>
    <w:rsid w:val="2FD22068"/>
    <w:rsid w:val="2FDC6A42"/>
    <w:rsid w:val="2FE57F9B"/>
    <w:rsid w:val="2FF11279"/>
    <w:rsid w:val="2FF4311D"/>
    <w:rsid w:val="2FF745A3"/>
    <w:rsid w:val="304D7ABC"/>
    <w:rsid w:val="30776956"/>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321D6A"/>
    <w:rsid w:val="376A3C4C"/>
    <w:rsid w:val="377D6D5D"/>
    <w:rsid w:val="37CD55EE"/>
    <w:rsid w:val="37D270A9"/>
    <w:rsid w:val="38761300"/>
    <w:rsid w:val="38D330D8"/>
    <w:rsid w:val="38E452E6"/>
    <w:rsid w:val="38F90665"/>
    <w:rsid w:val="38FC7F68"/>
    <w:rsid w:val="39152057"/>
    <w:rsid w:val="391E32EE"/>
    <w:rsid w:val="39C175C6"/>
    <w:rsid w:val="3A754CC9"/>
    <w:rsid w:val="3A771FCA"/>
    <w:rsid w:val="3B082DE1"/>
    <w:rsid w:val="3B4A51A8"/>
    <w:rsid w:val="3B563B4D"/>
    <w:rsid w:val="3BDC6748"/>
    <w:rsid w:val="3BEA370A"/>
    <w:rsid w:val="3C6B3628"/>
    <w:rsid w:val="3D1D7B5F"/>
    <w:rsid w:val="3DCE3E6E"/>
    <w:rsid w:val="3DFE0BF8"/>
    <w:rsid w:val="3E030FFE"/>
    <w:rsid w:val="3E2D6890"/>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13009D"/>
    <w:rsid w:val="46222FA9"/>
    <w:rsid w:val="46A0466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454CAE"/>
    <w:rsid w:val="4E6A24DF"/>
    <w:rsid w:val="4E7E368F"/>
    <w:rsid w:val="4EDF237F"/>
    <w:rsid w:val="4F3B1723"/>
    <w:rsid w:val="4F702FD7"/>
    <w:rsid w:val="4F7A3E56"/>
    <w:rsid w:val="4F8627FB"/>
    <w:rsid w:val="4FA462B3"/>
    <w:rsid w:val="4FE6773D"/>
    <w:rsid w:val="500E3A72"/>
    <w:rsid w:val="50192406"/>
    <w:rsid w:val="5039786D"/>
    <w:rsid w:val="506348EA"/>
    <w:rsid w:val="507028FD"/>
    <w:rsid w:val="507C62DD"/>
    <w:rsid w:val="508D1967"/>
    <w:rsid w:val="50B20CEB"/>
    <w:rsid w:val="50E517A3"/>
    <w:rsid w:val="5167040A"/>
    <w:rsid w:val="521E54EC"/>
    <w:rsid w:val="522E2CD6"/>
    <w:rsid w:val="527E3C5D"/>
    <w:rsid w:val="545D5AF4"/>
    <w:rsid w:val="547370C6"/>
    <w:rsid w:val="54B17B2A"/>
    <w:rsid w:val="54CF07A0"/>
    <w:rsid w:val="55164621"/>
    <w:rsid w:val="552F2E36"/>
    <w:rsid w:val="558D41B7"/>
    <w:rsid w:val="55FE57CA"/>
    <w:rsid w:val="56231F37"/>
    <w:rsid w:val="562B40FC"/>
    <w:rsid w:val="563C6D66"/>
    <w:rsid w:val="565C4B5A"/>
    <w:rsid w:val="57034731"/>
    <w:rsid w:val="578E37A1"/>
    <w:rsid w:val="579D2DD8"/>
    <w:rsid w:val="57DB3900"/>
    <w:rsid w:val="5861039B"/>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0CE6586"/>
    <w:rsid w:val="60E91EDF"/>
    <w:rsid w:val="610F0A45"/>
    <w:rsid w:val="61486A8A"/>
    <w:rsid w:val="618A51FD"/>
    <w:rsid w:val="61AF2FE3"/>
    <w:rsid w:val="622C5484"/>
    <w:rsid w:val="62600C89"/>
    <w:rsid w:val="62894D52"/>
    <w:rsid w:val="62BD60DC"/>
    <w:rsid w:val="62C27B96"/>
    <w:rsid w:val="6346230D"/>
    <w:rsid w:val="63521D29"/>
    <w:rsid w:val="635B32B1"/>
    <w:rsid w:val="63870498"/>
    <w:rsid w:val="639808F7"/>
    <w:rsid w:val="63AD5DD7"/>
    <w:rsid w:val="63D3192F"/>
    <w:rsid w:val="64354398"/>
    <w:rsid w:val="648C045C"/>
    <w:rsid w:val="64AD03D2"/>
    <w:rsid w:val="6502071E"/>
    <w:rsid w:val="650E0E71"/>
    <w:rsid w:val="65217D73"/>
    <w:rsid w:val="65491EA9"/>
    <w:rsid w:val="65A417D5"/>
    <w:rsid w:val="65B57F02"/>
    <w:rsid w:val="65B75B1D"/>
    <w:rsid w:val="65BA2DA7"/>
    <w:rsid w:val="65D06126"/>
    <w:rsid w:val="65ED7F30"/>
    <w:rsid w:val="666A3541"/>
    <w:rsid w:val="670B01C0"/>
    <w:rsid w:val="68045877"/>
    <w:rsid w:val="682235A3"/>
    <w:rsid w:val="682D5AB2"/>
    <w:rsid w:val="68456707"/>
    <w:rsid w:val="685A261F"/>
    <w:rsid w:val="68795138"/>
    <w:rsid w:val="68822739"/>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B9203D"/>
    <w:rsid w:val="6DF27FD2"/>
    <w:rsid w:val="6E615BFD"/>
    <w:rsid w:val="6E71421E"/>
    <w:rsid w:val="6EC328DF"/>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094B0C"/>
    <w:rsid w:val="743957DE"/>
    <w:rsid w:val="744523C5"/>
    <w:rsid w:val="745037BC"/>
    <w:rsid w:val="7460720F"/>
    <w:rsid w:val="7463506E"/>
    <w:rsid w:val="74A40EAA"/>
    <w:rsid w:val="767C2482"/>
    <w:rsid w:val="77F71C38"/>
    <w:rsid w:val="77FA34D6"/>
    <w:rsid w:val="78016613"/>
    <w:rsid w:val="78244F38"/>
    <w:rsid w:val="78270946"/>
    <w:rsid w:val="786B1CDE"/>
    <w:rsid w:val="78853E63"/>
    <w:rsid w:val="78B27C05"/>
    <w:rsid w:val="78D51699"/>
    <w:rsid w:val="78FD502C"/>
    <w:rsid w:val="790A5798"/>
    <w:rsid w:val="79367029"/>
    <w:rsid w:val="79A96F62"/>
    <w:rsid w:val="79C42DA7"/>
    <w:rsid w:val="79DC699D"/>
    <w:rsid w:val="7A031D57"/>
    <w:rsid w:val="7A3613CA"/>
    <w:rsid w:val="7AAB0D0B"/>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EF95560"/>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0"/>
    <w:pPr>
      <w:ind w:firstLine="640" w:firstLineChars="200"/>
    </w:pPr>
    <w:rPr>
      <w:sz w:val="32"/>
    </w:rPr>
  </w:style>
  <w:style w:type="paragraph" w:styleId="5">
    <w:name w:val="toa heading"/>
    <w:basedOn w:val="1"/>
    <w:next w:val="1"/>
    <w:autoRedefine/>
    <w:qFormat/>
    <w:uiPriority w:val="0"/>
    <w:pPr>
      <w:spacing w:before="120" w:after="200" w:line="276" w:lineRule="auto"/>
    </w:pPr>
    <w:rPr>
      <w:rFonts w:ascii="Arial" w:hAnsi="Arial" w:eastAsia="宋体"/>
      <w:sz w:val="24"/>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4811</Words>
  <Characters>5179</Characters>
  <Lines>0</Lines>
  <Paragraphs>0</Paragraphs>
  <TotalTime>17</TotalTime>
  <ScaleCrop>false</ScaleCrop>
  <LinksUpToDate>false</LinksUpToDate>
  <CharactersWithSpaces>5285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2024年</cp:lastModifiedBy>
  <cp:lastPrinted>2024-04-26T08:17:00Z</cp:lastPrinted>
  <dcterms:modified xsi:type="dcterms:W3CDTF">2024-09-03T02:41:17Z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F744B6806BB340FFADB36AEE3FEA162A_13</vt:lpwstr>
  </property>
</Properties>
</file>