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9563FF">
      <w:pPr>
        <w:spacing w:line="600" w:lineRule="exact"/>
        <w:jc w:val="left"/>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eastAsia="zh-CN"/>
        </w:rPr>
        <w:t>附件</w:t>
      </w:r>
      <w:r>
        <w:rPr>
          <w:rFonts w:hint="eastAsia" w:ascii="仿宋_GB2312" w:hAnsi="仿宋_GB2312" w:eastAsia="仿宋_GB2312" w:cs="仿宋_GB2312"/>
          <w:b w:val="0"/>
          <w:bCs/>
          <w:kern w:val="0"/>
          <w:sz w:val="32"/>
          <w:szCs w:val="32"/>
          <w:lang w:val="en-US" w:eastAsia="zh-CN"/>
        </w:rPr>
        <w:t>2</w:t>
      </w:r>
    </w:p>
    <w:p w14:paraId="48442C81">
      <w:pPr>
        <w:spacing w:line="600" w:lineRule="exact"/>
        <w:jc w:val="center"/>
        <w:rPr>
          <w:rFonts w:hint="eastAsia" w:ascii="方正大标宋简体" w:hAnsi="方正大标宋简体" w:eastAsia="方正大标宋简体" w:cs="方正大标宋简体"/>
          <w:b w:val="0"/>
          <w:bCs/>
          <w:kern w:val="0"/>
          <w:sz w:val="44"/>
          <w:szCs w:val="44"/>
        </w:rPr>
      </w:pPr>
      <w:r>
        <w:rPr>
          <w:rFonts w:hint="eastAsia" w:ascii="方正大标宋简体" w:hAnsi="方正大标宋简体" w:eastAsia="方正大标宋简体" w:cs="方正大标宋简体"/>
          <w:b w:val="0"/>
          <w:bCs/>
          <w:kern w:val="0"/>
          <w:sz w:val="44"/>
          <w:szCs w:val="44"/>
        </w:rPr>
        <w:t>部门整体支出绩效自评报告</w:t>
      </w:r>
    </w:p>
    <w:p w14:paraId="65B03A40">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sz w:val="32"/>
          <w:szCs w:val="32"/>
        </w:rPr>
      </w:pPr>
    </w:p>
    <w:p w14:paraId="71E8624A">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一、部门概况</w:t>
      </w:r>
      <w:bookmarkStart w:id="0" w:name="_GoBack"/>
      <w:bookmarkEnd w:id="0"/>
    </w:p>
    <w:p w14:paraId="78E9CADF">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（一）</w:t>
      </w:r>
      <w:r>
        <w:rPr>
          <w:rFonts w:hint="eastAsia" w:ascii="仿宋" w:hAnsi="仿宋" w:eastAsia="仿宋" w:cs="仿宋"/>
          <w:b/>
          <w:bCs/>
          <w:sz w:val="32"/>
          <w:szCs w:val="32"/>
          <w:lang w:eastAsia="zh-CN"/>
        </w:rPr>
        <w:t>机构设置情况</w:t>
      </w:r>
    </w:p>
    <w:p w14:paraId="69966297">
      <w:pPr>
        <w:keepNext w:val="0"/>
        <w:keepLines w:val="0"/>
        <w:pageBreakBefore w:val="0"/>
        <w:widowControl/>
        <w:kinsoku/>
        <w:wordWrap/>
        <w:overflowPunct/>
        <w:topLinePunct w:val="0"/>
        <w:autoSpaceDE/>
        <w:autoSpaceDN/>
        <w:bidi w:val="0"/>
        <w:adjustRightInd/>
        <w:spacing w:line="580" w:lineRule="exact"/>
        <w:ind w:left="0" w:leftChars="0" w:firstLine="640" w:firstLineChars="20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lang w:eastAsia="zh-CN"/>
        </w:rPr>
        <w:t>县财政</w:t>
      </w:r>
      <w:r>
        <w:rPr>
          <w:rFonts w:hint="eastAsia" w:ascii="仿宋" w:hAnsi="仿宋" w:eastAsia="仿宋" w:cs="仿宋"/>
          <w:color w:val="333333"/>
          <w:kern w:val="0"/>
          <w:sz w:val="32"/>
          <w:szCs w:val="32"/>
          <w:shd w:val="clear" w:color="auto" w:fill="FFFFFF"/>
        </w:rPr>
        <w:t>局</w:t>
      </w:r>
      <w:r>
        <w:rPr>
          <w:rFonts w:hint="eastAsia" w:ascii="仿宋" w:hAnsi="仿宋" w:eastAsia="仿宋" w:cs="仿宋"/>
          <w:color w:val="333333"/>
          <w:kern w:val="0"/>
          <w:sz w:val="32"/>
          <w:szCs w:val="32"/>
          <w:shd w:val="clear" w:color="auto" w:fill="FFFFFF"/>
          <w:lang w:eastAsia="zh-CN"/>
        </w:rPr>
        <w:t>为</w:t>
      </w:r>
      <w:r>
        <w:rPr>
          <w:rFonts w:hint="eastAsia" w:ascii="仿宋" w:hAnsi="仿宋" w:eastAsia="仿宋" w:cs="仿宋"/>
          <w:color w:val="333333"/>
          <w:kern w:val="0"/>
          <w:sz w:val="32"/>
          <w:szCs w:val="32"/>
          <w:shd w:val="clear" w:color="auto" w:fill="FFFFFF"/>
        </w:rPr>
        <w:t>正科级财政预算行政单位，根据</w:t>
      </w:r>
      <w:r>
        <w:rPr>
          <w:rFonts w:hint="eastAsia" w:ascii="仿宋" w:hAnsi="仿宋" w:eastAsia="仿宋" w:cs="仿宋"/>
          <w:color w:val="333333"/>
          <w:kern w:val="0"/>
          <w:sz w:val="32"/>
          <w:szCs w:val="32"/>
          <w:shd w:val="clear" w:color="auto" w:fill="FFFFFF"/>
          <w:lang w:eastAsia="zh-CN"/>
        </w:rPr>
        <w:t>县</w:t>
      </w:r>
      <w:r>
        <w:rPr>
          <w:rFonts w:hint="eastAsia" w:ascii="仿宋" w:hAnsi="仿宋" w:eastAsia="仿宋" w:cs="仿宋"/>
          <w:color w:val="333333"/>
          <w:kern w:val="0"/>
          <w:sz w:val="32"/>
          <w:szCs w:val="32"/>
          <w:shd w:val="clear" w:color="auto" w:fill="FFFFFF"/>
        </w:rPr>
        <w:t>编办核定，内设</w:t>
      </w:r>
      <w:r>
        <w:rPr>
          <w:rFonts w:hint="eastAsia" w:ascii="仿宋" w:hAnsi="仿宋" w:eastAsia="仿宋" w:cs="仿宋"/>
          <w:color w:val="333333"/>
          <w:kern w:val="0"/>
          <w:sz w:val="32"/>
          <w:szCs w:val="32"/>
          <w:shd w:val="clear" w:color="auto" w:fill="FFFFFF"/>
          <w:lang w:eastAsia="zh-CN"/>
        </w:rPr>
        <w:t>科</w:t>
      </w:r>
      <w:r>
        <w:rPr>
          <w:rFonts w:hint="eastAsia" w:ascii="仿宋" w:hAnsi="仿宋" w:eastAsia="仿宋" w:cs="仿宋"/>
          <w:color w:val="333333"/>
          <w:kern w:val="0"/>
          <w:sz w:val="32"/>
          <w:szCs w:val="32"/>
          <w:shd w:val="clear" w:color="auto" w:fill="FFFFFF"/>
        </w:rPr>
        <w:t>室23个，所属单位 3个，全部纳入202</w:t>
      </w:r>
      <w:r>
        <w:rPr>
          <w:rFonts w:hint="eastAsia" w:ascii="仿宋" w:hAnsi="仿宋" w:eastAsia="仿宋" w:cs="仿宋"/>
          <w:color w:val="333333"/>
          <w:kern w:val="0"/>
          <w:sz w:val="32"/>
          <w:szCs w:val="32"/>
          <w:shd w:val="clear" w:color="auto" w:fill="FFFFFF"/>
          <w:lang w:val="en-US" w:eastAsia="zh-CN"/>
        </w:rPr>
        <w:t>4</w:t>
      </w:r>
      <w:r>
        <w:rPr>
          <w:rFonts w:hint="eastAsia" w:ascii="仿宋" w:hAnsi="仿宋" w:eastAsia="仿宋" w:cs="仿宋"/>
          <w:color w:val="333333"/>
          <w:kern w:val="0"/>
          <w:sz w:val="32"/>
          <w:szCs w:val="32"/>
          <w:shd w:val="clear" w:color="auto" w:fill="FFFFFF"/>
        </w:rPr>
        <w:t>年部门预算编制范围。</w:t>
      </w:r>
    </w:p>
    <w:p w14:paraId="57A7D44C">
      <w:pPr>
        <w:keepNext w:val="0"/>
        <w:keepLines w:val="0"/>
        <w:pageBreakBefore w:val="0"/>
        <w:widowControl/>
        <w:kinsoku/>
        <w:wordWrap/>
        <w:overflowPunct/>
        <w:topLinePunct w:val="0"/>
        <w:autoSpaceDE/>
        <w:autoSpaceDN/>
        <w:bidi w:val="0"/>
        <w:adjustRightInd/>
        <w:spacing w:line="580" w:lineRule="exact"/>
        <w:ind w:left="0" w:leftChars="0" w:firstLine="640" w:firstLineChars="200"/>
        <w:jc w:val="left"/>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内设</w:t>
      </w:r>
      <w:r>
        <w:rPr>
          <w:rFonts w:hint="eastAsia" w:ascii="仿宋" w:hAnsi="仿宋" w:eastAsia="仿宋" w:cs="仿宋"/>
          <w:color w:val="333333"/>
          <w:kern w:val="0"/>
          <w:sz w:val="32"/>
          <w:szCs w:val="32"/>
          <w:shd w:val="clear" w:color="auto" w:fill="FFFFFF"/>
          <w:lang w:eastAsia="zh-CN"/>
        </w:rPr>
        <w:t>股</w:t>
      </w:r>
      <w:r>
        <w:rPr>
          <w:rFonts w:hint="eastAsia" w:ascii="仿宋" w:hAnsi="仿宋" w:eastAsia="仿宋" w:cs="仿宋"/>
          <w:color w:val="333333"/>
          <w:kern w:val="0"/>
          <w:sz w:val="32"/>
          <w:szCs w:val="32"/>
          <w:shd w:val="clear" w:color="auto" w:fill="FFFFFF"/>
        </w:rPr>
        <w:t>室分别是：办公室、人事教育股、财务股、综合股（县津贴补贴工作办公室）、财政监督股、税政法规股、预算股、国库股、行政政法股、教科文股、经济建设股、农业农村股、企业股、金融股（对外经济贸易股、县政府投融资管理办公室、县政府和社会资本合作（PPP）办公室）、政府债务股、社会保障股、乡镇财政管理股（县农村综合改革办公室）、会计管理股、资产管理股（县清产核资办公室）、绩效管理股、政府采购股、信息管理股、工资统发中心。纪检（监察）机构按规定设置。</w:t>
      </w:r>
    </w:p>
    <w:p w14:paraId="74DBB125">
      <w:pPr>
        <w:pStyle w:val="2"/>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所属单位分别是: </w:t>
      </w:r>
      <w:r>
        <w:rPr>
          <w:rFonts w:hint="eastAsia" w:ascii="仿宋" w:hAnsi="仿宋" w:eastAsia="仿宋" w:cs="仿宋"/>
          <w:color w:val="333333"/>
          <w:kern w:val="0"/>
          <w:sz w:val="32"/>
          <w:szCs w:val="32"/>
          <w:shd w:val="clear" w:color="auto" w:fill="FFFFFF"/>
          <w:lang w:eastAsia="zh-CN"/>
        </w:rPr>
        <w:t>县</w:t>
      </w:r>
      <w:r>
        <w:rPr>
          <w:rFonts w:hint="eastAsia" w:ascii="仿宋" w:hAnsi="仿宋" w:eastAsia="仿宋" w:cs="仿宋"/>
          <w:color w:val="333333"/>
          <w:kern w:val="0"/>
          <w:sz w:val="32"/>
          <w:szCs w:val="32"/>
          <w:shd w:val="clear" w:color="auto" w:fill="FFFFFF"/>
        </w:rPr>
        <w:t>财政事务中心、</w:t>
      </w:r>
      <w:r>
        <w:rPr>
          <w:rFonts w:hint="eastAsia" w:ascii="仿宋" w:hAnsi="仿宋" w:eastAsia="仿宋" w:cs="仿宋"/>
          <w:color w:val="333333"/>
          <w:kern w:val="0"/>
          <w:sz w:val="32"/>
          <w:szCs w:val="32"/>
          <w:shd w:val="clear" w:color="auto" w:fill="FFFFFF"/>
          <w:lang w:eastAsia="zh-CN"/>
        </w:rPr>
        <w:t>县</w:t>
      </w:r>
      <w:r>
        <w:rPr>
          <w:rFonts w:hint="eastAsia" w:ascii="仿宋" w:hAnsi="仿宋" w:eastAsia="仿宋" w:cs="仿宋"/>
          <w:color w:val="333333"/>
          <w:kern w:val="0"/>
          <w:sz w:val="32"/>
          <w:szCs w:val="32"/>
          <w:shd w:val="clear" w:color="auto" w:fill="FFFFFF"/>
        </w:rPr>
        <w:t>投资评审事务中心及</w:t>
      </w:r>
      <w:r>
        <w:rPr>
          <w:rFonts w:hint="eastAsia" w:ascii="仿宋" w:hAnsi="仿宋" w:eastAsia="仿宋" w:cs="仿宋"/>
          <w:color w:val="333333"/>
          <w:kern w:val="0"/>
          <w:sz w:val="32"/>
          <w:szCs w:val="32"/>
          <w:shd w:val="clear" w:color="auto" w:fill="FFFFFF"/>
          <w:lang w:eastAsia="zh-CN"/>
        </w:rPr>
        <w:t>县</w:t>
      </w:r>
      <w:r>
        <w:rPr>
          <w:rFonts w:hint="eastAsia" w:ascii="仿宋" w:hAnsi="仿宋" w:eastAsia="仿宋" w:cs="仿宋"/>
          <w:color w:val="333333"/>
          <w:kern w:val="0"/>
          <w:sz w:val="32"/>
          <w:szCs w:val="32"/>
          <w:shd w:val="clear" w:color="auto" w:fill="FFFFFF"/>
        </w:rPr>
        <w:t>预算编审中心三个公益类二</w:t>
      </w:r>
      <w:r>
        <w:rPr>
          <w:rFonts w:hint="eastAsia" w:ascii="仿宋" w:hAnsi="仿宋" w:eastAsia="仿宋" w:cs="仿宋"/>
          <w:color w:val="333333"/>
          <w:kern w:val="0"/>
          <w:sz w:val="32"/>
          <w:szCs w:val="32"/>
          <w:shd w:val="clear" w:color="auto" w:fill="FFFFFF"/>
          <w:lang w:eastAsia="zh-CN"/>
        </w:rPr>
        <w:t>级</w:t>
      </w:r>
      <w:r>
        <w:rPr>
          <w:rFonts w:hint="eastAsia" w:ascii="仿宋" w:hAnsi="仿宋" w:eastAsia="仿宋" w:cs="仿宋"/>
          <w:color w:val="333333"/>
          <w:kern w:val="0"/>
          <w:sz w:val="32"/>
          <w:szCs w:val="32"/>
          <w:shd w:val="clear" w:color="auto" w:fill="FFFFFF"/>
        </w:rPr>
        <w:t>机构。</w:t>
      </w:r>
    </w:p>
    <w:p w14:paraId="0ACAB6F6">
      <w:pPr>
        <w:pStyle w:val="2"/>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lang w:val="en-US" w:eastAsia="zh-CN"/>
        </w:rPr>
      </w:pPr>
      <w:r>
        <w:rPr>
          <w:rFonts w:hint="eastAsia" w:ascii="仿宋" w:hAnsi="仿宋" w:eastAsia="仿宋" w:cs="仿宋"/>
          <w:color w:val="333333"/>
          <w:kern w:val="0"/>
          <w:sz w:val="32"/>
          <w:szCs w:val="32"/>
          <w:shd w:val="clear" w:color="auto" w:fill="FFFFFF"/>
          <w:lang w:eastAsia="zh-CN"/>
        </w:rPr>
        <w:t>人员编制情况：编制数</w:t>
      </w:r>
      <w:r>
        <w:rPr>
          <w:rFonts w:hint="eastAsia" w:ascii="仿宋" w:hAnsi="仿宋" w:eastAsia="仿宋" w:cs="仿宋"/>
          <w:color w:val="333333"/>
          <w:kern w:val="0"/>
          <w:sz w:val="32"/>
          <w:szCs w:val="32"/>
          <w:shd w:val="clear" w:color="auto" w:fill="FFFFFF"/>
          <w:lang w:val="en-US" w:eastAsia="zh-CN"/>
        </w:rPr>
        <w:t>100人，2024年底实际在职92人。</w:t>
      </w:r>
    </w:p>
    <w:p w14:paraId="2992A0BA">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kern w:val="0"/>
          <w:sz w:val="32"/>
          <w:szCs w:val="32"/>
          <w:shd w:val="clear" w:color="auto" w:fill="FFFFFF"/>
        </w:rPr>
        <w:t>主要职能职责是：</w:t>
      </w:r>
      <w:r>
        <w:rPr>
          <w:rFonts w:hint="eastAsia" w:ascii="仿宋" w:hAnsi="仿宋" w:eastAsia="仿宋" w:cs="仿宋"/>
          <w:color w:val="333333"/>
          <w:sz w:val="32"/>
          <w:szCs w:val="32"/>
          <w:shd w:val="clear" w:color="auto" w:fill="FFFFFF"/>
        </w:rPr>
        <w:t>1.组织贯彻执行国家财税方针政策，拟订和执行全县财政政策、财税改革方案，指导全县财政工作；分析预测宏观经济形势，参与制定各项宏观经济政策；提出运用财税政策实施宏观调控和综合平衡社会财力的建议；拟订和执行县与乡镇、政府与企业的分配政策，完善鼓励公益事业发展的财税政策。</w:t>
      </w:r>
    </w:p>
    <w:p w14:paraId="683C181D">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2.制定和执行财政、财务、会计管理的制度及办法，参与涉外财政、债务等国际谈判并签订有关协议、协定。</w:t>
      </w:r>
    </w:p>
    <w:p w14:paraId="5ED84588">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3.负责县本级各项财政收支管理。编制年度县本级预决算草案并组织执行。代编全县财政收支预算，汇总全县财政总决算；受县人民政府委托，向县人民代表大会报告县本级、全县预算及其执行情况，向县人大常委会报告决算。组织制定县本级经费开支标准、定额，审核批复部门（单位）年度预决算。完善转移支付制度，做好财政省直管县财政体制改革有关工作。</w:t>
      </w:r>
    </w:p>
    <w:p w14:paraId="02654854">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4.组织制定政府非税收入管理制度。负责政府性基金管理，按规定管理行政事业性收费。管理财政票据。制定彩票监督管理政策和有关办法，管理彩票市场，会同有关部门监督和管理彩票公益金，管理其他彩票资金。</w:t>
      </w:r>
    </w:p>
    <w:p w14:paraId="06D8CBB4">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5.组织制定国库管理制度、国库集中收付制度，指导和监督县本级国库业务，按规定开展国库现金管理工作。制定和执行财政投资评审制度，负责财政投资评审工作。负责制定政府采购制度并监督管理。</w:t>
      </w:r>
    </w:p>
    <w:p w14:paraId="14EA3AE0">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6.贯彻执行国家税收法律、行政法规和税收调整政策，反馈政策执行情况，提出调整建议。</w:t>
      </w:r>
    </w:p>
    <w:p w14:paraId="3238D002">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7.负责制定全县行政事业单位国有资产管理规章制度，会同有关部门管理县本级行政事业单位国有资产，制定需要全县统一规定的开支标准和支出政策，负责财政预算内行政、事业单位和社会团体的非贸易外汇管理。</w:t>
      </w:r>
    </w:p>
    <w:p w14:paraId="1CAAC091">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8.负责审核和汇总编制全县国有资本经营预决算草案，制定国有资本经营预算的制度和办法，收取县本级企业国有资本收益，组织实施企业财务制度，参与拟订企业国有资产管理相关制度，负责县级国有宣传文化、金融类企业的国有资产管理，按规定管理资产评估工作。</w:t>
      </w:r>
    </w:p>
    <w:p w14:paraId="31CEC4F4">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 xml:space="preserve">  9.负责办理和监督县财政的经济发展支出、县级政府性投资项目的财政拨款，参与拟订县建设投资有关政策，组织实施基本建设财务制度，负责有关政策性补贴和专项储备资金财政管理工作。负责农业综合开发管理工作。</w:t>
      </w:r>
    </w:p>
    <w:p w14:paraId="7ADF9223">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10.会同有关部门管理县财政社会保障和就业及医疗卫生支出，组织实施社会保障资金（基金）财务管理制度，编制县社会保障预决算草案。</w:t>
      </w:r>
    </w:p>
    <w:p w14:paraId="68418894">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11.贯彻执行政府内外债务管理的政策、制度和办法，防范财政风险。负责统一管理县政府外债，制定基本管理制度。按规定管理外国政府和国际金融组织贷（赠）款。承担财税领域交流与合作的具体工作。承担地方政府债务核查、监督等相关职责。</w:t>
      </w:r>
    </w:p>
    <w:p w14:paraId="107ABA6E">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12.负责管理全县的会计工作，监督和规范会计行为，组织实施国家统一的会计制度，组织实施会计行政法规规章，指导和监督注册会计师和会计师事务所的业务，指导和管理社会审计。</w:t>
      </w:r>
    </w:p>
    <w:p w14:paraId="76AEE9CD">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13.监督检查财税法规、政策的执行情况，反映财政收支管理中的重大问题，提出加强财政管理的政策和建议。</w:t>
      </w:r>
    </w:p>
    <w:p w14:paraId="5FC55CF2">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sz w:val="32"/>
          <w:szCs w:val="32"/>
          <w:shd w:val="clear" w:color="auto" w:fill="FFFFFF"/>
        </w:rPr>
      </w:pPr>
      <w:r>
        <w:rPr>
          <w:rFonts w:hint="eastAsia" w:ascii="仿宋" w:hAnsi="仿宋" w:eastAsia="仿宋" w:cs="仿宋"/>
          <w:color w:val="333333"/>
          <w:sz w:val="32"/>
          <w:szCs w:val="32"/>
          <w:shd w:val="clear" w:color="auto" w:fill="FFFFFF"/>
        </w:rPr>
        <w:t>14.负责指导乡镇财政管理工作。</w:t>
      </w:r>
    </w:p>
    <w:p w14:paraId="2032F7ED">
      <w:pPr>
        <w:pStyle w:val="8"/>
        <w:keepNext w:val="0"/>
        <w:keepLines w:val="0"/>
        <w:pageBreakBefore w:val="0"/>
        <w:widowControl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15.负责全面实施预算绩效管理相关工作。</w:t>
      </w:r>
    </w:p>
    <w:p w14:paraId="50A6C219">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16.负责牵头拟订政府购买服务政策并组织实施。</w:t>
      </w:r>
    </w:p>
    <w:p w14:paraId="3CAD0E55">
      <w:pPr>
        <w:keepNext w:val="0"/>
        <w:keepLines w:val="0"/>
        <w:pageBreakBefore w:val="0"/>
        <w:widowControl w:val="0"/>
        <w:kinsoku/>
        <w:wordWrap/>
        <w:overflowPunct/>
        <w:topLinePunct w:val="0"/>
        <w:autoSpaceDE/>
        <w:autoSpaceDN/>
        <w:bidi w:val="0"/>
        <w:adjustRightInd/>
        <w:snapToGrid w:val="0"/>
        <w:spacing w:line="580" w:lineRule="exact"/>
        <w:ind w:left="0" w:leftChars="0" w:firstLine="640" w:firstLineChars="200"/>
        <w:jc w:val="left"/>
        <w:textAlignment w:val="auto"/>
        <w:rPr>
          <w:rFonts w:hint="eastAsia" w:ascii="仿宋" w:hAnsi="仿宋" w:eastAsia="仿宋" w:cs="仿宋"/>
          <w:sz w:val="32"/>
          <w:szCs w:val="32"/>
        </w:rPr>
      </w:pPr>
      <w:r>
        <w:rPr>
          <w:rFonts w:hint="eastAsia" w:ascii="仿宋" w:hAnsi="仿宋" w:eastAsia="仿宋" w:cs="仿宋"/>
          <w:color w:val="333333"/>
          <w:kern w:val="0"/>
          <w:sz w:val="32"/>
          <w:szCs w:val="32"/>
          <w:shd w:val="clear" w:color="auto" w:fill="FFFFFF"/>
        </w:rPr>
        <w:t>17.承办县人民政府交办的其他事项。</w:t>
      </w:r>
    </w:p>
    <w:p w14:paraId="45C4F4EB">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b/>
          <w:bCs/>
          <w:sz w:val="32"/>
          <w:szCs w:val="32"/>
        </w:rPr>
        <w:t>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年的重点工作</w:t>
      </w:r>
      <w:r>
        <w:rPr>
          <w:rFonts w:hint="eastAsia" w:ascii="仿宋" w:hAnsi="仿宋" w:eastAsia="仿宋" w:cs="仿宋"/>
          <w:b/>
          <w:bCs/>
          <w:sz w:val="32"/>
          <w:szCs w:val="32"/>
          <w:lang w:eastAsia="zh-CN"/>
        </w:rPr>
        <w:t>：</w:t>
      </w:r>
      <w:r>
        <w:rPr>
          <w:rFonts w:hint="eastAsia" w:ascii="仿宋" w:hAnsi="仿宋" w:eastAsia="仿宋" w:cs="仿宋"/>
          <w:color w:val="333333"/>
          <w:kern w:val="0"/>
          <w:sz w:val="32"/>
          <w:szCs w:val="32"/>
          <w:shd w:val="clear" w:color="auto" w:fill="FFFFFF"/>
        </w:rPr>
        <w:t>1.加大财源建设投入；2.支持全县产业发展；3.做大做强实体经济；4.防范化解债务风险有序推进；5.精准脱贫攻坚资金整合有力；6.污染防治攻坚支持力度加大；7.预算管理日趋规范；8.存量资金有效盘活；9.财政评审效益明显; 10.“互联网+监督”持续推进；11.惠农补贴发放规范，惠农减负落实到位；12.政府采购监管有力；13.支付改革提质扩面；14.驻村帮扶成效显著；15.新政府会计制度顺利实施。</w:t>
      </w:r>
    </w:p>
    <w:p w14:paraId="6EDC85E2">
      <w:pPr>
        <w:pStyle w:val="2"/>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b/>
          <w:bCs/>
          <w:color w:val="333333"/>
          <w:kern w:val="0"/>
          <w:sz w:val="32"/>
          <w:szCs w:val="32"/>
          <w:shd w:val="clear" w:color="auto" w:fill="FFFFFF"/>
          <w:lang w:val="en-US" w:eastAsia="zh-CN" w:bidi="ar-SA"/>
        </w:rPr>
        <w:t>绩效目标设定情况：</w:t>
      </w:r>
      <w:r>
        <w:rPr>
          <w:rFonts w:hint="eastAsia" w:ascii="仿宋" w:hAnsi="仿宋" w:eastAsia="仿宋" w:cs="仿宋"/>
          <w:color w:val="333333"/>
          <w:kern w:val="0"/>
          <w:sz w:val="32"/>
          <w:szCs w:val="32"/>
          <w:shd w:val="clear" w:color="auto" w:fill="FFFFFF"/>
          <w:lang w:val="en-US" w:eastAsia="zh-CN" w:bidi="ar-SA"/>
        </w:rPr>
        <w:t>按照“财政收入保增长、财政支出保民生、财政改革保利益、财政运转保高效”的思路，加大财政支持力度，完善民生保障机制，强化预算收支管理，推进财税体制改革，较好地完成全年各项工作任务；重点保障机关运转及重点工作的需要，大力压缩一般性支出，提高财政资金使用效益；切实提高行政效率，降低行政成本。进一步精简文件数量，提高文件质量。规范行文程序，严格行文规则，控制文件规格。减少会议数量，压缩会议时间。控制会议规模，创新会议形式。节约会议成本，严肃会议纪律。简化办事程序，对重大事项实行督查交办制度。推进办事公开，按照政务公开要求，对涉及财政相关的资料及时挂网公开。　</w:t>
      </w:r>
    </w:p>
    <w:p w14:paraId="4A2CC0E0">
      <w:pPr>
        <w:pStyle w:val="2"/>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CN"/>
        </w:rPr>
        <w:t>二</w:t>
      </w:r>
      <w:r>
        <w:rPr>
          <w:rFonts w:hint="eastAsia" w:ascii="仿宋" w:hAnsi="仿宋" w:eastAsia="仿宋" w:cs="仿宋"/>
          <w:b/>
          <w:bCs/>
          <w:sz w:val="32"/>
          <w:szCs w:val="32"/>
        </w:rPr>
        <w:t>）部门整体支出情况</w:t>
      </w:r>
    </w:p>
    <w:p w14:paraId="53D32954">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kern w:val="0"/>
          <w:sz w:val="32"/>
          <w:szCs w:val="32"/>
          <w:shd w:val="clear" w:color="auto" w:fill="FFFFFF"/>
        </w:rPr>
      </w:pPr>
      <w:r>
        <w:rPr>
          <w:rFonts w:hint="eastAsia" w:ascii="仿宋" w:hAnsi="仿宋" w:eastAsia="仿宋" w:cs="仿宋"/>
          <w:kern w:val="0"/>
          <w:sz w:val="32"/>
          <w:szCs w:val="32"/>
          <w:shd w:val="clear" w:color="auto" w:fill="FFFFFF"/>
        </w:rPr>
        <w:t>我局202</w:t>
      </w:r>
      <w:r>
        <w:rPr>
          <w:rFonts w:hint="eastAsia" w:ascii="仿宋" w:hAnsi="仿宋" w:eastAsia="仿宋" w:cs="仿宋"/>
          <w:kern w:val="0"/>
          <w:sz w:val="32"/>
          <w:szCs w:val="32"/>
          <w:shd w:val="clear" w:color="auto" w:fill="FFFFFF"/>
          <w:lang w:val="en-US" w:eastAsia="zh-CN"/>
        </w:rPr>
        <w:t>4</w:t>
      </w:r>
      <w:r>
        <w:rPr>
          <w:rFonts w:hint="eastAsia" w:ascii="仿宋" w:hAnsi="仿宋" w:eastAsia="仿宋" w:cs="仿宋"/>
          <w:kern w:val="0"/>
          <w:sz w:val="32"/>
          <w:szCs w:val="32"/>
          <w:shd w:val="clear" w:color="auto" w:fill="FFFFFF"/>
        </w:rPr>
        <w:t>年度支出决算</w:t>
      </w:r>
      <w:r>
        <w:rPr>
          <w:rFonts w:hint="eastAsia" w:ascii="仿宋" w:hAnsi="仿宋" w:eastAsia="仿宋" w:cs="仿宋"/>
          <w:kern w:val="0"/>
          <w:sz w:val="32"/>
          <w:szCs w:val="32"/>
          <w:shd w:val="clear" w:color="auto" w:fill="FFFFFF"/>
          <w:lang w:val="en-US" w:eastAsia="zh-CN"/>
        </w:rPr>
        <w:t>2612.42</w:t>
      </w:r>
      <w:r>
        <w:rPr>
          <w:rFonts w:hint="eastAsia" w:ascii="仿宋" w:hAnsi="仿宋" w:eastAsia="仿宋" w:cs="仿宋"/>
          <w:kern w:val="0"/>
          <w:sz w:val="32"/>
          <w:szCs w:val="32"/>
          <w:shd w:val="clear" w:color="auto" w:fill="FFFFFF"/>
        </w:rPr>
        <w:t>万元，其中：基本支出</w:t>
      </w:r>
      <w:r>
        <w:rPr>
          <w:rFonts w:hint="eastAsia" w:ascii="仿宋" w:hAnsi="仿宋" w:eastAsia="仿宋" w:cs="仿宋"/>
          <w:kern w:val="0"/>
          <w:sz w:val="32"/>
          <w:szCs w:val="32"/>
          <w:shd w:val="clear" w:color="auto" w:fill="FFFFFF"/>
          <w:lang w:val="en-US" w:eastAsia="zh-CN"/>
        </w:rPr>
        <w:t>2612.42</w:t>
      </w:r>
      <w:r>
        <w:rPr>
          <w:rFonts w:hint="eastAsia" w:ascii="仿宋" w:hAnsi="仿宋" w:eastAsia="仿宋" w:cs="仿宋"/>
          <w:kern w:val="0"/>
          <w:sz w:val="32"/>
          <w:szCs w:val="32"/>
          <w:shd w:val="clear" w:color="auto" w:fill="FFFFFF"/>
        </w:rPr>
        <w:t>万元（三公经费支出</w:t>
      </w:r>
      <w:r>
        <w:rPr>
          <w:rFonts w:hint="eastAsia" w:ascii="仿宋" w:hAnsi="仿宋" w:eastAsia="仿宋" w:cs="仿宋"/>
          <w:kern w:val="0"/>
          <w:sz w:val="32"/>
          <w:szCs w:val="32"/>
          <w:shd w:val="clear" w:color="auto" w:fill="FFFFFF"/>
          <w:lang w:val="en-US" w:eastAsia="zh-CN"/>
        </w:rPr>
        <w:t>0.87</w:t>
      </w:r>
      <w:r>
        <w:rPr>
          <w:rFonts w:hint="eastAsia" w:ascii="仿宋" w:hAnsi="仿宋" w:eastAsia="仿宋" w:cs="仿宋"/>
          <w:kern w:val="0"/>
          <w:sz w:val="32"/>
          <w:szCs w:val="32"/>
          <w:shd w:val="clear" w:color="auto" w:fill="FFFFFF"/>
        </w:rPr>
        <w:t>万元），</w:t>
      </w:r>
      <w:r>
        <w:rPr>
          <w:rFonts w:hint="eastAsia" w:ascii="仿宋" w:hAnsi="仿宋" w:eastAsia="仿宋" w:cs="仿宋"/>
          <w:kern w:val="0"/>
          <w:sz w:val="32"/>
          <w:szCs w:val="32"/>
          <w:shd w:val="clear" w:color="auto" w:fill="FFFFFF"/>
          <w:lang w:eastAsia="zh-CN"/>
        </w:rPr>
        <w:t>项目支出为</w:t>
      </w:r>
      <w:r>
        <w:rPr>
          <w:rFonts w:hint="eastAsia" w:ascii="仿宋" w:hAnsi="仿宋" w:eastAsia="仿宋" w:cs="仿宋"/>
          <w:kern w:val="0"/>
          <w:sz w:val="32"/>
          <w:szCs w:val="32"/>
          <w:shd w:val="clear" w:color="auto" w:fill="FFFFFF"/>
          <w:lang w:val="en-US" w:eastAsia="zh-CN"/>
        </w:rPr>
        <w:t>0万元，基本支出</w:t>
      </w:r>
      <w:r>
        <w:rPr>
          <w:rFonts w:hint="eastAsia" w:ascii="仿宋" w:hAnsi="仿宋" w:eastAsia="仿宋" w:cs="仿宋"/>
          <w:kern w:val="0"/>
          <w:sz w:val="32"/>
          <w:szCs w:val="32"/>
          <w:shd w:val="clear" w:color="auto" w:fill="FFFFFF"/>
        </w:rPr>
        <w:t>占总支出的100%。</w:t>
      </w:r>
    </w:p>
    <w:p w14:paraId="625BD43D">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二、部门整体支出管理及使用情况</w:t>
      </w:r>
    </w:p>
    <w:p w14:paraId="5B0DD92D">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根据财政制度改革和部门预算细化的要求，以县财政下达我局的部门预算为基数，以现行财政财务法规为指南，我局开支用于维持单位基本工作运转，满足人员经费和日常公用经费的需求。对资金使用和控制严格按照行政单位财务制度及单位内部规章进行管理和监管，针对我局实际情况，本着勤俭办事、量入为出的原则，加强了对本部门收入情况、支出情况的管理。 </w:t>
      </w:r>
    </w:p>
    <w:p w14:paraId="5D3D0E39">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202</w:t>
      </w:r>
      <w:r>
        <w:rPr>
          <w:rFonts w:hint="eastAsia" w:ascii="仿宋" w:hAnsi="仿宋" w:eastAsia="仿宋" w:cs="仿宋"/>
          <w:color w:val="333333"/>
          <w:kern w:val="0"/>
          <w:sz w:val="32"/>
          <w:szCs w:val="32"/>
          <w:shd w:val="clear" w:color="auto" w:fill="FFFFFF"/>
          <w:lang w:val="en-US" w:eastAsia="zh-CN"/>
        </w:rPr>
        <w:t>4</w:t>
      </w:r>
      <w:r>
        <w:rPr>
          <w:rFonts w:hint="eastAsia" w:ascii="仿宋" w:hAnsi="仿宋" w:eastAsia="仿宋" w:cs="仿宋"/>
          <w:color w:val="333333"/>
          <w:kern w:val="0"/>
          <w:sz w:val="32"/>
          <w:szCs w:val="32"/>
          <w:shd w:val="clear" w:color="auto" w:fill="FFFFFF"/>
        </w:rPr>
        <w:t>年公共财政拨款支出</w:t>
      </w:r>
      <w:r>
        <w:rPr>
          <w:rFonts w:hint="eastAsia" w:ascii="仿宋" w:hAnsi="仿宋" w:eastAsia="仿宋" w:cs="仿宋"/>
          <w:kern w:val="0"/>
          <w:sz w:val="32"/>
          <w:szCs w:val="32"/>
          <w:shd w:val="clear" w:color="auto" w:fill="FFFFFF"/>
          <w:lang w:val="en-US" w:eastAsia="zh-CN"/>
        </w:rPr>
        <w:t>2612.42</w:t>
      </w:r>
      <w:r>
        <w:rPr>
          <w:rFonts w:hint="eastAsia" w:ascii="仿宋" w:hAnsi="仿宋" w:eastAsia="仿宋" w:cs="仿宋"/>
          <w:color w:val="333333"/>
          <w:kern w:val="0"/>
          <w:sz w:val="32"/>
          <w:szCs w:val="32"/>
          <w:shd w:val="clear" w:color="auto" w:fill="FFFFFF"/>
        </w:rPr>
        <w:t>万元，比上年</w:t>
      </w:r>
      <w:r>
        <w:rPr>
          <w:rFonts w:hint="eastAsia" w:ascii="仿宋" w:hAnsi="仿宋" w:eastAsia="仿宋" w:cs="仿宋"/>
          <w:color w:val="333333"/>
          <w:kern w:val="0"/>
          <w:sz w:val="32"/>
          <w:szCs w:val="32"/>
          <w:shd w:val="clear" w:color="auto" w:fill="FFFFFF"/>
          <w:lang w:eastAsia="zh-CN"/>
        </w:rPr>
        <w:t>增</w:t>
      </w:r>
      <w:r>
        <w:rPr>
          <w:rFonts w:hint="eastAsia" w:ascii="仿宋" w:hAnsi="仿宋" w:eastAsia="仿宋" w:cs="仿宋"/>
          <w:color w:val="333333"/>
          <w:kern w:val="0"/>
          <w:sz w:val="32"/>
          <w:szCs w:val="32"/>
          <w:shd w:val="clear" w:color="auto" w:fill="FFFFFF"/>
          <w:lang w:val="en-US" w:eastAsia="zh-CN"/>
        </w:rPr>
        <w:t>加97.86</w:t>
      </w:r>
      <w:r>
        <w:rPr>
          <w:rFonts w:hint="eastAsia" w:ascii="仿宋" w:hAnsi="仿宋" w:eastAsia="仿宋" w:cs="仿宋"/>
          <w:color w:val="333333"/>
          <w:kern w:val="0"/>
          <w:sz w:val="32"/>
          <w:szCs w:val="32"/>
          <w:shd w:val="clear" w:color="auto" w:fill="FFFFFF"/>
        </w:rPr>
        <w:t>万元，</w:t>
      </w:r>
      <w:r>
        <w:rPr>
          <w:rFonts w:hint="eastAsia" w:ascii="仿宋" w:hAnsi="仿宋" w:eastAsia="仿宋" w:cs="仿宋"/>
          <w:color w:val="333333"/>
          <w:kern w:val="0"/>
          <w:sz w:val="32"/>
          <w:szCs w:val="32"/>
          <w:shd w:val="clear" w:color="auto" w:fill="FFFFFF"/>
          <w:lang w:eastAsia="zh-CN"/>
        </w:rPr>
        <w:t>上升</w:t>
      </w:r>
      <w:r>
        <w:rPr>
          <w:rFonts w:hint="eastAsia" w:ascii="仿宋" w:hAnsi="仿宋" w:eastAsia="仿宋" w:cs="仿宋"/>
          <w:color w:val="333333"/>
          <w:kern w:val="0"/>
          <w:sz w:val="32"/>
          <w:szCs w:val="32"/>
          <w:shd w:val="clear" w:color="auto" w:fill="FFFFFF"/>
          <w:lang w:val="en-US" w:eastAsia="zh-CN"/>
        </w:rPr>
        <w:t>3.9%</w:t>
      </w:r>
      <w:r>
        <w:rPr>
          <w:rFonts w:hint="eastAsia" w:ascii="仿宋" w:hAnsi="仿宋" w:eastAsia="仿宋" w:cs="仿宋"/>
          <w:color w:val="333333"/>
          <w:kern w:val="0"/>
          <w:sz w:val="32"/>
          <w:szCs w:val="32"/>
          <w:shd w:val="clear" w:color="auto" w:fill="FFFFFF"/>
        </w:rPr>
        <w:t>，主要是</w:t>
      </w:r>
      <w:r>
        <w:rPr>
          <w:rFonts w:hint="eastAsia" w:ascii="仿宋" w:hAnsi="仿宋" w:eastAsia="仿宋" w:cs="仿宋"/>
          <w:color w:val="333333"/>
          <w:kern w:val="0"/>
          <w:sz w:val="32"/>
          <w:szCs w:val="32"/>
          <w:shd w:val="clear" w:color="auto" w:fill="FFFFFF"/>
          <w:lang w:eastAsia="zh-CN"/>
        </w:rPr>
        <w:t>软件维护、系统升级等合同支出跨年签订合同，上年</w:t>
      </w:r>
      <w:r>
        <w:rPr>
          <w:rFonts w:hint="eastAsia" w:ascii="仿宋" w:hAnsi="仿宋" w:eastAsia="仿宋" w:cs="仿宋"/>
          <w:color w:val="333333"/>
          <w:kern w:val="0"/>
          <w:sz w:val="32"/>
          <w:szCs w:val="32"/>
          <w:shd w:val="clear" w:color="auto" w:fill="FFFFFF"/>
          <w:lang w:val="en-US" w:eastAsia="zh-CN"/>
        </w:rPr>
        <w:t>度该项支出较少</w:t>
      </w:r>
      <w:r>
        <w:rPr>
          <w:rFonts w:hint="eastAsia" w:ascii="仿宋" w:hAnsi="仿宋" w:eastAsia="仿宋" w:cs="仿宋"/>
          <w:color w:val="333333"/>
          <w:kern w:val="0"/>
          <w:sz w:val="32"/>
          <w:szCs w:val="32"/>
          <w:shd w:val="clear" w:color="auto" w:fill="FFFFFF"/>
        </w:rPr>
        <w:t>。</w:t>
      </w:r>
    </w:p>
    <w:p w14:paraId="4A52792D">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（一）基本支出情况</w:t>
      </w:r>
    </w:p>
    <w:p w14:paraId="15FD605C">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基本支出</w:t>
      </w:r>
      <w:r>
        <w:rPr>
          <w:rFonts w:hint="eastAsia" w:ascii="仿宋" w:hAnsi="仿宋" w:eastAsia="仿宋" w:cs="仿宋"/>
          <w:kern w:val="0"/>
          <w:sz w:val="32"/>
          <w:szCs w:val="32"/>
          <w:shd w:val="clear" w:color="auto" w:fill="FFFFFF"/>
          <w:lang w:val="en-US" w:eastAsia="zh-CN"/>
        </w:rPr>
        <w:t>2612.42</w:t>
      </w:r>
      <w:r>
        <w:rPr>
          <w:rFonts w:hint="eastAsia" w:ascii="仿宋" w:hAnsi="仿宋" w:eastAsia="仿宋" w:cs="仿宋"/>
          <w:color w:val="333333"/>
          <w:kern w:val="0"/>
          <w:sz w:val="32"/>
          <w:szCs w:val="32"/>
          <w:shd w:val="clear" w:color="auto" w:fill="FFFFFF"/>
        </w:rPr>
        <w:t>万元。基本支出系保障我局机构正常运转、完成日常工作任务而发生的各项支出。包括用于在职和离退休人员基本工资、津贴补贴等人员经费以及办公费、印刷费、水电费、差旅费、办公设备购置等日常公用经费。其中：工资福利支出</w:t>
      </w:r>
      <w:r>
        <w:rPr>
          <w:rFonts w:hint="eastAsia" w:ascii="仿宋" w:hAnsi="仿宋" w:eastAsia="仿宋" w:cs="仿宋"/>
          <w:color w:val="333333"/>
          <w:kern w:val="0"/>
          <w:sz w:val="32"/>
          <w:szCs w:val="32"/>
          <w:shd w:val="clear" w:color="auto" w:fill="FFFFFF"/>
          <w:lang w:val="en-US" w:eastAsia="zh-CN"/>
        </w:rPr>
        <w:t>1271</w:t>
      </w:r>
      <w:r>
        <w:rPr>
          <w:rFonts w:hint="eastAsia" w:ascii="仿宋" w:hAnsi="仿宋" w:eastAsia="仿宋" w:cs="仿宋"/>
          <w:color w:val="333333"/>
          <w:kern w:val="0"/>
          <w:sz w:val="32"/>
          <w:szCs w:val="32"/>
          <w:shd w:val="clear" w:color="auto" w:fill="FFFFFF"/>
        </w:rPr>
        <w:t>万元，占基本支出的</w:t>
      </w:r>
      <w:r>
        <w:rPr>
          <w:rFonts w:hint="eastAsia" w:ascii="仿宋" w:hAnsi="仿宋" w:eastAsia="仿宋" w:cs="仿宋"/>
          <w:color w:val="333333"/>
          <w:kern w:val="0"/>
          <w:sz w:val="32"/>
          <w:szCs w:val="32"/>
          <w:shd w:val="clear" w:color="auto" w:fill="FFFFFF"/>
          <w:lang w:val="en-US" w:eastAsia="zh-CN"/>
        </w:rPr>
        <w:t>48.7</w:t>
      </w:r>
      <w:r>
        <w:rPr>
          <w:rFonts w:hint="eastAsia" w:ascii="仿宋" w:hAnsi="仿宋" w:eastAsia="仿宋" w:cs="仿宋"/>
          <w:color w:val="333333"/>
          <w:kern w:val="0"/>
          <w:sz w:val="32"/>
          <w:szCs w:val="32"/>
          <w:shd w:val="clear" w:color="auto" w:fill="FFFFFF"/>
        </w:rPr>
        <w:t xml:space="preserve"> %；商品和服务支出</w:t>
      </w:r>
      <w:r>
        <w:rPr>
          <w:rFonts w:hint="eastAsia" w:ascii="仿宋" w:hAnsi="仿宋" w:eastAsia="仿宋" w:cs="仿宋"/>
          <w:color w:val="333333"/>
          <w:kern w:val="0"/>
          <w:sz w:val="32"/>
          <w:szCs w:val="32"/>
          <w:shd w:val="clear" w:color="auto" w:fill="FFFFFF"/>
          <w:lang w:val="en-US" w:eastAsia="zh-CN"/>
        </w:rPr>
        <w:t>1262</w:t>
      </w:r>
      <w:r>
        <w:rPr>
          <w:rFonts w:hint="eastAsia" w:ascii="仿宋" w:hAnsi="仿宋" w:eastAsia="仿宋" w:cs="仿宋"/>
          <w:color w:val="333333"/>
          <w:kern w:val="0"/>
          <w:sz w:val="32"/>
          <w:szCs w:val="32"/>
          <w:shd w:val="clear" w:color="auto" w:fill="FFFFFF"/>
        </w:rPr>
        <w:t>万元，占基本支出的</w:t>
      </w:r>
      <w:r>
        <w:rPr>
          <w:rFonts w:hint="eastAsia" w:ascii="仿宋" w:hAnsi="仿宋" w:eastAsia="仿宋" w:cs="仿宋"/>
          <w:color w:val="333333"/>
          <w:kern w:val="0"/>
          <w:sz w:val="32"/>
          <w:szCs w:val="32"/>
          <w:shd w:val="clear" w:color="auto" w:fill="FFFFFF"/>
          <w:lang w:val="en-US" w:eastAsia="zh-CN"/>
        </w:rPr>
        <w:t>48.3</w:t>
      </w:r>
      <w:r>
        <w:rPr>
          <w:rFonts w:hint="eastAsia" w:ascii="仿宋" w:hAnsi="仿宋" w:eastAsia="仿宋" w:cs="仿宋"/>
          <w:color w:val="333333"/>
          <w:kern w:val="0"/>
          <w:sz w:val="32"/>
          <w:szCs w:val="32"/>
          <w:shd w:val="clear" w:color="auto" w:fill="FFFFFF"/>
        </w:rPr>
        <w:t>%； 对个人和家庭的补助</w:t>
      </w:r>
      <w:r>
        <w:rPr>
          <w:rFonts w:hint="eastAsia" w:ascii="仿宋" w:hAnsi="仿宋" w:eastAsia="仿宋" w:cs="仿宋"/>
          <w:color w:val="333333"/>
          <w:kern w:val="0"/>
          <w:sz w:val="32"/>
          <w:szCs w:val="32"/>
          <w:shd w:val="clear" w:color="auto" w:fill="FFFFFF"/>
          <w:lang w:val="en-US" w:eastAsia="zh-CN"/>
        </w:rPr>
        <w:t>79</w:t>
      </w:r>
      <w:r>
        <w:rPr>
          <w:rFonts w:hint="eastAsia" w:ascii="仿宋" w:hAnsi="仿宋" w:eastAsia="仿宋" w:cs="仿宋"/>
          <w:color w:val="333333"/>
          <w:kern w:val="0"/>
          <w:sz w:val="32"/>
          <w:szCs w:val="32"/>
          <w:shd w:val="clear" w:color="auto" w:fill="FFFFFF"/>
        </w:rPr>
        <w:t>万元，占基本支出的</w:t>
      </w:r>
      <w:r>
        <w:rPr>
          <w:rFonts w:hint="eastAsia" w:ascii="仿宋" w:hAnsi="仿宋" w:eastAsia="仿宋" w:cs="仿宋"/>
          <w:color w:val="333333"/>
          <w:kern w:val="0"/>
          <w:sz w:val="32"/>
          <w:szCs w:val="32"/>
          <w:shd w:val="clear" w:color="auto" w:fill="FFFFFF"/>
          <w:lang w:val="en-US" w:eastAsia="zh-CN"/>
        </w:rPr>
        <w:t>3</w:t>
      </w:r>
      <w:r>
        <w:rPr>
          <w:rFonts w:hint="eastAsia" w:ascii="仿宋" w:hAnsi="仿宋" w:eastAsia="仿宋" w:cs="仿宋"/>
          <w:color w:val="333333"/>
          <w:kern w:val="0"/>
          <w:sz w:val="32"/>
          <w:szCs w:val="32"/>
          <w:shd w:val="clear" w:color="auto" w:fill="FFFFFF"/>
        </w:rPr>
        <w:t>%。</w:t>
      </w:r>
    </w:p>
    <w:p w14:paraId="33D759A0">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（二）</w:t>
      </w:r>
      <w:r>
        <w:rPr>
          <w:rFonts w:hint="eastAsia" w:ascii="仿宋" w:hAnsi="仿宋" w:eastAsia="仿宋" w:cs="仿宋"/>
          <w:b/>
          <w:bCs/>
          <w:sz w:val="32"/>
          <w:szCs w:val="32"/>
          <w:lang w:eastAsia="zh-CN"/>
        </w:rPr>
        <w:t>专</w:t>
      </w:r>
      <w:r>
        <w:rPr>
          <w:rFonts w:hint="eastAsia" w:ascii="仿宋" w:hAnsi="仿宋" w:eastAsia="仿宋" w:cs="仿宋"/>
          <w:b/>
          <w:bCs/>
          <w:sz w:val="32"/>
          <w:szCs w:val="32"/>
        </w:rPr>
        <w:t>项</w:t>
      </w:r>
      <w:r>
        <w:rPr>
          <w:rFonts w:hint="eastAsia" w:ascii="仿宋" w:hAnsi="仿宋" w:eastAsia="仿宋" w:cs="仿宋"/>
          <w:b/>
          <w:bCs/>
          <w:sz w:val="32"/>
          <w:szCs w:val="32"/>
          <w:lang w:eastAsia="zh-CN"/>
        </w:rPr>
        <w:t>资金情况</w:t>
      </w:r>
    </w:p>
    <w:p w14:paraId="6ADC73D9">
      <w:pPr>
        <w:pStyle w:val="2"/>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本年无项目支出</w:t>
      </w:r>
    </w:p>
    <w:p w14:paraId="5597D740">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（三）“三公”经费情况</w:t>
      </w:r>
    </w:p>
    <w:p w14:paraId="4B9A7FC8">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公务接待费严格按照《隆回县党政机关国内公务接待管理实施细则》执行，厉行节约，招待费实行先申报后招待，接待经费凭据报销，报销凭证包括财务票据（发票）、派出单位公函、接待清单、接待审批单，接待清单与派出单位公函要相一致，一起作为财务报销凭证。</w:t>
      </w:r>
    </w:p>
    <w:p w14:paraId="0D7644C8">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color w:val="333333"/>
          <w:kern w:val="0"/>
          <w:sz w:val="32"/>
          <w:szCs w:val="32"/>
          <w:shd w:val="clear" w:color="auto" w:fill="FFFFFF"/>
        </w:rPr>
        <w:t xml:space="preserve"> 202</w:t>
      </w:r>
      <w:r>
        <w:rPr>
          <w:rFonts w:hint="eastAsia" w:ascii="仿宋" w:hAnsi="仿宋" w:eastAsia="仿宋" w:cs="仿宋"/>
          <w:color w:val="333333"/>
          <w:kern w:val="0"/>
          <w:sz w:val="32"/>
          <w:szCs w:val="32"/>
          <w:shd w:val="clear" w:color="auto" w:fill="FFFFFF"/>
          <w:lang w:val="en-US" w:eastAsia="zh-CN"/>
        </w:rPr>
        <w:t>4</w:t>
      </w:r>
      <w:r>
        <w:rPr>
          <w:rFonts w:hint="eastAsia" w:ascii="仿宋" w:hAnsi="仿宋" w:eastAsia="仿宋" w:cs="仿宋"/>
          <w:color w:val="333333"/>
          <w:kern w:val="0"/>
          <w:sz w:val="32"/>
          <w:szCs w:val="32"/>
          <w:shd w:val="clear" w:color="auto" w:fill="FFFFFF"/>
        </w:rPr>
        <w:t>年我局没有因公出国的情况</w:t>
      </w:r>
      <w:r>
        <w:rPr>
          <w:rFonts w:hint="eastAsia" w:ascii="仿宋" w:hAnsi="仿宋" w:eastAsia="仿宋" w:cs="仿宋"/>
          <w:sz w:val="32"/>
          <w:szCs w:val="32"/>
        </w:rPr>
        <w:t>；</w:t>
      </w:r>
    </w:p>
    <w:p w14:paraId="5C3917B3">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sz w:val="32"/>
          <w:szCs w:val="32"/>
        </w:rPr>
        <w:t>2.</w:t>
      </w:r>
      <w:r>
        <w:rPr>
          <w:rFonts w:hint="eastAsia" w:ascii="仿宋" w:hAnsi="仿宋" w:eastAsia="仿宋" w:cs="仿宋"/>
          <w:color w:val="333333"/>
          <w:kern w:val="0"/>
          <w:sz w:val="32"/>
          <w:szCs w:val="32"/>
          <w:shd w:val="clear" w:color="auto" w:fill="FFFFFF"/>
        </w:rPr>
        <w:t xml:space="preserve"> 202</w:t>
      </w:r>
      <w:r>
        <w:rPr>
          <w:rFonts w:hint="eastAsia" w:ascii="仿宋" w:hAnsi="仿宋" w:eastAsia="仿宋" w:cs="仿宋"/>
          <w:color w:val="333333"/>
          <w:kern w:val="0"/>
          <w:sz w:val="32"/>
          <w:szCs w:val="32"/>
          <w:shd w:val="clear" w:color="auto" w:fill="FFFFFF"/>
          <w:lang w:val="en-US" w:eastAsia="zh-CN"/>
        </w:rPr>
        <w:t>4</w:t>
      </w:r>
      <w:r>
        <w:rPr>
          <w:rFonts w:hint="eastAsia" w:ascii="仿宋" w:hAnsi="仿宋" w:eastAsia="仿宋" w:cs="仿宋"/>
          <w:color w:val="333333"/>
          <w:kern w:val="0"/>
          <w:sz w:val="32"/>
          <w:szCs w:val="32"/>
          <w:shd w:val="clear" w:color="auto" w:fill="FFFFFF"/>
        </w:rPr>
        <w:t>年我局“三公”经费实际支出数</w:t>
      </w:r>
      <w:r>
        <w:rPr>
          <w:rFonts w:hint="eastAsia" w:ascii="仿宋" w:hAnsi="仿宋" w:eastAsia="仿宋" w:cs="仿宋"/>
          <w:color w:val="333333"/>
          <w:kern w:val="0"/>
          <w:sz w:val="32"/>
          <w:szCs w:val="32"/>
          <w:shd w:val="clear" w:color="auto" w:fill="FFFFFF"/>
          <w:lang w:val="en-US" w:eastAsia="zh-CN"/>
        </w:rPr>
        <w:t>0.87</w:t>
      </w:r>
      <w:r>
        <w:rPr>
          <w:rFonts w:hint="eastAsia" w:ascii="仿宋" w:hAnsi="仿宋" w:eastAsia="仿宋" w:cs="仿宋"/>
          <w:color w:val="333333"/>
          <w:kern w:val="0"/>
          <w:sz w:val="32"/>
          <w:szCs w:val="32"/>
          <w:shd w:val="clear" w:color="auto" w:fill="FFFFFF"/>
        </w:rPr>
        <w:t>万元。其中：因公出国(境)费0元、公务接待费</w:t>
      </w:r>
      <w:r>
        <w:rPr>
          <w:rFonts w:hint="eastAsia" w:ascii="仿宋" w:hAnsi="仿宋" w:eastAsia="仿宋" w:cs="仿宋"/>
          <w:color w:val="333333"/>
          <w:kern w:val="0"/>
          <w:sz w:val="32"/>
          <w:szCs w:val="32"/>
          <w:shd w:val="clear" w:color="auto" w:fill="FFFFFF"/>
          <w:lang w:val="en-US" w:eastAsia="zh-CN"/>
        </w:rPr>
        <w:t>0.87</w:t>
      </w:r>
      <w:r>
        <w:rPr>
          <w:rFonts w:hint="eastAsia" w:ascii="仿宋" w:hAnsi="仿宋" w:eastAsia="仿宋" w:cs="仿宋"/>
          <w:color w:val="333333"/>
          <w:kern w:val="0"/>
          <w:sz w:val="32"/>
          <w:szCs w:val="32"/>
          <w:shd w:val="clear" w:color="auto" w:fill="FFFFFF"/>
        </w:rPr>
        <w:t>万元、公务用车费0万元，较上年</w:t>
      </w:r>
      <w:r>
        <w:rPr>
          <w:rFonts w:hint="eastAsia" w:ascii="仿宋" w:hAnsi="仿宋" w:eastAsia="仿宋" w:cs="仿宋"/>
          <w:color w:val="333333"/>
          <w:kern w:val="0"/>
          <w:sz w:val="32"/>
          <w:szCs w:val="32"/>
          <w:shd w:val="clear" w:color="auto" w:fill="FFFFFF"/>
          <w:lang w:eastAsia="zh-CN"/>
        </w:rPr>
        <w:t>减少</w:t>
      </w:r>
      <w:r>
        <w:rPr>
          <w:rFonts w:hint="eastAsia" w:ascii="仿宋" w:hAnsi="仿宋" w:eastAsia="仿宋" w:cs="仿宋"/>
          <w:color w:val="333333"/>
          <w:kern w:val="0"/>
          <w:sz w:val="32"/>
          <w:szCs w:val="32"/>
          <w:shd w:val="clear" w:color="auto" w:fill="FFFFFF"/>
        </w:rPr>
        <w:t>0.</w:t>
      </w:r>
      <w:r>
        <w:rPr>
          <w:rFonts w:hint="eastAsia" w:ascii="仿宋" w:hAnsi="仿宋" w:eastAsia="仿宋" w:cs="仿宋"/>
          <w:color w:val="333333"/>
          <w:kern w:val="0"/>
          <w:sz w:val="32"/>
          <w:szCs w:val="32"/>
          <w:shd w:val="clear" w:color="auto" w:fill="FFFFFF"/>
          <w:lang w:val="en-US" w:eastAsia="zh-CN"/>
        </w:rPr>
        <w:t>22</w:t>
      </w:r>
      <w:r>
        <w:rPr>
          <w:rFonts w:hint="eastAsia" w:ascii="仿宋" w:hAnsi="仿宋" w:eastAsia="仿宋" w:cs="仿宋"/>
          <w:color w:val="333333"/>
          <w:kern w:val="0"/>
          <w:sz w:val="32"/>
          <w:szCs w:val="32"/>
          <w:shd w:val="clear" w:color="auto" w:fill="FFFFFF"/>
        </w:rPr>
        <w:t>万元</w:t>
      </w:r>
      <w:r>
        <w:rPr>
          <w:rFonts w:hint="eastAsia" w:ascii="仿宋" w:hAnsi="仿宋" w:eastAsia="仿宋" w:cs="仿宋"/>
          <w:sz w:val="32"/>
          <w:szCs w:val="32"/>
        </w:rPr>
        <w:t>；</w:t>
      </w:r>
    </w:p>
    <w:p w14:paraId="2BC9DD43">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sz w:val="32"/>
          <w:szCs w:val="32"/>
        </w:rPr>
        <w:t>3.</w:t>
      </w:r>
      <w:r>
        <w:rPr>
          <w:rFonts w:hint="eastAsia" w:ascii="仿宋" w:hAnsi="仿宋" w:eastAsia="仿宋" w:cs="仿宋"/>
          <w:color w:val="333333"/>
          <w:kern w:val="0"/>
          <w:sz w:val="32"/>
          <w:szCs w:val="32"/>
          <w:shd w:val="clear" w:color="auto" w:fill="FFFFFF"/>
        </w:rPr>
        <w:t xml:space="preserve"> 202</w:t>
      </w:r>
      <w:r>
        <w:rPr>
          <w:rFonts w:hint="eastAsia" w:ascii="仿宋" w:hAnsi="仿宋" w:eastAsia="仿宋" w:cs="仿宋"/>
          <w:color w:val="333333"/>
          <w:kern w:val="0"/>
          <w:sz w:val="32"/>
          <w:szCs w:val="32"/>
          <w:shd w:val="clear" w:color="auto" w:fill="FFFFFF"/>
          <w:lang w:val="en-US" w:eastAsia="zh-CN"/>
        </w:rPr>
        <w:t>4</w:t>
      </w:r>
      <w:r>
        <w:rPr>
          <w:rFonts w:hint="eastAsia" w:ascii="仿宋" w:hAnsi="仿宋" w:eastAsia="仿宋" w:cs="仿宋"/>
          <w:color w:val="333333"/>
          <w:kern w:val="0"/>
          <w:sz w:val="32"/>
          <w:szCs w:val="32"/>
          <w:shd w:val="clear" w:color="auto" w:fill="FFFFFF"/>
        </w:rPr>
        <w:t>年我局没有公务车，因为实行公车改革后单位无公务车。</w:t>
      </w:r>
    </w:p>
    <w:p w14:paraId="1C81C504">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sz w:val="32"/>
          <w:szCs w:val="32"/>
          <w:lang w:eastAsia="zh-CN"/>
        </w:rPr>
      </w:pPr>
      <w:r>
        <w:rPr>
          <w:rFonts w:hint="eastAsia" w:ascii="仿宋" w:hAnsi="仿宋" w:eastAsia="仿宋" w:cs="仿宋"/>
          <w:b/>
          <w:bCs/>
          <w:sz w:val="32"/>
          <w:szCs w:val="32"/>
        </w:rPr>
        <w:t>三、</w:t>
      </w:r>
      <w:r>
        <w:rPr>
          <w:rFonts w:hint="eastAsia" w:ascii="仿宋" w:hAnsi="仿宋" w:eastAsia="仿宋" w:cs="仿宋"/>
          <w:b/>
          <w:bCs/>
          <w:sz w:val="32"/>
          <w:szCs w:val="32"/>
          <w:lang w:eastAsia="zh-CN"/>
        </w:rPr>
        <w:t>政府性基金预算支出情况</w:t>
      </w:r>
    </w:p>
    <w:p w14:paraId="2C828258">
      <w:pPr>
        <w:pStyle w:val="2"/>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无</w:t>
      </w:r>
    </w:p>
    <w:p w14:paraId="164CB8D4">
      <w:pPr>
        <w:pStyle w:val="2"/>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color w:val="333333"/>
          <w:kern w:val="0"/>
          <w:sz w:val="32"/>
          <w:szCs w:val="32"/>
          <w:shd w:val="clear" w:color="auto" w:fill="FFFFFF"/>
        </w:rPr>
      </w:pPr>
      <w:r>
        <w:rPr>
          <w:rFonts w:hint="eastAsia" w:ascii="仿宋" w:hAnsi="仿宋" w:eastAsia="仿宋" w:cs="仿宋"/>
          <w:b/>
          <w:bCs/>
          <w:sz w:val="32"/>
          <w:szCs w:val="32"/>
          <w:lang w:eastAsia="zh-CN"/>
        </w:rPr>
        <w:t>四</w:t>
      </w:r>
      <w:r>
        <w:rPr>
          <w:rFonts w:hint="eastAsia" w:ascii="仿宋" w:hAnsi="仿宋" w:eastAsia="仿宋" w:cs="仿宋"/>
          <w:b/>
          <w:bCs/>
          <w:sz w:val="32"/>
          <w:szCs w:val="32"/>
        </w:rPr>
        <w:t>、</w:t>
      </w:r>
      <w:r>
        <w:rPr>
          <w:rFonts w:hint="eastAsia" w:ascii="仿宋" w:hAnsi="仿宋" w:eastAsia="仿宋" w:cs="仿宋"/>
          <w:b/>
          <w:bCs/>
          <w:sz w:val="32"/>
          <w:szCs w:val="32"/>
          <w:lang w:eastAsia="zh-CN"/>
        </w:rPr>
        <w:t>国有资本经营预算支出情况</w:t>
      </w:r>
    </w:p>
    <w:p w14:paraId="0ADBFBD8">
      <w:pPr>
        <w:pStyle w:val="2"/>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无</w:t>
      </w:r>
    </w:p>
    <w:p w14:paraId="1CC7FAAE">
      <w:pPr>
        <w:pStyle w:val="2"/>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color w:val="333333"/>
          <w:kern w:val="0"/>
          <w:sz w:val="32"/>
          <w:szCs w:val="32"/>
          <w:shd w:val="clear" w:color="auto" w:fill="FFFFFF"/>
        </w:rPr>
      </w:pPr>
      <w:r>
        <w:rPr>
          <w:rFonts w:hint="eastAsia" w:ascii="仿宋" w:hAnsi="仿宋" w:eastAsia="仿宋" w:cs="仿宋"/>
          <w:b/>
          <w:bCs/>
          <w:sz w:val="32"/>
          <w:szCs w:val="32"/>
          <w:lang w:eastAsia="zh-CN"/>
        </w:rPr>
        <w:t>五</w:t>
      </w:r>
      <w:r>
        <w:rPr>
          <w:rFonts w:hint="eastAsia" w:ascii="仿宋" w:hAnsi="仿宋" w:eastAsia="仿宋" w:cs="仿宋"/>
          <w:b/>
          <w:bCs/>
          <w:sz w:val="32"/>
          <w:szCs w:val="32"/>
        </w:rPr>
        <w:t>、</w:t>
      </w:r>
      <w:r>
        <w:rPr>
          <w:rFonts w:hint="eastAsia" w:ascii="仿宋" w:hAnsi="仿宋" w:eastAsia="仿宋" w:cs="仿宋"/>
          <w:b/>
          <w:bCs/>
          <w:sz w:val="32"/>
          <w:szCs w:val="32"/>
          <w:lang w:eastAsia="zh-CN"/>
        </w:rPr>
        <w:t>社会保险基金预算支出情况</w:t>
      </w:r>
    </w:p>
    <w:p w14:paraId="3AFAA0FE">
      <w:pPr>
        <w:pStyle w:val="2"/>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lang w:val="en-US" w:eastAsia="zh-CN" w:bidi="ar-SA"/>
        </w:rPr>
      </w:pPr>
      <w:r>
        <w:rPr>
          <w:rFonts w:hint="eastAsia" w:ascii="仿宋" w:hAnsi="仿宋" w:eastAsia="仿宋" w:cs="仿宋"/>
          <w:color w:val="333333"/>
          <w:kern w:val="0"/>
          <w:sz w:val="32"/>
          <w:szCs w:val="32"/>
          <w:shd w:val="clear" w:color="auto" w:fill="FFFFFF"/>
          <w:lang w:val="en-US" w:eastAsia="zh-CN" w:bidi="ar-SA"/>
        </w:rPr>
        <w:t>无</w:t>
      </w:r>
    </w:p>
    <w:p w14:paraId="18346CEB">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kern w:val="2"/>
          <w:sz w:val="32"/>
          <w:szCs w:val="32"/>
          <w:lang w:val="en-US" w:eastAsia="zh-CN" w:bidi="ar-SA"/>
        </w:rPr>
      </w:pPr>
      <w:r>
        <w:rPr>
          <w:rFonts w:hint="eastAsia" w:ascii="仿宋" w:hAnsi="仿宋" w:eastAsia="仿宋" w:cs="仿宋"/>
          <w:b/>
          <w:bCs/>
          <w:kern w:val="2"/>
          <w:sz w:val="32"/>
          <w:szCs w:val="32"/>
          <w:lang w:val="en-US" w:eastAsia="zh-CN" w:bidi="ar-SA"/>
        </w:rPr>
        <w:t>六、部门整体支出绩效情况</w:t>
      </w:r>
    </w:p>
    <w:p w14:paraId="01830EC4">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 xml:space="preserve">每年年底我局编制下一年度部门预算，资金使用过程中严格按照预算批复支出预算资金，无超预算、超范围开支的现象；支出符合国家财经法规和财务制度规定，专项资金做到专款专用；支出拨付审批程序和手续齐全完整；不存在截留、挤占、挪用、虚列支出、大额使用现金等违规违法行为。 </w:t>
      </w:r>
    </w:p>
    <w:p w14:paraId="3536ACFD">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不断加强制度建设，健全体制机制，根据市政府信息公开办法，制定一系列规章制度，初步形成政务公开工作的制度体系。从2014年开始我局按照</w:t>
      </w:r>
      <w:r>
        <w:rPr>
          <w:rFonts w:hint="eastAsia" w:ascii="仿宋" w:hAnsi="仿宋" w:eastAsia="仿宋" w:cs="仿宋"/>
          <w:color w:val="333333"/>
          <w:kern w:val="0"/>
          <w:sz w:val="32"/>
          <w:szCs w:val="32"/>
          <w:shd w:val="clear" w:color="auto" w:fill="FFFFFF"/>
          <w:lang w:eastAsia="zh-CN"/>
        </w:rPr>
        <w:t>县委县政府</w:t>
      </w:r>
      <w:r>
        <w:rPr>
          <w:rFonts w:hint="eastAsia" w:ascii="仿宋" w:hAnsi="仿宋" w:eastAsia="仿宋" w:cs="仿宋"/>
          <w:color w:val="333333"/>
          <w:kern w:val="0"/>
          <w:sz w:val="32"/>
          <w:szCs w:val="32"/>
          <w:shd w:val="clear" w:color="auto" w:fill="FFFFFF"/>
        </w:rPr>
        <w:t xml:space="preserve">和上级财政部门文件的规定，按时公开部门预算和部门决算。增强了资金支出和资产管理的监管力度，同时明确财务人员职责分工，确保了会计信息资料真实准确，会计基础工作完整，按规定的内容公开单位预决算信息。 </w:t>
      </w:r>
    </w:p>
    <w:p w14:paraId="499A97E5">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七</w:t>
      </w:r>
      <w:r>
        <w:rPr>
          <w:rFonts w:hint="eastAsia" w:ascii="仿宋" w:hAnsi="仿宋" w:eastAsia="仿宋" w:cs="仿宋"/>
          <w:b/>
          <w:bCs/>
          <w:sz w:val="32"/>
          <w:szCs w:val="32"/>
        </w:rPr>
        <w:t>、存在的问题</w:t>
      </w:r>
    </w:p>
    <w:p w14:paraId="7DD3A5CD">
      <w:pPr>
        <w:pStyle w:val="2"/>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sz w:val="32"/>
          <w:szCs w:val="32"/>
        </w:rPr>
      </w:pPr>
      <w:r>
        <w:rPr>
          <w:rFonts w:hint="eastAsia" w:ascii="仿宋" w:hAnsi="仿宋" w:eastAsia="仿宋" w:cs="仿宋"/>
          <w:color w:val="333333"/>
          <w:kern w:val="0"/>
          <w:sz w:val="32"/>
          <w:szCs w:val="32"/>
          <w:shd w:val="clear" w:color="auto" w:fill="FFFFFF"/>
        </w:rPr>
        <w:t>我局在资产使用和支出管理方面取得了较好的成绩，但是由于历史原因和管理惯性，资产管理在体制、监管等方面存在以下不足：第一，固定资产管理效率还有待提高。第二，固定资产管理力量有待加强。</w:t>
      </w:r>
    </w:p>
    <w:p w14:paraId="4A780EF7">
      <w:pPr>
        <w:keepNext w:val="0"/>
        <w:keepLines w:val="0"/>
        <w:pageBreakBefore w:val="0"/>
        <w:kinsoku/>
        <w:wordWrap/>
        <w:overflowPunct/>
        <w:topLinePunct w:val="0"/>
        <w:autoSpaceDE/>
        <w:autoSpaceDN/>
        <w:bidi w:val="0"/>
        <w:adjustRightInd/>
        <w:spacing w:line="580" w:lineRule="exact"/>
        <w:ind w:left="0" w:leftChars="0"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eastAsia="zh-CN"/>
        </w:rPr>
        <w:t>八</w:t>
      </w:r>
      <w:r>
        <w:rPr>
          <w:rFonts w:hint="eastAsia" w:ascii="仿宋" w:hAnsi="仿宋" w:eastAsia="仿宋" w:cs="仿宋"/>
          <w:b/>
          <w:bCs/>
          <w:sz w:val="32"/>
          <w:szCs w:val="32"/>
        </w:rPr>
        <w:t>、改进措施和有关建议</w:t>
      </w:r>
    </w:p>
    <w:p w14:paraId="29E7E2D5">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color w:val="333333"/>
          <w:kern w:val="0"/>
          <w:sz w:val="32"/>
          <w:szCs w:val="32"/>
          <w:shd w:val="clear" w:color="auto" w:fill="FFFFFF"/>
        </w:rPr>
      </w:pPr>
      <w:r>
        <w:rPr>
          <w:rFonts w:hint="eastAsia" w:ascii="仿宋" w:hAnsi="仿宋" w:eastAsia="仿宋" w:cs="仿宋"/>
          <w:color w:val="333333"/>
          <w:kern w:val="0"/>
          <w:sz w:val="32"/>
          <w:szCs w:val="32"/>
          <w:shd w:val="clear" w:color="auto" w:fill="FFFFFF"/>
        </w:rPr>
        <w:t>针对存在的问题我局将提出以下切实可行的改进措施和有关建议：一、加强固定资产管理力量，提高管理人员的工作效率，明确职责，谁使用谁负责。二、根据单位办公需要购置新的资产，厉行节约，避免不必要的浪费，提高资产的使用效能。三、加强监管，定期对资产进行清查。</w:t>
      </w:r>
    </w:p>
    <w:p w14:paraId="033E07E9">
      <w:pPr>
        <w:pStyle w:val="2"/>
        <w:rPr>
          <w:rFonts w:hint="eastAsia" w:ascii="仿宋" w:hAnsi="仿宋" w:eastAsia="仿宋" w:cs="仿宋"/>
          <w:color w:val="333333"/>
          <w:kern w:val="0"/>
          <w:sz w:val="32"/>
          <w:szCs w:val="32"/>
          <w:shd w:val="clear" w:color="auto" w:fill="FFFFFF"/>
        </w:rPr>
      </w:pPr>
    </w:p>
    <w:p w14:paraId="7C1A828B">
      <w:pPr>
        <w:spacing w:line="560" w:lineRule="exact"/>
        <w:ind w:firstLine="640" w:firstLineChars="200"/>
        <w:rPr>
          <w:rFonts w:hint="eastAsia" w:ascii="仿宋" w:hAnsi="仿宋" w:eastAsia="仿宋" w:cs="仿宋"/>
          <w:kern w:val="0"/>
          <w:sz w:val="32"/>
          <w:szCs w:val="32"/>
          <w:lang w:val="en-US" w:eastAsia="zh-CN"/>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w:t>
      </w:r>
    </w:p>
    <w:p w14:paraId="3716308A">
      <w:pPr>
        <w:numPr>
          <w:ilvl w:val="0"/>
          <w:numId w:val="0"/>
        </w:numPr>
        <w:spacing w:line="560" w:lineRule="exact"/>
        <w:ind w:firstLine="640" w:firstLineChars="200"/>
        <w:rPr>
          <w:rFonts w:hint="eastAsia" w:ascii="仿宋" w:hAnsi="仿宋" w:eastAsia="仿宋" w:cs="仿宋"/>
          <w:b w:val="0"/>
          <w:bCs w:val="0"/>
          <w:kern w:val="0"/>
          <w:sz w:val="32"/>
          <w:szCs w:val="32"/>
          <w:lang w:eastAsia="zh-CN"/>
        </w:rPr>
      </w:pPr>
      <w:r>
        <w:rPr>
          <w:rFonts w:hint="eastAsia" w:ascii="仿宋" w:hAnsi="仿宋" w:eastAsia="仿宋" w:cs="仿宋"/>
          <w:b w:val="0"/>
          <w:bCs w:val="0"/>
          <w:kern w:val="0"/>
          <w:sz w:val="32"/>
          <w:szCs w:val="32"/>
          <w:lang w:val="en-US" w:eastAsia="zh-CN"/>
        </w:rPr>
        <w:t>1</w:t>
      </w:r>
      <w:r>
        <w:rPr>
          <w:rFonts w:hint="eastAsia" w:ascii="仿宋" w:hAnsi="仿宋" w:eastAsia="仿宋" w:cs="仿宋"/>
          <w:sz w:val="32"/>
          <w:szCs w:val="32"/>
        </w:rPr>
        <w:t>.</w:t>
      </w:r>
      <w:r>
        <w:rPr>
          <w:rFonts w:hint="eastAsia" w:ascii="仿宋" w:hAnsi="仿宋" w:eastAsia="仿宋" w:cs="仿宋"/>
          <w:b w:val="0"/>
          <w:bCs w:val="0"/>
          <w:kern w:val="0"/>
          <w:sz w:val="32"/>
          <w:szCs w:val="32"/>
          <w:lang w:eastAsia="zh-CN"/>
        </w:rPr>
        <w:t>部门整体支出绩效评价基础数据表</w:t>
      </w:r>
    </w:p>
    <w:p w14:paraId="6B12F546">
      <w:pPr>
        <w:numPr>
          <w:ilvl w:val="0"/>
          <w:numId w:val="0"/>
        </w:numPr>
        <w:spacing w:line="560" w:lineRule="exact"/>
        <w:ind w:firstLine="640" w:firstLineChars="200"/>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2.部门整体支出绩效自评表</w:t>
      </w:r>
    </w:p>
    <w:p w14:paraId="5DC45248">
      <w:pPr>
        <w:pStyle w:val="2"/>
        <w:numPr>
          <w:ilvl w:val="0"/>
          <w:numId w:val="0"/>
        </w:numPr>
        <w:rPr>
          <w:rFonts w:hint="default"/>
          <w:lang w:val="en-US" w:eastAsia="zh-CN"/>
        </w:rPr>
      </w:pPr>
    </w:p>
    <w:p w14:paraId="1C0AA0CB">
      <w:pPr>
        <w:pStyle w:val="2"/>
        <w:numPr>
          <w:ilvl w:val="0"/>
          <w:numId w:val="0"/>
        </w:numPr>
        <w:rPr>
          <w:rFonts w:hint="default"/>
          <w:lang w:val="en-US" w:eastAsia="zh-CN"/>
        </w:rPr>
      </w:pPr>
    </w:p>
    <w:p w14:paraId="2B2F3022">
      <w:pPr>
        <w:pStyle w:val="2"/>
        <w:numPr>
          <w:ilvl w:val="0"/>
          <w:numId w:val="0"/>
        </w:numPr>
        <w:rPr>
          <w:rFonts w:hint="default"/>
          <w:lang w:val="en-US" w:eastAsia="zh-CN"/>
        </w:rPr>
      </w:pPr>
    </w:p>
    <w:p w14:paraId="3701792C">
      <w:pPr>
        <w:pStyle w:val="2"/>
        <w:numPr>
          <w:ilvl w:val="0"/>
          <w:numId w:val="0"/>
        </w:numPr>
        <w:rPr>
          <w:rFonts w:hint="eastAsia" w:ascii="仿宋" w:hAnsi="仿宋" w:eastAsia="仿宋" w:cs="仿宋"/>
          <w:lang w:val="en-US" w:eastAsia="zh-CN"/>
        </w:rPr>
      </w:pPr>
      <w:r>
        <w:rPr>
          <w:rFonts w:hint="eastAsia"/>
          <w:lang w:val="en-US" w:eastAsia="zh-CN"/>
        </w:rPr>
        <w:t xml:space="preserve">                              </w:t>
      </w:r>
      <w:r>
        <w:rPr>
          <w:rFonts w:hint="eastAsia" w:ascii="仿宋" w:hAnsi="仿宋" w:eastAsia="仿宋" w:cs="仿宋"/>
          <w:lang w:val="en-US" w:eastAsia="zh-CN"/>
        </w:rPr>
        <w:t xml:space="preserve"> 隆回县财政局</w:t>
      </w:r>
    </w:p>
    <w:p w14:paraId="39DAC3EF">
      <w:pPr>
        <w:pStyle w:val="2"/>
        <w:numPr>
          <w:ilvl w:val="0"/>
          <w:numId w:val="0"/>
        </w:numPr>
        <w:rPr>
          <w:rFonts w:hint="default" w:ascii="仿宋" w:hAnsi="仿宋" w:eastAsia="仿宋" w:cs="仿宋"/>
          <w:lang w:val="en-US" w:eastAsia="zh-CN"/>
        </w:rPr>
      </w:pPr>
      <w:r>
        <w:rPr>
          <w:rFonts w:hint="eastAsia" w:ascii="仿宋" w:hAnsi="仿宋" w:eastAsia="仿宋" w:cs="仿宋"/>
          <w:lang w:val="en-US" w:eastAsia="zh-CN"/>
        </w:rPr>
        <w:t xml:space="preserve">                                  2025年4月30日</w:t>
      </w:r>
    </w:p>
    <w:p w14:paraId="60E26C0E">
      <w:pPr>
        <w:pStyle w:val="2"/>
        <w:rPr>
          <w:rFonts w:hint="eastAsia" w:ascii="仿宋" w:hAnsi="仿宋" w:eastAsia="仿宋" w:cs="仿宋"/>
          <w:color w:val="333333"/>
          <w:kern w:val="0"/>
          <w:sz w:val="32"/>
          <w:szCs w:val="32"/>
          <w:shd w:val="clear" w:color="auto" w:fill="FFFFFF"/>
          <w:lang w:val="en-US" w:eastAsia="zh-CN"/>
        </w:rPr>
      </w:pPr>
    </w:p>
    <w:p w14:paraId="008A3763">
      <w:pPr>
        <w:keepNext w:val="0"/>
        <w:keepLines w:val="0"/>
        <w:pageBreakBefore w:val="0"/>
        <w:kinsoku/>
        <w:wordWrap/>
        <w:overflowPunct/>
        <w:topLinePunct w:val="0"/>
        <w:autoSpaceDE/>
        <w:autoSpaceDN/>
        <w:bidi w:val="0"/>
        <w:adjustRightInd/>
        <w:spacing w:line="580" w:lineRule="exact"/>
        <w:ind w:left="0" w:leftChars="0"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br w:type="page"/>
      </w:r>
    </w:p>
    <w:p w14:paraId="04DAD5C0">
      <w:pPr>
        <w:spacing w:line="560" w:lineRule="exact"/>
        <w:rPr>
          <w:rFonts w:hint="eastAsia" w:ascii="仿宋" w:hAnsi="仿宋" w:eastAsia="仿宋" w:cs="仿宋"/>
          <w:kern w:val="0"/>
          <w:sz w:val="24"/>
          <w:szCs w:val="24"/>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3</w:t>
      </w:r>
    </w:p>
    <w:p w14:paraId="1426F864">
      <w:pPr>
        <w:pStyle w:val="2"/>
        <w:jc w:val="center"/>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部门整体支出绩效评价基础数据表</w:t>
      </w:r>
    </w:p>
    <w:tbl>
      <w:tblPr>
        <w:tblStyle w:val="10"/>
        <w:tblpPr w:leftFromText="180" w:rightFromText="180" w:vertAnchor="text" w:tblpX="399" w:tblpY="3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950"/>
        <w:gridCol w:w="983"/>
        <w:gridCol w:w="1127"/>
        <w:gridCol w:w="972"/>
        <w:gridCol w:w="1017"/>
        <w:gridCol w:w="821"/>
      </w:tblGrid>
      <w:tr w14:paraId="0FF02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43473EA3">
            <w:pPr>
              <w:pStyle w:val="2"/>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单位名称</w:t>
            </w:r>
          </w:p>
        </w:tc>
        <w:tc>
          <w:tcPr>
            <w:tcW w:w="5870" w:type="dxa"/>
            <w:gridSpan w:val="6"/>
            <w:vAlign w:val="center"/>
          </w:tcPr>
          <w:p w14:paraId="1FC71EC8">
            <w:pPr>
              <w:pStyle w:val="2"/>
              <w:jc w:val="center"/>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隆回县财政局</w:t>
            </w:r>
          </w:p>
        </w:tc>
      </w:tr>
      <w:tr w14:paraId="33259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300" w:type="dxa"/>
            <w:vMerge w:val="restart"/>
            <w:vAlign w:val="center"/>
          </w:tcPr>
          <w:p w14:paraId="45CA479F">
            <w:pPr>
              <w:pStyle w:val="2"/>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财政供养人员情况</w:t>
            </w:r>
          </w:p>
        </w:tc>
        <w:tc>
          <w:tcPr>
            <w:tcW w:w="1933" w:type="dxa"/>
            <w:gridSpan w:val="2"/>
            <w:vAlign w:val="center"/>
          </w:tcPr>
          <w:p w14:paraId="2DFFDD86">
            <w:pPr>
              <w:pStyle w:val="2"/>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编制数</w:t>
            </w:r>
          </w:p>
        </w:tc>
        <w:tc>
          <w:tcPr>
            <w:tcW w:w="2099" w:type="dxa"/>
            <w:gridSpan w:val="2"/>
            <w:vAlign w:val="center"/>
          </w:tcPr>
          <w:p w14:paraId="6716883D">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2024年实际在职人数</w:t>
            </w:r>
          </w:p>
        </w:tc>
        <w:tc>
          <w:tcPr>
            <w:tcW w:w="1838" w:type="dxa"/>
            <w:gridSpan w:val="2"/>
            <w:vAlign w:val="center"/>
          </w:tcPr>
          <w:p w14:paraId="768AD0C6">
            <w:pPr>
              <w:pStyle w:val="2"/>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控制率</w:t>
            </w:r>
          </w:p>
        </w:tc>
      </w:tr>
      <w:tr w14:paraId="38CD1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 w:hRule="atLeast"/>
        </w:trPr>
        <w:tc>
          <w:tcPr>
            <w:tcW w:w="2300" w:type="dxa"/>
            <w:vMerge w:val="continue"/>
            <w:vAlign w:val="center"/>
          </w:tcPr>
          <w:p w14:paraId="5A1F225F">
            <w:pPr>
              <w:pStyle w:val="2"/>
              <w:jc w:val="center"/>
              <w:rPr>
                <w:rFonts w:hint="eastAsia" w:ascii="仿宋" w:hAnsi="仿宋" w:eastAsia="仿宋" w:cs="仿宋"/>
                <w:b w:val="0"/>
                <w:bCs w:val="0"/>
                <w:kern w:val="0"/>
                <w:sz w:val="18"/>
                <w:szCs w:val="18"/>
                <w:vertAlign w:val="baseline"/>
                <w:lang w:eastAsia="zh-CN"/>
              </w:rPr>
            </w:pPr>
          </w:p>
        </w:tc>
        <w:tc>
          <w:tcPr>
            <w:tcW w:w="1933" w:type="dxa"/>
            <w:gridSpan w:val="2"/>
            <w:vAlign w:val="center"/>
          </w:tcPr>
          <w:p w14:paraId="4AAE7457">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100</w:t>
            </w:r>
          </w:p>
        </w:tc>
        <w:tc>
          <w:tcPr>
            <w:tcW w:w="2099" w:type="dxa"/>
            <w:gridSpan w:val="2"/>
            <w:vAlign w:val="center"/>
          </w:tcPr>
          <w:p w14:paraId="55C03314">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92</w:t>
            </w:r>
          </w:p>
        </w:tc>
        <w:tc>
          <w:tcPr>
            <w:tcW w:w="1838" w:type="dxa"/>
            <w:gridSpan w:val="2"/>
            <w:vAlign w:val="center"/>
          </w:tcPr>
          <w:p w14:paraId="320E16F6">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92%</w:t>
            </w:r>
          </w:p>
        </w:tc>
      </w:tr>
      <w:tr w14:paraId="1DF35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0E5F179D">
            <w:pPr>
              <w:pStyle w:val="2"/>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经费控制情况（万元）</w:t>
            </w:r>
          </w:p>
        </w:tc>
        <w:tc>
          <w:tcPr>
            <w:tcW w:w="1933" w:type="dxa"/>
            <w:gridSpan w:val="2"/>
            <w:vAlign w:val="center"/>
          </w:tcPr>
          <w:p w14:paraId="47D36A8E">
            <w:pPr>
              <w:pStyle w:val="2"/>
              <w:ind w:left="0" w:leftChars="0" w:firstLine="0" w:firstLineChars="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2023年决算数</w:t>
            </w:r>
          </w:p>
        </w:tc>
        <w:tc>
          <w:tcPr>
            <w:tcW w:w="2099" w:type="dxa"/>
            <w:gridSpan w:val="2"/>
            <w:vAlign w:val="center"/>
          </w:tcPr>
          <w:p w14:paraId="0D2398EE">
            <w:pPr>
              <w:pStyle w:val="2"/>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2024年预算数</w:t>
            </w:r>
          </w:p>
        </w:tc>
        <w:tc>
          <w:tcPr>
            <w:tcW w:w="1838" w:type="dxa"/>
            <w:gridSpan w:val="2"/>
            <w:vAlign w:val="center"/>
          </w:tcPr>
          <w:p w14:paraId="371617D3">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2024年决算数</w:t>
            </w:r>
          </w:p>
        </w:tc>
      </w:tr>
      <w:tr w14:paraId="485C3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00" w:type="dxa"/>
            <w:vAlign w:val="center"/>
          </w:tcPr>
          <w:p w14:paraId="3C22813E">
            <w:pPr>
              <w:pStyle w:val="2"/>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三公经费：</w:t>
            </w:r>
          </w:p>
        </w:tc>
        <w:tc>
          <w:tcPr>
            <w:tcW w:w="1933" w:type="dxa"/>
            <w:gridSpan w:val="2"/>
            <w:vAlign w:val="center"/>
          </w:tcPr>
          <w:p w14:paraId="42C1CB4F">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1.09</w:t>
            </w:r>
          </w:p>
        </w:tc>
        <w:tc>
          <w:tcPr>
            <w:tcW w:w="2099" w:type="dxa"/>
            <w:gridSpan w:val="2"/>
            <w:vAlign w:val="center"/>
          </w:tcPr>
          <w:p w14:paraId="5D2A1B2C">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2.1</w:t>
            </w:r>
          </w:p>
        </w:tc>
        <w:tc>
          <w:tcPr>
            <w:tcW w:w="1838" w:type="dxa"/>
            <w:gridSpan w:val="2"/>
            <w:vAlign w:val="center"/>
          </w:tcPr>
          <w:p w14:paraId="2162B3D4">
            <w:pPr>
              <w:pStyle w:val="2"/>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0.87</w:t>
            </w:r>
          </w:p>
        </w:tc>
      </w:tr>
      <w:tr w14:paraId="380A0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300" w:type="dxa"/>
            <w:vAlign w:val="center"/>
          </w:tcPr>
          <w:p w14:paraId="66B67FF3">
            <w:pPr>
              <w:pStyle w:val="2"/>
              <w:numPr>
                <w:ilvl w:val="0"/>
                <w:numId w:val="1"/>
              </w:numPr>
              <w:ind w:left="0" w:leftChars="0" w:firstLine="0" w:firstLineChars="0"/>
              <w:jc w:val="left"/>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公务用车购置和维护</w:t>
            </w:r>
          </w:p>
          <w:p w14:paraId="4A5C5B63">
            <w:pPr>
              <w:pStyle w:val="2"/>
              <w:numPr>
                <w:ilvl w:val="0"/>
                <w:numId w:val="0"/>
              </w:numPr>
              <w:ind w:left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经费</w:t>
            </w:r>
          </w:p>
        </w:tc>
        <w:tc>
          <w:tcPr>
            <w:tcW w:w="1933" w:type="dxa"/>
            <w:gridSpan w:val="2"/>
            <w:vAlign w:val="center"/>
          </w:tcPr>
          <w:p w14:paraId="6DF24188">
            <w:pPr>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53ACC8C6">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36A2263F">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4463E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2300" w:type="dxa"/>
            <w:vAlign w:val="center"/>
          </w:tcPr>
          <w:p w14:paraId="00AF5162">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其中：公车购置</w:t>
            </w:r>
          </w:p>
        </w:tc>
        <w:tc>
          <w:tcPr>
            <w:tcW w:w="1933" w:type="dxa"/>
            <w:gridSpan w:val="2"/>
            <w:vAlign w:val="center"/>
          </w:tcPr>
          <w:p w14:paraId="67D501E4">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775FF680">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4B0BB633">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6C4C5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trPr>
        <w:tc>
          <w:tcPr>
            <w:tcW w:w="2300" w:type="dxa"/>
            <w:vAlign w:val="center"/>
          </w:tcPr>
          <w:p w14:paraId="16FBFDF3">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公车运行维护</w:t>
            </w:r>
          </w:p>
        </w:tc>
        <w:tc>
          <w:tcPr>
            <w:tcW w:w="1933" w:type="dxa"/>
            <w:gridSpan w:val="2"/>
            <w:vAlign w:val="center"/>
          </w:tcPr>
          <w:p w14:paraId="51DFF70A">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5D228CD7">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29289B1D">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71C9A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2300" w:type="dxa"/>
            <w:vAlign w:val="center"/>
          </w:tcPr>
          <w:p w14:paraId="4FF4A0D1">
            <w:pPr>
              <w:pStyle w:val="2"/>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2、出国经费</w:t>
            </w:r>
          </w:p>
        </w:tc>
        <w:tc>
          <w:tcPr>
            <w:tcW w:w="1933" w:type="dxa"/>
            <w:gridSpan w:val="2"/>
            <w:vAlign w:val="center"/>
          </w:tcPr>
          <w:p w14:paraId="086F81A7">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362024B4">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2153168D">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43BAB6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trPr>
        <w:tc>
          <w:tcPr>
            <w:tcW w:w="2300" w:type="dxa"/>
            <w:vAlign w:val="center"/>
          </w:tcPr>
          <w:p w14:paraId="17702283">
            <w:pPr>
              <w:pStyle w:val="2"/>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3、公务接待费</w:t>
            </w:r>
          </w:p>
        </w:tc>
        <w:tc>
          <w:tcPr>
            <w:tcW w:w="1933" w:type="dxa"/>
            <w:gridSpan w:val="2"/>
            <w:vAlign w:val="center"/>
          </w:tcPr>
          <w:p w14:paraId="5D20A4F3">
            <w:pPr>
              <w:pStyle w:val="2"/>
              <w:ind w:firstLine="360" w:firstLineChars="200"/>
              <w:jc w:val="center"/>
              <w:rPr>
                <w:rFonts w:hint="default"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rPr>
              <w:t>1.09</w:t>
            </w:r>
          </w:p>
        </w:tc>
        <w:tc>
          <w:tcPr>
            <w:tcW w:w="2099" w:type="dxa"/>
            <w:gridSpan w:val="2"/>
            <w:vAlign w:val="center"/>
          </w:tcPr>
          <w:p w14:paraId="75600268">
            <w:pPr>
              <w:pStyle w:val="2"/>
              <w:ind w:firstLine="360" w:firstLineChars="200"/>
              <w:jc w:val="center"/>
              <w:rPr>
                <w:rFonts w:hint="default"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rPr>
              <w:t>2.1</w:t>
            </w:r>
          </w:p>
        </w:tc>
        <w:tc>
          <w:tcPr>
            <w:tcW w:w="1838" w:type="dxa"/>
            <w:gridSpan w:val="2"/>
            <w:vAlign w:val="center"/>
          </w:tcPr>
          <w:p w14:paraId="22E8A877">
            <w:pPr>
              <w:pStyle w:val="2"/>
              <w:ind w:firstLine="360" w:firstLineChars="200"/>
              <w:jc w:val="center"/>
              <w:rPr>
                <w:rFonts w:hint="default" w:ascii="仿宋" w:hAnsi="仿宋" w:eastAsia="仿宋" w:cs="仿宋"/>
                <w:b w:val="0"/>
                <w:bCs w:val="0"/>
                <w:kern w:val="0"/>
                <w:sz w:val="18"/>
                <w:szCs w:val="18"/>
                <w:vertAlign w:val="baseline"/>
                <w:lang w:val="en-US" w:eastAsia="zh-CN" w:bidi="ar-SA"/>
              </w:rPr>
            </w:pPr>
            <w:r>
              <w:rPr>
                <w:rFonts w:hint="eastAsia" w:ascii="仿宋" w:hAnsi="仿宋" w:eastAsia="仿宋" w:cs="仿宋"/>
                <w:b w:val="0"/>
                <w:bCs w:val="0"/>
                <w:kern w:val="0"/>
                <w:sz w:val="18"/>
                <w:szCs w:val="18"/>
                <w:vertAlign w:val="baseline"/>
                <w:lang w:val="en-US" w:eastAsia="zh-CN" w:bidi="ar-SA"/>
              </w:rPr>
              <w:t>0.87</w:t>
            </w:r>
          </w:p>
        </w:tc>
      </w:tr>
      <w:tr w14:paraId="1C23F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0" w:type="dxa"/>
            <w:vAlign w:val="center"/>
          </w:tcPr>
          <w:p w14:paraId="3FE17B2D">
            <w:pPr>
              <w:pStyle w:val="2"/>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县级专项资金：</w:t>
            </w:r>
          </w:p>
        </w:tc>
        <w:tc>
          <w:tcPr>
            <w:tcW w:w="1933" w:type="dxa"/>
            <w:gridSpan w:val="2"/>
            <w:vAlign w:val="center"/>
          </w:tcPr>
          <w:p w14:paraId="4F021993">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7F6CC1DD">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6282B1B4">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17B5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3E9B0BED">
            <w:pPr>
              <w:pStyle w:val="2"/>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1、业务工作经费</w:t>
            </w:r>
          </w:p>
        </w:tc>
        <w:tc>
          <w:tcPr>
            <w:tcW w:w="1933" w:type="dxa"/>
            <w:gridSpan w:val="2"/>
            <w:vAlign w:val="center"/>
          </w:tcPr>
          <w:p w14:paraId="050AF11B">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3F6E7171">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7B736266">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0A279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3B08C5BA">
            <w:pPr>
              <w:pStyle w:val="2"/>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2、运行维护经费</w:t>
            </w:r>
          </w:p>
        </w:tc>
        <w:tc>
          <w:tcPr>
            <w:tcW w:w="1933" w:type="dxa"/>
            <w:gridSpan w:val="2"/>
            <w:vAlign w:val="center"/>
          </w:tcPr>
          <w:p w14:paraId="6B006A62">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117CF7D4">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2866375F">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69BA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00" w:type="dxa"/>
            <w:vAlign w:val="center"/>
          </w:tcPr>
          <w:p w14:paraId="0467BF2E">
            <w:pPr>
              <w:pStyle w:val="2"/>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w:t>
            </w:r>
          </w:p>
        </w:tc>
        <w:tc>
          <w:tcPr>
            <w:tcW w:w="1933" w:type="dxa"/>
            <w:gridSpan w:val="2"/>
            <w:vAlign w:val="center"/>
          </w:tcPr>
          <w:p w14:paraId="760BACB7">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6F19CF5B">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69992B4E">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15B91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2300" w:type="dxa"/>
            <w:vAlign w:val="center"/>
          </w:tcPr>
          <w:p w14:paraId="23A0E97D">
            <w:pPr>
              <w:pStyle w:val="2"/>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3、县级专项资金（每个专项一行）</w:t>
            </w:r>
          </w:p>
        </w:tc>
        <w:tc>
          <w:tcPr>
            <w:tcW w:w="1933" w:type="dxa"/>
            <w:gridSpan w:val="2"/>
            <w:vAlign w:val="center"/>
          </w:tcPr>
          <w:p w14:paraId="2F744DE3">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2F66EDC0">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4D8E2073">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18DD4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 w:hRule="atLeast"/>
        </w:trPr>
        <w:tc>
          <w:tcPr>
            <w:tcW w:w="2300" w:type="dxa"/>
            <w:vAlign w:val="center"/>
          </w:tcPr>
          <w:p w14:paraId="733125BF">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w:t>
            </w:r>
          </w:p>
        </w:tc>
        <w:tc>
          <w:tcPr>
            <w:tcW w:w="1933" w:type="dxa"/>
            <w:gridSpan w:val="2"/>
            <w:vAlign w:val="center"/>
          </w:tcPr>
          <w:p w14:paraId="41EC8CF7">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169AB6C4">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3FE6700F">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5D974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300" w:type="dxa"/>
            <w:vAlign w:val="center"/>
          </w:tcPr>
          <w:p w14:paraId="2F39411B">
            <w:pPr>
              <w:pStyle w:val="2"/>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公用经费</w:t>
            </w:r>
          </w:p>
        </w:tc>
        <w:tc>
          <w:tcPr>
            <w:tcW w:w="1933" w:type="dxa"/>
            <w:gridSpan w:val="2"/>
            <w:vAlign w:val="center"/>
          </w:tcPr>
          <w:p w14:paraId="7E8029B1">
            <w:pPr>
              <w:pStyle w:val="2"/>
              <w:ind w:firstLine="720" w:firstLineChars="400"/>
              <w:jc w:val="both"/>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687</w:t>
            </w:r>
          </w:p>
        </w:tc>
        <w:tc>
          <w:tcPr>
            <w:tcW w:w="2099" w:type="dxa"/>
            <w:gridSpan w:val="2"/>
            <w:vAlign w:val="center"/>
          </w:tcPr>
          <w:p w14:paraId="2B9CB471">
            <w:pPr>
              <w:pStyle w:val="2"/>
              <w:jc w:val="center"/>
              <w:rPr>
                <w:rFonts w:hint="default" w:ascii="仿宋" w:hAnsi="仿宋" w:eastAsia="仿宋" w:cs="仿宋"/>
                <w:b w:val="0"/>
                <w:bCs w:val="0"/>
                <w:kern w:val="0"/>
                <w:sz w:val="18"/>
                <w:szCs w:val="18"/>
                <w:highlight w:val="none"/>
                <w:vertAlign w:val="baseline"/>
                <w:lang w:val="en-US" w:eastAsia="zh-CN"/>
              </w:rPr>
            </w:pPr>
            <w:r>
              <w:rPr>
                <w:rFonts w:hint="default" w:ascii="仿宋" w:hAnsi="仿宋" w:eastAsia="仿宋" w:cs="仿宋"/>
                <w:b w:val="0"/>
                <w:bCs w:val="0"/>
                <w:kern w:val="0"/>
                <w:sz w:val="18"/>
                <w:szCs w:val="18"/>
                <w:highlight w:val="none"/>
                <w:vertAlign w:val="baseline"/>
                <w:lang w:eastAsia="zh-CN"/>
              </w:rPr>
              <w:t>1</w:t>
            </w:r>
            <w:r>
              <w:rPr>
                <w:rFonts w:hint="eastAsia" w:ascii="仿宋" w:hAnsi="仿宋" w:eastAsia="仿宋" w:cs="仿宋"/>
                <w:b w:val="0"/>
                <w:bCs w:val="0"/>
                <w:kern w:val="0"/>
                <w:sz w:val="18"/>
                <w:szCs w:val="18"/>
                <w:highlight w:val="none"/>
                <w:vertAlign w:val="baseline"/>
                <w:lang w:val="en-US" w:eastAsia="zh-CN"/>
              </w:rPr>
              <w:t>47.55</w:t>
            </w:r>
          </w:p>
        </w:tc>
        <w:tc>
          <w:tcPr>
            <w:tcW w:w="1838" w:type="dxa"/>
            <w:gridSpan w:val="2"/>
            <w:vAlign w:val="center"/>
          </w:tcPr>
          <w:p w14:paraId="77FA365D">
            <w:pPr>
              <w:pStyle w:val="2"/>
              <w:ind w:firstLine="720" w:firstLineChars="400"/>
              <w:jc w:val="both"/>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1395.49</w:t>
            </w:r>
          </w:p>
        </w:tc>
      </w:tr>
      <w:tr w14:paraId="164D5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300" w:type="dxa"/>
            <w:vAlign w:val="center"/>
          </w:tcPr>
          <w:p w14:paraId="3BEFA308">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其中：办公经费</w:t>
            </w:r>
          </w:p>
        </w:tc>
        <w:tc>
          <w:tcPr>
            <w:tcW w:w="1933" w:type="dxa"/>
            <w:gridSpan w:val="2"/>
            <w:vAlign w:val="center"/>
          </w:tcPr>
          <w:p w14:paraId="618A1333">
            <w:pPr>
              <w:pStyle w:val="2"/>
              <w:ind w:firstLine="540" w:firstLineChars="300"/>
              <w:jc w:val="both"/>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103.45</w:t>
            </w:r>
          </w:p>
        </w:tc>
        <w:tc>
          <w:tcPr>
            <w:tcW w:w="2099" w:type="dxa"/>
            <w:gridSpan w:val="2"/>
            <w:vAlign w:val="center"/>
          </w:tcPr>
          <w:p w14:paraId="3C762CDA">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22.55</w:t>
            </w:r>
          </w:p>
        </w:tc>
        <w:tc>
          <w:tcPr>
            <w:tcW w:w="1838" w:type="dxa"/>
            <w:gridSpan w:val="2"/>
            <w:vAlign w:val="center"/>
          </w:tcPr>
          <w:p w14:paraId="08C4BB72">
            <w:pPr>
              <w:pStyle w:val="2"/>
              <w:ind w:firstLine="540" w:firstLineChars="300"/>
              <w:jc w:val="both"/>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61.4</w:t>
            </w:r>
          </w:p>
        </w:tc>
      </w:tr>
      <w:tr w14:paraId="30FB20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300" w:type="dxa"/>
            <w:vAlign w:val="center"/>
          </w:tcPr>
          <w:p w14:paraId="1237E6AE">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水费、电费、差旅费</w:t>
            </w:r>
          </w:p>
        </w:tc>
        <w:tc>
          <w:tcPr>
            <w:tcW w:w="1933" w:type="dxa"/>
            <w:gridSpan w:val="2"/>
            <w:vAlign w:val="center"/>
          </w:tcPr>
          <w:p w14:paraId="0E052778">
            <w:pPr>
              <w:pStyle w:val="2"/>
              <w:ind w:firstLine="540" w:firstLineChars="300"/>
              <w:jc w:val="both"/>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65.5</w:t>
            </w:r>
          </w:p>
        </w:tc>
        <w:tc>
          <w:tcPr>
            <w:tcW w:w="2099" w:type="dxa"/>
            <w:gridSpan w:val="2"/>
            <w:vAlign w:val="center"/>
          </w:tcPr>
          <w:p w14:paraId="791A9371">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27</w:t>
            </w:r>
          </w:p>
        </w:tc>
        <w:tc>
          <w:tcPr>
            <w:tcW w:w="1838" w:type="dxa"/>
            <w:gridSpan w:val="2"/>
            <w:vAlign w:val="center"/>
          </w:tcPr>
          <w:p w14:paraId="2E7F1EA2">
            <w:pPr>
              <w:pStyle w:val="2"/>
              <w:ind w:firstLine="540" w:firstLineChars="300"/>
              <w:jc w:val="both"/>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85.7</w:t>
            </w:r>
          </w:p>
        </w:tc>
      </w:tr>
      <w:tr w14:paraId="07CBA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2300" w:type="dxa"/>
            <w:vAlign w:val="center"/>
          </w:tcPr>
          <w:p w14:paraId="428FA1AD">
            <w:pPr>
              <w:pStyle w:val="2"/>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会议费、培训费</w:t>
            </w:r>
          </w:p>
        </w:tc>
        <w:tc>
          <w:tcPr>
            <w:tcW w:w="1933" w:type="dxa"/>
            <w:gridSpan w:val="2"/>
            <w:vAlign w:val="center"/>
          </w:tcPr>
          <w:p w14:paraId="4A63578B">
            <w:pPr>
              <w:pStyle w:val="2"/>
              <w:ind w:firstLine="540" w:firstLineChars="300"/>
              <w:jc w:val="both"/>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22.6</w:t>
            </w:r>
          </w:p>
        </w:tc>
        <w:tc>
          <w:tcPr>
            <w:tcW w:w="2099" w:type="dxa"/>
            <w:gridSpan w:val="2"/>
            <w:vAlign w:val="center"/>
          </w:tcPr>
          <w:p w14:paraId="09D27510">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21.78</w:t>
            </w:r>
          </w:p>
        </w:tc>
        <w:tc>
          <w:tcPr>
            <w:tcW w:w="1838" w:type="dxa"/>
            <w:gridSpan w:val="2"/>
            <w:vAlign w:val="center"/>
          </w:tcPr>
          <w:p w14:paraId="3B6ED272">
            <w:pPr>
              <w:pStyle w:val="2"/>
              <w:ind w:firstLine="540" w:firstLineChars="300"/>
              <w:jc w:val="both"/>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18</w:t>
            </w:r>
          </w:p>
        </w:tc>
      </w:tr>
      <w:tr w14:paraId="4F02D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300" w:type="dxa"/>
            <w:vAlign w:val="center"/>
          </w:tcPr>
          <w:p w14:paraId="46F9F9A5">
            <w:pPr>
              <w:pStyle w:val="2"/>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政府采购金额</w:t>
            </w:r>
          </w:p>
        </w:tc>
        <w:tc>
          <w:tcPr>
            <w:tcW w:w="1933" w:type="dxa"/>
            <w:gridSpan w:val="2"/>
            <w:vAlign w:val="center"/>
          </w:tcPr>
          <w:p w14:paraId="3DB39993">
            <w:pPr>
              <w:pStyle w:val="2"/>
              <w:ind w:firstLine="540" w:firstLineChars="300"/>
              <w:jc w:val="both"/>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157</w:t>
            </w:r>
          </w:p>
        </w:tc>
        <w:tc>
          <w:tcPr>
            <w:tcW w:w="2099" w:type="dxa"/>
            <w:gridSpan w:val="2"/>
            <w:vAlign w:val="center"/>
          </w:tcPr>
          <w:p w14:paraId="489FC006">
            <w:pPr>
              <w:pStyle w:val="2"/>
              <w:jc w:val="center"/>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21.2</w:t>
            </w:r>
          </w:p>
        </w:tc>
        <w:tc>
          <w:tcPr>
            <w:tcW w:w="1838" w:type="dxa"/>
            <w:gridSpan w:val="2"/>
            <w:vAlign w:val="center"/>
          </w:tcPr>
          <w:p w14:paraId="143A9DCE">
            <w:pPr>
              <w:pStyle w:val="2"/>
              <w:ind w:firstLine="540" w:firstLineChars="300"/>
              <w:jc w:val="both"/>
              <w:rPr>
                <w:rFonts w:hint="default" w:ascii="仿宋" w:hAnsi="仿宋" w:eastAsia="仿宋" w:cs="仿宋"/>
                <w:b w:val="0"/>
                <w:bCs w:val="0"/>
                <w:kern w:val="0"/>
                <w:sz w:val="18"/>
                <w:szCs w:val="18"/>
                <w:highlight w:val="none"/>
                <w:vertAlign w:val="baseline"/>
                <w:lang w:val="en-US" w:eastAsia="zh-CN"/>
              </w:rPr>
            </w:pPr>
            <w:r>
              <w:rPr>
                <w:rFonts w:hint="eastAsia" w:ascii="仿宋" w:hAnsi="仿宋" w:eastAsia="仿宋" w:cs="仿宋"/>
                <w:b w:val="0"/>
                <w:bCs w:val="0"/>
                <w:kern w:val="0"/>
                <w:sz w:val="18"/>
                <w:szCs w:val="18"/>
                <w:highlight w:val="none"/>
                <w:vertAlign w:val="baseline"/>
                <w:lang w:val="en-US" w:eastAsia="zh-CN"/>
              </w:rPr>
              <w:t>640</w:t>
            </w:r>
          </w:p>
        </w:tc>
      </w:tr>
      <w:tr w14:paraId="5ABF11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300" w:type="dxa"/>
            <w:vAlign w:val="center"/>
          </w:tcPr>
          <w:p w14:paraId="2A8E914D">
            <w:pPr>
              <w:pStyle w:val="2"/>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部门基本支出预算调整</w:t>
            </w:r>
          </w:p>
        </w:tc>
        <w:tc>
          <w:tcPr>
            <w:tcW w:w="1933" w:type="dxa"/>
            <w:gridSpan w:val="2"/>
            <w:vAlign w:val="center"/>
          </w:tcPr>
          <w:p w14:paraId="6CBDCCA2">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11EF26F6">
            <w:pPr>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838" w:type="dxa"/>
            <w:gridSpan w:val="2"/>
            <w:vAlign w:val="center"/>
          </w:tcPr>
          <w:p w14:paraId="31660CD2">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3B30B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300" w:type="dxa"/>
            <w:vMerge w:val="restart"/>
            <w:vAlign w:val="center"/>
          </w:tcPr>
          <w:p w14:paraId="53460088">
            <w:pPr>
              <w:pStyle w:val="2"/>
              <w:ind w:left="180" w:leftChars="0" w:hanging="180" w:hangingChars="10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楼堂馆所控制情况</w:t>
            </w:r>
            <w:r>
              <w:rPr>
                <w:rFonts w:hint="eastAsia" w:ascii="仿宋" w:hAnsi="仿宋" w:eastAsia="仿宋" w:cs="仿宋"/>
                <w:b w:val="0"/>
                <w:bCs w:val="0"/>
                <w:kern w:val="0"/>
                <w:sz w:val="18"/>
                <w:szCs w:val="18"/>
                <w:vertAlign w:val="baseline"/>
                <w:lang w:val="en-US" w:eastAsia="zh-CN"/>
              </w:rPr>
              <w:t xml:space="preserve"> </w:t>
            </w:r>
            <w:r>
              <w:rPr>
                <w:rFonts w:hint="eastAsia" w:ascii="仿宋" w:hAnsi="仿宋" w:eastAsia="仿宋" w:cs="仿宋"/>
                <w:b w:val="0"/>
                <w:bCs w:val="0"/>
                <w:kern w:val="0"/>
                <w:sz w:val="18"/>
                <w:szCs w:val="18"/>
                <w:vertAlign w:val="baseline"/>
                <w:lang w:eastAsia="zh-CN"/>
              </w:rPr>
              <w:t>（</w:t>
            </w:r>
            <w:r>
              <w:rPr>
                <w:rFonts w:hint="eastAsia" w:ascii="仿宋" w:hAnsi="仿宋" w:eastAsia="仿宋" w:cs="仿宋"/>
                <w:b w:val="0"/>
                <w:bCs w:val="0"/>
                <w:kern w:val="0"/>
                <w:sz w:val="18"/>
                <w:szCs w:val="18"/>
                <w:vertAlign w:val="baseline"/>
                <w:lang w:val="en-US" w:eastAsia="zh-CN"/>
              </w:rPr>
              <w:t>2023年完工项目</w:t>
            </w:r>
            <w:r>
              <w:rPr>
                <w:rFonts w:hint="eastAsia" w:ascii="仿宋" w:hAnsi="仿宋" w:eastAsia="仿宋" w:cs="仿宋"/>
                <w:b w:val="0"/>
                <w:bCs w:val="0"/>
                <w:kern w:val="0"/>
                <w:sz w:val="18"/>
                <w:szCs w:val="18"/>
                <w:vertAlign w:val="baseline"/>
                <w:lang w:eastAsia="zh-CN"/>
              </w:rPr>
              <w:t>）</w:t>
            </w:r>
          </w:p>
          <w:p w14:paraId="38978522">
            <w:pPr>
              <w:ind w:left="180" w:leftChars="0" w:hanging="180" w:hangingChars="10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950" w:type="dxa"/>
            <w:vAlign w:val="center"/>
          </w:tcPr>
          <w:p w14:paraId="06F836EA">
            <w:pPr>
              <w:pStyle w:val="2"/>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批复规模（㎡）</w:t>
            </w:r>
          </w:p>
        </w:tc>
        <w:tc>
          <w:tcPr>
            <w:tcW w:w="983" w:type="dxa"/>
            <w:vAlign w:val="center"/>
          </w:tcPr>
          <w:p w14:paraId="15E95C2B">
            <w:pPr>
              <w:pStyle w:val="2"/>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实际规模（㎡）</w:t>
            </w:r>
          </w:p>
        </w:tc>
        <w:tc>
          <w:tcPr>
            <w:tcW w:w="1127" w:type="dxa"/>
            <w:vAlign w:val="center"/>
          </w:tcPr>
          <w:p w14:paraId="3FB37FA9">
            <w:pPr>
              <w:pStyle w:val="2"/>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规模控制率</w:t>
            </w:r>
          </w:p>
        </w:tc>
        <w:tc>
          <w:tcPr>
            <w:tcW w:w="972" w:type="dxa"/>
            <w:vAlign w:val="center"/>
          </w:tcPr>
          <w:p w14:paraId="5E477BA3">
            <w:pPr>
              <w:pStyle w:val="2"/>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预算投资（万元）</w:t>
            </w:r>
          </w:p>
        </w:tc>
        <w:tc>
          <w:tcPr>
            <w:tcW w:w="1017" w:type="dxa"/>
            <w:vAlign w:val="center"/>
          </w:tcPr>
          <w:p w14:paraId="5FEF2ACE">
            <w:pPr>
              <w:pStyle w:val="2"/>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实际投资（万元）</w:t>
            </w:r>
          </w:p>
        </w:tc>
        <w:tc>
          <w:tcPr>
            <w:tcW w:w="821" w:type="dxa"/>
            <w:vAlign w:val="center"/>
          </w:tcPr>
          <w:p w14:paraId="3FE31159">
            <w:pPr>
              <w:bidi w:val="0"/>
              <w:jc w:val="center"/>
              <w:rPr>
                <w:rFonts w:hint="eastAsia"/>
                <w:b w:val="0"/>
                <w:bCs w:val="0"/>
                <w:sz w:val="18"/>
                <w:szCs w:val="18"/>
                <w:lang w:eastAsia="zh-CN"/>
              </w:rPr>
            </w:pPr>
            <w:r>
              <w:rPr>
                <w:rFonts w:hint="eastAsia" w:ascii="仿宋" w:hAnsi="仿宋" w:eastAsia="仿宋" w:cs="仿宋"/>
                <w:b w:val="0"/>
                <w:bCs w:val="0"/>
                <w:kern w:val="0"/>
                <w:sz w:val="18"/>
                <w:szCs w:val="18"/>
                <w:vertAlign w:val="baseline"/>
                <w:lang w:val="en-US" w:eastAsia="zh-CN" w:bidi="ar-SA"/>
              </w:rPr>
              <w:t>投资概算控制率</w:t>
            </w:r>
          </w:p>
        </w:tc>
      </w:tr>
      <w:tr w14:paraId="6F914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2399B884">
            <w:pPr>
              <w:pStyle w:val="2"/>
              <w:jc w:val="center"/>
              <w:rPr>
                <w:rFonts w:hint="eastAsia" w:ascii="仿宋" w:hAnsi="仿宋" w:eastAsia="仿宋" w:cs="仿宋"/>
                <w:b w:val="0"/>
                <w:bCs w:val="0"/>
                <w:kern w:val="0"/>
                <w:sz w:val="18"/>
                <w:szCs w:val="18"/>
                <w:vertAlign w:val="baseline"/>
                <w:lang w:eastAsia="zh-CN"/>
              </w:rPr>
            </w:pPr>
          </w:p>
        </w:tc>
        <w:tc>
          <w:tcPr>
            <w:tcW w:w="950" w:type="dxa"/>
            <w:vAlign w:val="center"/>
          </w:tcPr>
          <w:p w14:paraId="72B0A24F">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983" w:type="dxa"/>
            <w:vAlign w:val="center"/>
          </w:tcPr>
          <w:p w14:paraId="2336ADCB">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127" w:type="dxa"/>
            <w:vAlign w:val="center"/>
          </w:tcPr>
          <w:p w14:paraId="7C5DCC5C">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972" w:type="dxa"/>
            <w:vAlign w:val="center"/>
          </w:tcPr>
          <w:p w14:paraId="4756D63B">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1017" w:type="dxa"/>
            <w:vAlign w:val="center"/>
          </w:tcPr>
          <w:p w14:paraId="2C7E957A">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c>
          <w:tcPr>
            <w:tcW w:w="821" w:type="dxa"/>
            <w:vAlign w:val="center"/>
          </w:tcPr>
          <w:p w14:paraId="20184B83">
            <w:pPr>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0</w:t>
            </w:r>
          </w:p>
        </w:tc>
      </w:tr>
      <w:tr w14:paraId="34DBA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00" w:type="dxa"/>
            <w:vAlign w:val="center"/>
          </w:tcPr>
          <w:p w14:paraId="7E0D0FF2">
            <w:pPr>
              <w:pStyle w:val="2"/>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例行节约保障措施</w:t>
            </w:r>
          </w:p>
        </w:tc>
        <w:tc>
          <w:tcPr>
            <w:tcW w:w="5870" w:type="dxa"/>
            <w:gridSpan w:val="6"/>
            <w:vAlign w:val="center"/>
          </w:tcPr>
          <w:p w14:paraId="11FBD476">
            <w:pPr>
              <w:pStyle w:val="2"/>
              <w:ind w:left="0" w:leftChars="0" w:firstLine="0" w:firstLineChars="0"/>
              <w:jc w:val="both"/>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树牢过“紧日子”思想，把握好必要性紧迫性，把财力真正用到重点领域。坚持可花可不花的一律不花，可以少花的尽量少花，必须要办的活动务必厉行节约，坚决杜绝耗费公帑的形式主义官僚主义现象，将有限的资金用在刀刃上，加强财政资源统筹力度，有效保障市委市政府决策部署的重点需求。</w:t>
            </w:r>
          </w:p>
        </w:tc>
      </w:tr>
    </w:tbl>
    <w:p w14:paraId="6E936DD0">
      <w:pPr>
        <w:pStyle w:val="2"/>
        <w:ind w:left="0" w:leftChars="0" w:firstLine="0" w:firstLineChars="0"/>
        <w:jc w:val="both"/>
        <w:rPr>
          <w:rFonts w:hint="eastAsia" w:ascii="仿宋" w:hAnsi="仿宋" w:eastAsia="仿宋" w:cs="仿宋"/>
          <w:b w:val="0"/>
          <w:bCs w:val="0"/>
          <w:kern w:val="0"/>
          <w:sz w:val="30"/>
          <w:szCs w:val="30"/>
          <w:lang w:eastAsia="zh-CN"/>
        </w:rPr>
      </w:pPr>
    </w:p>
    <w:p w14:paraId="66EFE3A5">
      <w:pPr>
        <w:pStyle w:val="2"/>
        <w:ind w:left="0" w:leftChars="0" w:firstLine="440" w:firstLineChars="200"/>
        <w:jc w:val="both"/>
        <w:rPr>
          <w:rFonts w:hint="eastAsia" w:ascii="仿宋" w:hAnsi="仿宋" w:eastAsia="仿宋" w:cs="仿宋"/>
          <w:b w:val="0"/>
          <w:bCs w:val="0"/>
          <w:kern w:val="0"/>
          <w:sz w:val="22"/>
          <w:szCs w:val="22"/>
          <w:lang w:eastAsia="zh-CN"/>
        </w:rPr>
      </w:pPr>
      <w:r>
        <w:rPr>
          <w:rFonts w:hint="eastAsia" w:ascii="仿宋" w:hAnsi="仿宋" w:eastAsia="仿宋" w:cs="仿宋"/>
          <w:b w:val="0"/>
          <w:bCs w:val="0"/>
          <w:kern w:val="0"/>
          <w:sz w:val="22"/>
          <w:szCs w:val="22"/>
          <w:lang w:eastAsia="zh-CN"/>
        </w:rPr>
        <w:t>说明：“县级专项资金”需要填报基本支出以外的所有县级专项资金情况，“公用经费”填报基本支出中的一般商品和服务支出。</w:t>
      </w:r>
    </w:p>
    <w:p w14:paraId="0EC1CC39">
      <w:pPr>
        <w:spacing w:line="640" w:lineRule="exact"/>
        <w:ind w:left="0" w:leftChars="0" w:firstLine="0" w:firstLineChars="0"/>
        <w:jc w:val="left"/>
        <w:rPr>
          <w:rFonts w:hint="eastAsia" w:ascii="黑体" w:hAnsi="黑体" w:eastAsia="黑体" w:cs="黑体"/>
          <w:sz w:val="32"/>
          <w:szCs w:val="32"/>
        </w:rPr>
      </w:pPr>
    </w:p>
    <w:p w14:paraId="798F8C74">
      <w:pPr>
        <w:spacing w:line="640" w:lineRule="exact"/>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05FB2D68">
      <w:pPr>
        <w:spacing w:line="640" w:lineRule="exact"/>
        <w:ind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Style w:val="9"/>
        <w:tblW w:w="8979" w:type="dxa"/>
        <w:jc w:val="center"/>
        <w:tblLayout w:type="fixed"/>
        <w:tblCellMar>
          <w:top w:w="0" w:type="dxa"/>
          <w:left w:w="108" w:type="dxa"/>
          <w:bottom w:w="0" w:type="dxa"/>
          <w:right w:w="108" w:type="dxa"/>
        </w:tblCellMar>
      </w:tblPr>
      <w:tblGrid>
        <w:gridCol w:w="969"/>
        <w:gridCol w:w="969"/>
        <w:gridCol w:w="712"/>
        <w:gridCol w:w="1273"/>
        <w:gridCol w:w="84"/>
        <w:gridCol w:w="1077"/>
        <w:gridCol w:w="1146"/>
        <w:gridCol w:w="636"/>
        <w:gridCol w:w="890"/>
        <w:gridCol w:w="1223"/>
      </w:tblGrid>
      <w:tr w14:paraId="726660D5">
        <w:tblPrEx>
          <w:tblCellMar>
            <w:top w:w="0" w:type="dxa"/>
            <w:left w:w="108" w:type="dxa"/>
            <w:bottom w:w="0" w:type="dxa"/>
            <w:right w:w="108" w:type="dxa"/>
          </w:tblCellMar>
        </w:tblPrEx>
        <w:trPr>
          <w:trHeight w:val="498"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14:paraId="202DB50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预算单位名称</w:t>
            </w:r>
          </w:p>
        </w:tc>
        <w:tc>
          <w:tcPr>
            <w:tcW w:w="8010" w:type="dxa"/>
            <w:gridSpan w:val="9"/>
            <w:tcBorders>
              <w:top w:val="single" w:color="auto" w:sz="4" w:space="0"/>
              <w:left w:val="nil"/>
              <w:bottom w:val="single" w:color="auto" w:sz="4" w:space="0"/>
              <w:right w:val="single" w:color="auto" w:sz="4" w:space="0"/>
            </w:tcBorders>
            <w:noWrap w:val="0"/>
            <w:vAlign w:val="center"/>
          </w:tcPr>
          <w:p w14:paraId="3BA07ED1">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lang w:eastAsia="zh-CN"/>
              </w:rPr>
              <w:t>隆回县财政局</w:t>
            </w:r>
            <w:r>
              <w:rPr>
                <w:rFonts w:eastAsia="仿宋_GB2312"/>
                <w:color w:val="000000"/>
                <w:kern w:val="0"/>
                <w:sz w:val="18"/>
                <w:szCs w:val="18"/>
              </w:rPr>
              <w:t>　</w:t>
            </w:r>
          </w:p>
        </w:tc>
      </w:tr>
      <w:tr w14:paraId="368CA658">
        <w:tblPrEx>
          <w:tblCellMar>
            <w:top w:w="0" w:type="dxa"/>
            <w:left w:w="108" w:type="dxa"/>
            <w:bottom w:w="0" w:type="dxa"/>
            <w:right w:w="108" w:type="dxa"/>
          </w:tblCellMar>
        </w:tblPrEx>
        <w:trPr>
          <w:trHeight w:val="254" w:hRule="atLeast"/>
          <w:jc w:val="center"/>
        </w:trPr>
        <w:tc>
          <w:tcPr>
            <w:tcW w:w="969" w:type="dxa"/>
            <w:vMerge w:val="restart"/>
            <w:tcBorders>
              <w:top w:val="nil"/>
              <w:left w:val="single" w:color="auto" w:sz="4" w:space="0"/>
              <w:right w:val="single" w:color="auto" w:sz="4" w:space="0"/>
            </w:tcBorders>
            <w:noWrap w:val="0"/>
            <w:vAlign w:val="center"/>
          </w:tcPr>
          <w:p w14:paraId="0665CF17">
            <w:pPr>
              <w:spacing w:line="240" w:lineRule="exact"/>
              <w:ind w:firstLine="0" w:firstLineChars="0"/>
              <w:rPr>
                <w:rFonts w:eastAsia="仿宋_GB2312"/>
                <w:color w:val="000000"/>
                <w:kern w:val="0"/>
                <w:sz w:val="18"/>
                <w:szCs w:val="18"/>
              </w:rPr>
            </w:pPr>
          </w:p>
          <w:p w14:paraId="2ADFFDA3">
            <w:pPr>
              <w:pStyle w:val="5"/>
            </w:pPr>
          </w:p>
        </w:tc>
        <w:tc>
          <w:tcPr>
            <w:tcW w:w="1681" w:type="dxa"/>
            <w:gridSpan w:val="2"/>
            <w:tcBorders>
              <w:top w:val="nil"/>
              <w:left w:val="nil"/>
              <w:bottom w:val="single" w:color="auto" w:sz="4" w:space="0"/>
              <w:right w:val="single" w:color="auto" w:sz="4" w:space="0"/>
            </w:tcBorders>
            <w:noWrap w:val="0"/>
            <w:vAlign w:val="center"/>
          </w:tcPr>
          <w:p w14:paraId="4ACAAA3E">
            <w:pPr>
              <w:spacing w:line="240" w:lineRule="exact"/>
              <w:ind w:firstLine="360"/>
              <w:jc w:val="center"/>
              <w:rPr>
                <w:rFonts w:eastAsia="仿宋_GB2312"/>
                <w:sz w:val="18"/>
                <w:szCs w:val="18"/>
              </w:rPr>
            </w:pPr>
          </w:p>
        </w:tc>
        <w:tc>
          <w:tcPr>
            <w:tcW w:w="1273" w:type="dxa"/>
            <w:tcBorders>
              <w:top w:val="nil"/>
              <w:left w:val="nil"/>
              <w:bottom w:val="single" w:color="auto" w:sz="4" w:space="0"/>
              <w:right w:val="single" w:color="auto" w:sz="4" w:space="0"/>
            </w:tcBorders>
            <w:noWrap w:val="0"/>
            <w:vAlign w:val="center"/>
          </w:tcPr>
          <w:p w14:paraId="0A0B9E47">
            <w:pPr>
              <w:spacing w:line="240" w:lineRule="exact"/>
              <w:ind w:firstLine="0" w:firstLineChars="0"/>
              <w:rPr>
                <w:rFonts w:eastAsia="仿宋_GB2312"/>
                <w:sz w:val="18"/>
                <w:szCs w:val="18"/>
              </w:rPr>
            </w:pPr>
            <w:r>
              <w:rPr>
                <w:rFonts w:eastAsia="仿宋_GB2312"/>
                <w:sz w:val="18"/>
                <w:szCs w:val="18"/>
              </w:rPr>
              <w:t>年初预算数</w:t>
            </w:r>
          </w:p>
        </w:tc>
        <w:tc>
          <w:tcPr>
            <w:tcW w:w="1161" w:type="dxa"/>
            <w:gridSpan w:val="2"/>
            <w:tcBorders>
              <w:top w:val="nil"/>
              <w:left w:val="nil"/>
              <w:bottom w:val="single" w:color="auto" w:sz="4" w:space="0"/>
              <w:right w:val="single" w:color="auto" w:sz="4" w:space="0"/>
            </w:tcBorders>
            <w:noWrap w:val="0"/>
            <w:vAlign w:val="center"/>
          </w:tcPr>
          <w:p w14:paraId="15D44262">
            <w:pPr>
              <w:spacing w:line="240" w:lineRule="exact"/>
              <w:ind w:firstLine="0" w:firstLineChars="0"/>
              <w:rPr>
                <w:rFonts w:eastAsia="仿宋_GB2312"/>
                <w:sz w:val="18"/>
                <w:szCs w:val="18"/>
              </w:rPr>
            </w:pPr>
            <w:r>
              <w:rPr>
                <w:rFonts w:eastAsia="仿宋_GB2312"/>
                <w:sz w:val="18"/>
                <w:szCs w:val="18"/>
              </w:rPr>
              <w:t>全年预算数</w:t>
            </w:r>
          </w:p>
        </w:tc>
        <w:tc>
          <w:tcPr>
            <w:tcW w:w="1146" w:type="dxa"/>
            <w:tcBorders>
              <w:top w:val="nil"/>
              <w:left w:val="nil"/>
              <w:bottom w:val="single" w:color="auto" w:sz="4" w:space="0"/>
              <w:right w:val="single" w:color="auto" w:sz="4" w:space="0"/>
            </w:tcBorders>
            <w:noWrap w:val="0"/>
            <w:vAlign w:val="center"/>
          </w:tcPr>
          <w:p w14:paraId="3B360687">
            <w:pPr>
              <w:spacing w:line="240" w:lineRule="exact"/>
              <w:ind w:firstLine="0" w:firstLineChars="0"/>
              <w:rPr>
                <w:rFonts w:eastAsia="仿宋_GB2312"/>
                <w:sz w:val="18"/>
                <w:szCs w:val="18"/>
              </w:rPr>
            </w:pPr>
            <w:r>
              <w:rPr>
                <w:rFonts w:eastAsia="仿宋_GB2312"/>
                <w:sz w:val="18"/>
                <w:szCs w:val="18"/>
              </w:rPr>
              <w:t>全年执行数</w:t>
            </w:r>
          </w:p>
        </w:tc>
        <w:tc>
          <w:tcPr>
            <w:tcW w:w="636" w:type="dxa"/>
            <w:tcBorders>
              <w:top w:val="nil"/>
              <w:left w:val="nil"/>
              <w:bottom w:val="single" w:color="auto" w:sz="4" w:space="0"/>
              <w:right w:val="single" w:color="auto" w:sz="4" w:space="0"/>
            </w:tcBorders>
            <w:noWrap w:val="0"/>
            <w:vAlign w:val="center"/>
          </w:tcPr>
          <w:p w14:paraId="0142392E">
            <w:pPr>
              <w:spacing w:line="240" w:lineRule="exact"/>
              <w:ind w:firstLine="0" w:firstLineChars="0"/>
              <w:rPr>
                <w:rFonts w:eastAsia="仿宋_GB2312"/>
                <w:sz w:val="18"/>
                <w:szCs w:val="18"/>
              </w:rPr>
            </w:pPr>
            <w:r>
              <w:rPr>
                <w:rFonts w:eastAsia="仿宋_GB2312"/>
                <w:sz w:val="18"/>
                <w:szCs w:val="18"/>
              </w:rPr>
              <w:t>分值</w:t>
            </w:r>
          </w:p>
        </w:tc>
        <w:tc>
          <w:tcPr>
            <w:tcW w:w="890" w:type="dxa"/>
            <w:tcBorders>
              <w:top w:val="nil"/>
              <w:left w:val="nil"/>
              <w:bottom w:val="single" w:color="auto" w:sz="4" w:space="0"/>
              <w:right w:val="single" w:color="auto" w:sz="4" w:space="0"/>
            </w:tcBorders>
            <w:noWrap w:val="0"/>
            <w:vAlign w:val="center"/>
          </w:tcPr>
          <w:p w14:paraId="237D5008">
            <w:pPr>
              <w:spacing w:line="240" w:lineRule="exact"/>
              <w:ind w:firstLine="0" w:firstLineChars="0"/>
              <w:rPr>
                <w:rFonts w:eastAsia="仿宋_GB2312"/>
                <w:sz w:val="18"/>
                <w:szCs w:val="18"/>
              </w:rPr>
            </w:pPr>
            <w:r>
              <w:rPr>
                <w:rFonts w:eastAsia="仿宋_GB2312"/>
                <w:sz w:val="18"/>
                <w:szCs w:val="18"/>
              </w:rPr>
              <w:t>执行率</w:t>
            </w:r>
          </w:p>
        </w:tc>
        <w:tc>
          <w:tcPr>
            <w:tcW w:w="1223" w:type="dxa"/>
            <w:tcBorders>
              <w:top w:val="nil"/>
              <w:left w:val="nil"/>
              <w:bottom w:val="single" w:color="auto" w:sz="4" w:space="0"/>
              <w:right w:val="single" w:color="auto" w:sz="4" w:space="0"/>
            </w:tcBorders>
            <w:noWrap w:val="0"/>
            <w:vAlign w:val="center"/>
          </w:tcPr>
          <w:p w14:paraId="62DDA47E">
            <w:pPr>
              <w:spacing w:line="240" w:lineRule="exact"/>
              <w:ind w:firstLine="0" w:firstLineChars="0"/>
              <w:rPr>
                <w:rFonts w:eastAsia="仿宋_GB2312"/>
                <w:sz w:val="18"/>
                <w:szCs w:val="18"/>
              </w:rPr>
            </w:pPr>
            <w:r>
              <w:rPr>
                <w:rFonts w:eastAsia="仿宋_GB2312"/>
                <w:sz w:val="18"/>
                <w:szCs w:val="18"/>
              </w:rPr>
              <w:t>得分</w:t>
            </w:r>
          </w:p>
        </w:tc>
      </w:tr>
      <w:tr w14:paraId="431905BE">
        <w:tblPrEx>
          <w:tblCellMar>
            <w:top w:w="0" w:type="dxa"/>
            <w:left w:w="108" w:type="dxa"/>
            <w:bottom w:w="0" w:type="dxa"/>
            <w:right w:w="108" w:type="dxa"/>
          </w:tblCellMar>
        </w:tblPrEx>
        <w:trPr>
          <w:trHeight w:val="477" w:hRule="atLeast"/>
          <w:jc w:val="center"/>
        </w:trPr>
        <w:tc>
          <w:tcPr>
            <w:tcW w:w="969" w:type="dxa"/>
            <w:vMerge w:val="continue"/>
            <w:tcBorders>
              <w:top w:val="nil"/>
              <w:left w:val="single" w:color="auto" w:sz="4" w:space="0"/>
              <w:right w:val="single" w:color="auto" w:sz="4" w:space="0"/>
            </w:tcBorders>
            <w:noWrap w:val="0"/>
            <w:vAlign w:val="center"/>
          </w:tcPr>
          <w:p w14:paraId="65A2F0C1">
            <w:pPr>
              <w:spacing w:line="240" w:lineRule="exact"/>
              <w:ind w:firstLine="360"/>
              <w:jc w:val="center"/>
              <w:rPr>
                <w:rFonts w:eastAsia="仿宋_GB2312"/>
                <w:color w:val="000000"/>
                <w:kern w:val="0"/>
                <w:sz w:val="18"/>
                <w:szCs w:val="18"/>
              </w:rPr>
            </w:pPr>
          </w:p>
        </w:tc>
        <w:tc>
          <w:tcPr>
            <w:tcW w:w="1681" w:type="dxa"/>
            <w:gridSpan w:val="2"/>
            <w:tcBorders>
              <w:top w:val="nil"/>
              <w:left w:val="nil"/>
              <w:bottom w:val="single" w:color="auto" w:sz="4" w:space="0"/>
              <w:right w:val="single" w:color="auto" w:sz="4" w:space="0"/>
            </w:tcBorders>
            <w:noWrap w:val="0"/>
            <w:vAlign w:val="center"/>
          </w:tcPr>
          <w:p w14:paraId="1A6B3E5C">
            <w:pPr>
              <w:spacing w:line="240" w:lineRule="exact"/>
              <w:ind w:firstLine="0" w:firstLineChars="0"/>
              <w:rPr>
                <w:rFonts w:eastAsia="仿宋_GB2312"/>
                <w:sz w:val="18"/>
                <w:szCs w:val="18"/>
              </w:rPr>
            </w:pPr>
            <w:r>
              <w:rPr>
                <w:rFonts w:eastAsia="仿宋_GB2312"/>
                <w:color w:val="000000"/>
                <w:kern w:val="0"/>
                <w:sz w:val="18"/>
                <w:szCs w:val="18"/>
              </w:rPr>
              <w:t>年度资金总额</w:t>
            </w:r>
          </w:p>
        </w:tc>
        <w:tc>
          <w:tcPr>
            <w:tcW w:w="1273" w:type="dxa"/>
            <w:tcBorders>
              <w:top w:val="nil"/>
              <w:left w:val="nil"/>
              <w:bottom w:val="single" w:color="auto" w:sz="4" w:space="0"/>
              <w:right w:val="single" w:color="auto" w:sz="4" w:space="0"/>
            </w:tcBorders>
            <w:noWrap w:val="0"/>
            <w:vAlign w:val="center"/>
          </w:tcPr>
          <w:p w14:paraId="01271084">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1273.23</w:t>
            </w:r>
          </w:p>
        </w:tc>
        <w:tc>
          <w:tcPr>
            <w:tcW w:w="1161" w:type="dxa"/>
            <w:gridSpan w:val="2"/>
            <w:tcBorders>
              <w:top w:val="nil"/>
              <w:left w:val="nil"/>
              <w:bottom w:val="single" w:color="auto" w:sz="4" w:space="0"/>
              <w:right w:val="single" w:color="auto" w:sz="4" w:space="0"/>
            </w:tcBorders>
            <w:noWrap w:val="0"/>
            <w:vAlign w:val="center"/>
          </w:tcPr>
          <w:p w14:paraId="019EC790">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2612.42</w:t>
            </w:r>
          </w:p>
        </w:tc>
        <w:tc>
          <w:tcPr>
            <w:tcW w:w="1146" w:type="dxa"/>
            <w:tcBorders>
              <w:top w:val="nil"/>
              <w:left w:val="nil"/>
              <w:bottom w:val="single" w:color="auto" w:sz="4" w:space="0"/>
              <w:right w:val="single" w:color="auto" w:sz="4" w:space="0"/>
            </w:tcBorders>
            <w:noWrap w:val="0"/>
            <w:vAlign w:val="center"/>
          </w:tcPr>
          <w:p w14:paraId="1B1DD3C7">
            <w:pPr>
              <w:spacing w:line="240" w:lineRule="exact"/>
              <w:ind w:firstLine="180" w:firstLineChars="100"/>
              <w:jc w:val="both"/>
              <w:rPr>
                <w:rFonts w:hint="default" w:eastAsia="仿宋_GB2312"/>
                <w:sz w:val="18"/>
                <w:szCs w:val="18"/>
                <w:lang w:val="en-US" w:eastAsia="zh-CN"/>
              </w:rPr>
            </w:pPr>
            <w:r>
              <w:rPr>
                <w:rFonts w:hint="eastAsia" w:eastAsia="仿宋_GB2312"/>
                <w:sz w:val="18"/>
                <w:szCs w:val="18"/>
                <w:lang w:val="en-US" w:eastAsia="zh-CN"/>
              </w:rPr>
              <w:t>2612.42</w:t>
            </w:r>
          </w:p>
        </w:tc>
        <w:tc>
          <w:tcPr>
            <w:tcW w:w="636" w:type="dxa"/>
            <w:tcBorders>
              <w:top w:val="nil"/>
              <w:left w:val="nil"/>
              <w:bottom w:val="single" w:color="auto" w:sz="4" w:space="0"/>
              <w:right w:val="single" w:color="auto" w:sz="4" w:space="0"/>
            </w:tcBorders>
            <w:noWrap w:val="0"/>
            <w:vAlign w:val="center"/>
          </w:tcPr>
          <w:p w14:paraId="2740BD30">
            <w:pPr>
              <w:spacing w:line="240" w:lineRule="exact"/>
              <w:ind w:firstLine="0" w:firstLineChars="0"/>
              <w:jc w:val="center"/>
              <w:rPr>
                <w:rFonts w:eastAsia="仿宋_GB2312"/>
                <w:sz w:val="18"/>
                <w:szCs w:val="18"/>
              </w:rPr>
            </w:pPr>
            <w:r>
              <w:rPr>
                <w:rFonts w:eastAsia="仿宋_GB2312"/>
                <w:sz w:val="18"/>
                <w:szCs w:val="18"/>
              </w:rPr>
              <w:t>10</w:t>
            </w:r>
          </w:p>
        </w:tc>
        <w:tc>
          <w:tcPr>
            <w:tcW w:w="890" w:type="dxa"/>
            <w:tcBorders>
              <w:top w:val="nil"/>
              <w:left w:val="nil"/>
              <w:bottom w:val="single" w:color="auto" w:sz="4" w:space="0"/>
              <w:right w:val="single" w:color="auto" w:sz="4" w:space="0"/>
            </w:tcBorders>
            <w:noWrap w:val="0"/>
            <w:vAlign w:val="center"/>
          </w:tcPr>
          <w:p w14:paraId="670797C0">
            <w:pPr>
              <w:spacing w:line="240" w:lineRule="exact"/>
              <w:ind w:firstLine="180" w:firstLineChars="100"/>
              <w:jc w:val="both"/>
              <w:rPr>
                <w:rFonts w:hint="default" w:eastAsia="仿宋_GB2312"/>
                <w:sz w:val="18"/>
                <w:szCs w:val="18"/>
                <w:lang w:val="en-US" w:eastAsia="zh-CN"/>
              </w:rPr>
            </w:pPr>
            <w:r>
              <w:rPr>
                <w:rFonts w:hint="eastAsia" w:eastAsia="仿宋_GB2312"/>
                <w:sz w:val="18"/>
                <w:szCs w:val="18"/>
                <w:lang w:val="en-US" w:eastAsia="zh-CN"/>
              </w:rPr>
              <w:t>205.2%</w:t>
            </w:r>
          </w:p>
        </w:tc>
        <w:tc>
          <w:tcPr>
            <w:tcW w:w="1223" w:type="dxa"/>
            <w:tcBorders>
              <w:top w:val="nil"/>
              <w:left w:val="nil"/>
              <w:bottom w:val="single" w:color="auto" w:sz="4" w:space="0"/>
              <w:right w:val="single" w:color="auto" w:sz="4" w:space="0"/>
            </w:tcBorders>
            <w:noWrap w:val="0"/>
            <w:vAlign w:val="center"/>
          </w:tcPr>
          <w:p w14:paraId="2B6A886F">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10</w:t>
            </w:r>
          </w:p>
        </w:tc>
      </w:tr>
      <w:tr w14:paraId="362CE8F2">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C2E1B3B">
            <w:pPr>
              <w:spacing w:line="240" w:lineRule="exact"/>
              <w:ind w:firstLine="360"/>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w:t>
            </w:r>
          </w:p>
        </w:tc>
        <w:tc>
          <w:tcPr>
            <w:tcW w:w="4115" w:type="dxa"/>
            <w:gridSpan w:val="5"/>
            <w:tcBorders>
              <w:top w:val="nil"/>
              <w:left w:val="nil"/>
              <w:bottom w:val="single" w:color="auto" w:sz="4" w:space="0"/>
              <w:right w:val="single" w:color="auto" w:sz="4" w:space="0"/>
            </w:tcBorders>
            <w:noWrap w:val="0"/>
            <w:vAlign w:val="center"/>
          </w:tcPr>
          <w:p w14:paraId="378AA544">
            <w:pPr>
              <w:spacing w:line="240" w:lineRule="exact"/>
              <w:ind w:firstLine="360"/>
              <w:jc w:val="left"/>
              <w:rPr>
                <w:rFonts w:eastAsia="仿宋_GB2312"/>
                <w:color w:val="000000"/>
                <w:kern w:val="0"/>
                <w:sz w:val="18"/>
                <w:szCs w:val="18"/>
              </w:rPr>
            </w:pPr>
            <w:r>
              <w:rPr>
                <w:rFonts w:eastAsia="仿宋_GB2312"/>
                <w:color w:val="000000"/>
                <w:kern w:val="0"/>
                <w:sz w:val="18"/>
                <w:szCs w:val="18"/>
              </w:rPr>
              <w:t>按收入性质分：</w:t>
            </w:r>
          </w:p>
        </w:tc>
        <w:tc>
          <w:tcPr>
            <w:tcW w:w="3895" w:type="dxa"/>
            <w:gridSpan w:val="4"/>
            <w:tcBorders>
              <w:top w:val="nil"/>
              <w:left w:val="nil"/>
              <w:bottom w:val="single" w:color="auto" w:sz="4" w:space="0"/>
              <w:right w:val="single" w:color="auto" w:sz="4" w:space="0"/>
            </w:tcBorders>
            <w:noWrap w:val="0"/>
            <w:vAlign w:val="center"/>
          </w:tcPr>
          <w:p w14:paraId="7FB3F4BF">
            <w:pPr>
              <w:spacing w:line="240" w:lineRule="exact"/>
              <w:ind w:firstLine="360"/>
              <w:jc w:val="left"/>
              <w:rPr>
                <w:rFonts w:eastAsia="仿宋_GB2312"/>
                <w:color w:val="000000"/>
                <w:kern w:val="0"/>
                <w:sz w:val="18"/>
                <w:szCs w:val="18"/>
              </w:rPr>
            </w:pPr>
            <w:r>
              <w:rPr>
                <w:rFonts w:eastAsia="仿宋_GB2312"/>
                <w:color w:val="000000"/>
                <w:kern w:val="0"/>
                <w:sz w:val="18"/>
                <w:szCs w:val="18"/>
              </w:rPr>
              <w:t>按支出性质分：</w:t>
            </w:r>
          </w:p>
        </w:tc>
      </w:tr>
      <w:tr w14:paraId="5C5DFD95">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2D41064">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14C8B015">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xml:space="preserve">  其中：  一般公共预算：</w:t>
            </w:r>
            <w:r>
              <w:rPr>
                <w:rFonts w:hint="eastAsia" w:eastAsia="仿宋_GB2312"/>
                <w:sz w:val="18"/>
                <w:szCs w:val="18"/>
                <w:lang w:val="en-US" w:eastAsia="zh-CN"/>
              </w:rPr>
              <w:t>1273.23</w:t>
            </w:r>
            <w:r>
              <w:rPr>
                <w:rFonts w:hint="eastAsia" w:eastAsia="仿宋_GB2312"/>
                <w:color w:val="000000"/>
                <w:kern w:val="0"/>
                <w:sz w:val="18"/>
                <w:szCs w:val="18"/>
                <w:lang w:val="en-US" w:eastAsia="zh-CN"/>
              </w:rPr>
              <w:t>万元</w:t>
            </w:r>
          </w:p>
        </w:tc>
        <w:tc>
          <w:tcPr>
            <w:tcW w:w="3895" w:type="dxa"/>
            <w:gridSpan w:val="4"/>
            <w:tcBorders>
              <w:top w:val="nil"/>
              <w:left w:val="nil"/>
              <w:bottom w:val="single" w:color="auto" w:sz="4" w:space="0"/>
              <w:right w:val="single" w:color="auto" w:sz="4" w:space="0"/>
            </w:tcBorders>
            <w:noWrap w:val="0"/>
            <w:vAlign w:val="center"/>
          </w:tcPr>
          <w:p w14:paraId="51F1A49E">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其中：基本支出：</w:t>
            </w:r>
            <w:r>
              <w:rPr>
                <w:rFonts w:hint="eastAsia" w:eastAsia="仿宋_GB2312"/>
                <w:color w:val="000000"/>
                <w:kern w:val="0"/>
                <w:sz w:val="18"/>
                <w:szCs w:val="18"/>
                <w:lang w:val="en-US" w:eastAsia="zh-CN"/>
              </w:rPr>
              <w:t>2612.42万元</w:t>
            </w:r>
          </w:p>
        </w:tc>
      </w:tr>
      <w:tr w14:paraId="0B0EA53A">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69375CD">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2A1BF5F9">
            <w:pPr>
              <w:spacing w:line="240" w:lineRule="exact"/>
              <w:ind w:firstLine="720" w:firstLineChars="400"/>
              <w:jc w:val="left"/>
              <w:rPr>
                <w:rFonts w:hint="eastAsia" w:eastAsia="仿宋_GB2312"/>
                <w:color w:val="000000"/>
                <w:kern w:val="0"/>
                <w:sz w:val="18"/>
                <w:szCs w:val="18"/>
                <w:lang w:val="en-US" w:eastAsia="zh-CN"/>
              </w:rPr>
            </w:pPr>
            <w:r>
              <w:rPr>
                <w:rFonts w:eastAsia="仿宋_GB2312"/>
                <w:color w:val="000000"/>
                <w:kern w:val="0"/>
                <w:sz w:val="18"/>
                <w:szCs w:val="18"/>
              </w:rPr>
              <w:t>政府性基金拨款：</w:t>
            </w:r>
            <w:r>
              <w:rPr>
                <w:rFonts w:hint="eastAsia" w:eastAsia="仿宋_GB2312"/>
                <w:color w:val="000000"/>
                <w:kern w:val="0"/>
                <w:sz w:val="18"/>
                <w:szCs w:val="18"/>
                <w:lang w:val="en-US" w:eastAsia="zh-CN"/>
              </w:rPr>
              <w:t>0万元</w:t>
            </w:r>
          </w:p>
        </w:tc>
        <w:tc>
          <w:tcPr>
            <w:tcW w:w="3895" w:type="dxa"/>
            <w:gridSpan w:val="4"/>
            <w:tcBorders>
              <w:top w:val="nil"/>
              <w:left w:val="nil"/>
              <w:bottom w:val="single" w:color="auto" w:sz="4" w:space="0"/>
              <w:right w:val="single" w:color="auto" w:sz="4" w:space="0"/>
            </w:tcBorders>
            <w:noWrap w:val="0"/>
            <w:vAlign w:val="center"/>
          </w:tcPr>
          <w:p w14:paraId="6F266C74">
            <w:pPr>
              <w:spacing w:line="240" w:lineRule="exact"/>
              <w:ind w:firstLine="540" w:firstLineChars="300"/>
              <w:jc w:val="left"/>
              <w:rPr>
                <w:rFonts w:hint="eastAsia" w:eastAsia="仿宋_GB2312"/>
                <w:color w:val="000000"/>
                <w:kern w:val="0"/>
                <w:sz w:val="18"/>
                <w:szCs w:val="18"/>
                <w:lang w:val="en-US" w:eastAsia="zh-CN"/>
              </w:rPr>
            </w:pPr>
            <w:r>
              <w:rPr>
                <w:rFonts w:hint="eastAsia" w:eastAsia="仿宋_GB2312"/>
                <w:color w:val="000000"/>
                <w:kern w:val="0"/>
                <w:sz w:val="18"/>
                <w:szCs w:val="18"/>
                <w:lang w:eastAsia="zh-CN"/>
              </w:rPr>
              <w:t>县级专项资金</w:t>
            </w:r>
            <w:r>
              <w:rPr>
                <w:rFonts w:hint="eastAsia" w:eastAsia="仿宋_GB2312"/>
                <w:color w:val="000000"/>
                <w:kern w:val="0"/>
                <w:sz w:val="18"/>
                <w:szCs w:val="18"/>
                <w:lang w:val="en-US" w:eastAsia="zh-CN"/>
              </w:rPr>
              <w:t>0万元</w:t>
            </w:r>
          </w:p>
        </w:tc>
      </w:tr>
      <w:tr w14:paraId="466F3711">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70C1B41D">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4CCBA9B4">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纳入专户管理的非税收入拨款：</w:t>
            </w:r>
            <w:r>
              <w:rPr>
                <w:rFonts w:hint="eastAsia" w:eastAsia="仿宋_GB2312"/>
                <w:color w:val="000000"/>
                <w:kern w:val="0"/>
                <w:sz w:val="18"/>
                <w:szCs w:val="18"/>
                <w:lang w:val="en-US" w:eastAsia="zh-CN"/>
              </w:rPr>
              <w:t>0万元</w:t>
            </w:r>
          </w:p>
        </w:tc>
        <w:tc>
          <w:tcPr>
            <w:tcW w:w="3895" w:type="dxa"/>
            <w:gridSpan w:val="4"/>
            <w:tcBorders>
              <w:top w:val="nil"/>
              <w:left w:val="nil"/>
              <w:bottom w:val="single" w:color="auto" w:sz="4" w:space="0"/>
              <w:right w:val="single" w:color="auto" w:sz="4" w:space="0"/>
            </w:tcBorders>
            <w:noWrap w:val="0"/>
            <w:vAlign w:val="center"/>
          </w:tcPr>
          <w:p w14:paraId="6E87D4C8">
            <w:pPr>
              <w:spacing w:line="240" w:lineRule="exact"/>
              <w:ind w:firstLine="360"/>
              <w:jc w:val="left"/>
              <w:rPr>
                <w:rFonts w:eastAsia="仿宋_GB2312"/>
                <w:color w:val="000000"/>
                <w:kern w:val="0"/>
                <w:sz w:val="18"/>
                <w:szCs w:val="18"/>
              </w:rPr>
            </w:pPr>
          </w:p>
        </w:tc>
      </w:tr>
      <w:tr w14:paraId="33C6C3B1">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bottom w:val="single" w:color="000000" w:sz="4" w:space="0"/>
              <w:right w:val="single" w:color="auto" w:sz="4" w:space="0"/>
            </w:tcBorders>
            <w:noWrap w:val="0"/>
            <w:vAlign w:val="center"/>
          </w:tcPr>
          <w:p w14:paraId="3F2252B4">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5C31F930">
            <w:pPr>
              <w:spacing w:line="240" w:lineRule="exact"/>
              <w:ind w:firstLine="1260" w:firstLineChars="700"/>
              <w:jc w:val="left"/>
              <w:rPr>
                <w:rFonts w:hint="eastAsia" w:eastAsia="仿宋_GB2312"/>
                <w:color w:val="000000"/>
                <w:kern w:val="0"/>
                <w:sz w:val="18"/>
                <w:szCs w:val="18"/>
                <w:lang w:val="en-US" w:eastAsia="zh-CN"/>
              </w:rPr>
            </w:pPr>
            <w:r>
              <w:rPr>
                <w:rFonts w:eastAsia="仿宋_GB2312"/>
                <w:color w:val="000000"/>
                <w:kern w:val="0"/>
                <w:sz w:val="18"/>
                <w:szCs w:val="18"/>
              </w:rPr>
              <w:t>其他资金：</w:t>
            </w:r>
            <w:r>
              <w:rPr>
                <w:rFonts w:hint="eastAsia" w:eastAsia="仿宋_GB2312"/>
                <w:color w:val="000000"/>
                <w:kern w:val="0"/>
                <w:sz w:val="18"/>
                <w:szCs w:val="18"/>
                <w:lang w:val="en-US" w:eastAsia="zh-CN"/>
              </w:rPr>
              <w:t>0万元</w:t>
            </w:r>
          </w:p>
        </w:tc>
        <w:tc>
          <w:tcPr>
            <w:tcW w:w="3895" w:type="dxa"/>
            <w:gridSpan w:val="4"/>
            <w:tcBorders>
              <w:top w:val="nil"/>
              <w:left w:val="nil"/>
              <w:bottom w:val="single" w:color="auto" w:sz="4" w:space="0"/>
              <w:right w:val="single" w:color="auto" w:sz="4" w:space="0"/>
            </w:tcBorders>
            <w:noWrap w:val="0"/>
            <w:vAlign w:val="center"/>
          </w:tcPr>
          <w:p w14:paraId="5113AD6A">
            <w:pPr>
              <w:spacing w:line="240" w:lineRule="exact"/>
              <w:ind w:firstLine="360"/>
              <w:jc w:val="left"/>
              <w:rPr>
                <w:rFonts w:eastAsia="仿宋_GB2312"/>
                <w:color w:val="000000"/>
                <w:kern w:val="0"/>
                <w:sz w:val="18"/>
                <w:szCs w:val="18"/>
              </w:rPr>
            </w:pPr>
          </w:p>
        </w:tc>
      </w:tr>
      <w:tr w14:paraId="6E406105">
        <w:tblPrEx>
          <w:tblCellMar>
            <w:top w:w="0" w:type="dxa"/>
            <w:left w:w="108" w:type="dxa"/>
            <w:bottom w:w="0" w:type="dxa"/>
            <w:right w:w="108" w:type="dxa"/>
          </w:tblCellMar>
        </w:tblPrEx>
        <w:trPr>
          <w:trHeight w:val="254" w:hRule="atLeast"/>
          <w:jc w:val="center"/>
        </w:trPr>
        <w:tc>
          <w:tcPr>
            <w:tcW w:w="969" w:type="dxa"/>
            <w:vMerge w:val="restart"/>
            <w:tcBorders>
              <w:top w:val="nil"/>
              <w:left w:val="single" w:color="auto" w:sz="4" w:space="0"/>
              <w:bottom w:val="single" w:color="000000" w:sz="4" w:space="0"/>
              <w:right w:val="single" w:color="auto" w:sz="4" w:space="0"/>
            </w:tcBorders>
            <w:noWrap w:val="0"/>
            <w:vAlign w:val="center"/>
          </w:tcPr>
          <w:p w14:paraId="04DA8A16">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年度总体目标</w:t>
            </w:r>
          </w:p>
        </w:tc>
        <w:tc>
          <w:tcPr>
            <w:tcW w:w="4115" w:type="dxa"/>
            <w:gridSpan w:val="5"/>
            <w:tcBorders>
              <w:top w:val="single" w:color="auto" w:sz="4" w:space="0"/>
              <w:left w:val="nil"/>
              <w:bottom w:val="single" w:color="auto" w:sz="4" w:space="0"/>
              <w:right w:val="single" w:color="000000" w:sz="4" w:space="0"/>
            </w:tcBorders>
            <w:noWrap w:val="0"/>
            <w:vAlign w:val="center"/>
          </w:tcPr>
          <w:p w14:paraId="22158DAB">
            <w:pPr>
              <w:spacing w:line="240" w:lineRule="exact"/>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895" w:type="dxa"/>
            <w:gridSpan w:val="4"/>
            <w:tcBorders>
              <w:top w:val="single" w:color="auto" w:sz="4" w:space="0"/>
              <w:left w:val="nil"/>
              <w:bottom w:val="single" w:color="auto" w:sz="4" w:space="0"/>
              <w:right w:val="single" w:color="auto" w:sz="4" w:space="0"/>
            </w:tcBorders>
            <w:noWrap w:val="0"/>
            <w:vAlign w:val="center"/>
          </w:tcPr>
          <w:p w14:paraId="6CE87805">
            <w:pPr>
              <w:spacing w:line="240" w:lineRule="exact"/>
              <w:ind w:firstLine="360"/>
              <w:jc w:val="center"/>
              <w:rPr>
                <w:rFonts w:eastAsia="仿宋_GB2312"/>
                <w:color w:val="000000"/>
                <w:kern w:val="0"/>
                <w:sz w:val="18"/>
                <w:szCs w:val="18"/>
              </w:rPr>
            </w:pPr>
            <w:r>
              <w:rPr>
                <w:rFonts w:eastAsia="仿宋_GB2312"/>
                <w:color w:val="000000"/>
                <w:kern w:val="0"/>
                <w:sz w:val="18"/>
                <w:szCs w:val="18"/>
              </w:rPr>
              <w:t>实际完成情况　</w:t>
            </w:r>
          </w:p>
        </w:tc>
      </w:tr>
      <w:tr w14:paraId="25D434F7">
        <w:tblPrEx>
          <w:tblCellMar>
            <w:top w:w="0" w:type="dxa"/>
            <w:left w:w="108" w:type="dxa"/>
            <w:bottom w:w="0" w:type="dxa"/>
            <w:right w:w="108" w:type="dxa"/>
          </w:tblCellMar>
        </w:tblPrEx>
        <w:trPr>
          <w:trHeight w:val="254" w:hRule="atLeast"/>
          <w:jc w:val="center"/>
        </w:trPr>
        <w:tc>
          <w:tcPr>
            <w:tcW w:w="969" w:type="dxa"/>
            <w:vMerge w:val="continue"/>
            <w:tcBorders>
              <w:top w:val="nil"/>
              <w:left w:val="single" w:color="auto" w:sz="4" w:space="0"/>
              <w:bottom w:val="single" w:color="000000" w:sz="4" w:space="0"/>
              <w:right w:val="single" w:color="auto" w:sz="4" w:space="0"/>
            </w:tcBorders>
            <w:noWrap w:val="0"/>
            <w:vAlign w:val="center"/>
          </w:tcPr>
          <w:p w14:paraId="45DEA6E7">
            <w:pPr>
              <w:spacing w:line="240" w:lineRule="exact"/>
              <w:ind w:firstLine="360"/>
              <w:jc w:val="left"/>
              <w:rPr>
                <w:rFonts w:eastAsia="仿宋_GB2312"/>
                <w:color w:val="000000"/>
                <w:kern w:val="0"/>
                <w:sz w:val="18"/>
                <w:szCs w:val="18"/>
              </w:rPr>
            </w:pPr>
          </w:p>
        </w:tc>
        <w:tc>
          <w:tcPr>
            <w:tcW w:w="4115" w:type="dxa"/>
            <w:gridSpan w:val="5"/>
            <w:tcBorders>
              <w:top w:val="single" w:color="auto" w:sz="4" w:space="0"/>
              <w:left w:val="nil"/>
              <w:bottom w:val="single" w:color="auto" w:sz="4" w:space="0"/>
              <w:right w:val="single" w:color="000000" w:sz="4" w:space="0"/>
            </w:tcBorders>
            <w:noWrap w:val="0"/>
            <w:vAlign w:val="center"/>
          </w:tcPr>
          <w:p w14:paraId="0BB66EA8">
            <w:pPr>
              <w:spacing w:line="240" w:lineRule="exact"/>
              <w:ind w:firstLine="360"/>
              <w:jc w:val="left"/>
              <w:rPr>
                <w:rFonts w:hint="eastAsia" w:eastAsia="仿宋_GB2312"/>
                <w:color w:val="000000"/>
                <w:kern w:val="0"/>
                <w:sz w:val="18"/>
                <w:szCs w:val="18"/>
              </w:rPr>
            </w:pPr>
            <w:r>
              <w:rPr>
                <w:rFonts w:hint="eastAsia" w:eastAsia="仿宋_GB2312"/>
                <w:color w:val="000000"/>
                <w:kern w:val="0"/>
                <w:sz w:val="18"/>
                <w:szCs w:val="18"/>
              </w:rPr>
              <w:t>目标1：按照“财政收入保增长、财政支出保民生、财政改革保利益、财政运转保高效”的思路，加大财政支持力度，完善民生保障机制，强化预算收支管理，推进财税体制改革，较好地完成了全年各项工作任务；</w:t>
            </w:r>
          </w:p>
          <w:p w14:paraId="418F45A7">
            <w:pPr>
              <w:spacing w:line="240" w:lineRule="exact"/>
              <w:ind w:firstLine="360"/>
              <w:jc w:val="left"/>
              <w:rPr>
                <w:rFonts w:hint="eastAsia" w:eastAsia="仿宋_GB2312"/>
                <w:color w:val="000000"/>
                <w:kern w:val="0"/>
                <w:sz w:val="18"/>
                <w:szCs w:val="18"/>
              </w:rPr>
            </w:pPr>
            <w:r>
              <w:rPr>
                <w:rFonts w:hint="eastAsia" w:eastAsia="仿宋_GB2312"/>
                <w:color w:val="000000"/>
                <w:kern w:val="0"/>
                <w:sz w:val="18"/>
                <w:szCs w:val="18"/>
              </w:rPr>
              <w:t>目标2：重点保障机关运转及重点工作的需要，大力压缩一般性支出，提高财政资金使用效益；</w:t>
            </w:r>
          </w:p>
          <w:p w14:paraId="6C42D864">
            <w:pPr>
              <w:spacing w:line="240" w:lineRule="exact"/>
              <w:ind w:firstLine="360"/>
              <w:jc w:val="left"/>
              <w:rPr>
                <w:rFonts w:hint="eastAsia" w:eastAsia="仿宋_GB2312"/>
                <w:color w:val="000000"/>
                <w:kern w:val="0"/>
                <w:sz w:val="18"/>
                <w:szCs w:val="18"/>
                <w:lang w:eastAsia="zh-CN"/>
              </w:rPr>
            </w:pPr>
            <w:r>
              <w:rPr>
                <w:rFonts w:hint="eastAsia" w:eastAsia="仿宋_GB2312"/>
                <w:color w:val="000000"/>
                <w:kern w:val="0"/>
                <w:sz w:val="18"/>
                <w:szCs w:val="18"/>
              </w:rPr>
              <w:t>目标3：切实提高行政效率，降低行政成本。进一步精简文件数量，提高文件质量。规范行文程序，严格行文规则，控制文件规格。减少会议数量，压缩会议时间。控制会议规模，创新会议形式。节约会议成本，严肃会议纪律。简化办事程序，对重大事项实行督查交办制度。推进办事公开，按照政务公开要求，对涉及财政相关的资料及时挂网公开。</w:t>
            </w:r>
            <w:r>
              <w:rPr>
                <w:rFonts w:eastAsia="仿宋_GB2312"/>
                <w:color w:val="000000"/>
                <w:kern w:val="0"/>
                <w:sz w:val="18"/>
                <w:szCs w:val="18"/>
              </w:rPr>
              <w:t>　　</w:t>
            </w:r>
            <w:r>
              <w:rPr>
                <w:rFonts w:hint="eastAsia" w:eastAsia="仿宋_GB2312"/>
                <w:color w:val="000000"/>
                <w:kern w:val="0"/>
                <w:sz w:val="18"/>
                <w:szCs w:val="18"/>
                <w:lang w:eastAsia="zh-CN"/>
              </w:rPr>
              <w:t>、</w:t>
            </w:r>
          </w:p>
        </w:tc>
        <w:tc>
          <w:tcPr>
            <w:tcW w:w="3895" w:type="dxa"/>
            <w:gridSpan w:val="4"/>
            <w:tcBorders>
              <w:top w:val="single" w:color="auto" w:sz="4" w:space="0"/>
              <w:left w:val="nil"/>
              <w:bottom w:val="single" w:color="auto" w:sz="4" w:space="0"/>
              <w:right w:val="single" w:color="auto" w:sz="4" w:space="0"/>
            </w:tcBorders>
            <w:noWrap w:val="0"/>
            <w:vAlign w:val="center"/>
          </w:tcPr>
          <w:p w14:paraId="38F45EC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加大财源建设、支持全县产业发展，做大做强实体经济、防范化解债务风险有序推进，预算管理日趋规范，存量资金有效盘活，财政评审效益明显，“互联网</w:t>
            </w:r>
            <w:r>
              <w:rPr>
                <w:rFonts w:hint="eastAsia" w:eastAsia="仿宋_GB2312"/>
                <w:color w:val="000000"/>
                <w:kern w:val="0"/>
                <w:sz w:val="18"/>
                <w:szCs w:val="18"/>
                <w:lang w:val="en-US" w:eastAsia="zh-CN"/>
              </w:rPr>
              <w:t>+监督</w:t>
            </w:r>
            <w:r>
              <w:rPr>
                <w:rFonts w:hint="eastAsia" w:eastAsia="仿宋_GB2312"/>
                <w:color w:val="000000"/>
                <w:kern w:val="0"/>
                <w:sz w:val="18"/>
                <w:szCs w:val="18"/>
                <w:lang w:eastAsia="zh-CN"/>
              </w:rPr>
              <w:t>”持续推进，惠农补贴发放规范、惠农肩负落实到位，政府采购监管有力，支付改革体质扩面，驻村帮扶成效显著，</w:t>
            </w:r>
            <w:r>
              <w:rPr>
                <w:rFonts w:hint="eastAsia" w:eastAsia="仿宋_GB2312"/>
                <w:color w:val="000000"/>
                <w:kern w:val="0"/>
                <w:sz w:val="18"/>
                <w:szCs w:val="18"/>
                <w:lang w:val="en-US" w:eastAsia="zh-CN"/>
              </w:rPr>
              <w:t>新政府会计制度顺利实施。</w:t>
            </w:r>
          </w:p>
        </w:tc>
      </w:tr>
      <w:tr w14:paraId="63F0AFC8">
        <w:tblPrEx>
          <w:tblCellMar>
            <w:top w:w="0" w:type="dxa"/>
            <w:left w:w="108" w:type="dxa"/>
            <w:bottom w:w="0" w:type="dxa"/>
            <w:right w:w="108" w:type="dxa"/>
          </w:tblCellMar>
        </w:tblPrEx>
        <w:trPr>
          <w:trHeight w:val="498" w:hRule="atLeast"/>
          <w:jc w:val="center"/>
        </w:trPr>
        <w:tc>
          <w:tcPr>
            <w:tcW w:w="969" w:type="dxa"/>
            <w:vMerge w:val="restart"/>
            <w:tcBorders>
              <w:top w:val="nil"/>
              <w:left w:val="single" w:color="auto" w:sz="4" w:space="0"/>
              <w:right w:val="single" w:color="auto" w:sz="4" w:space="0"/>
            </w:tcBorders>
            <w:noWrap w:val="0"/>
            <w:vAlign w:val="center"/>
          </w:tcPr>
          <w:p w14:paraId="148B4FCA">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2CFEA049">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2AF028DA">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2E1B8C8D">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nil"/>
              <w:left w:val="nil"/>
              <w:bottom w:val="single" w:color="auto" w:sz="4" w:space="0"/>
              <w:right w:val="single" w:color="auto" w:sz="4" w:space="0"/>
            </w:tcBorders>
            <w:noWrap w:val="0"/>
            <w:vAlign w:val="center"/>
          </w:tcPr>
          <w:p w14:paraId="157D0605">
            <w:pPr>
              <w:spacing w:line="240" w:lineRule="exact"/>
              <w:ind w:firstLine="0" w:firstLineChars="0"/>
              <w:rPr>
                <w:rFonts w:eastAsia="仿宋_GB2312"/>
                <w:color w:val="000000"/>
                <w:kern w:val="0"/>
                <w:sz w:val="18"/>
                <w:szCs w:val="18"/>
              </w:rPr>
            </w:pPr>
            <w:r>
              <w:rPr>
                <w:rFonts w:eastAsia="仿宋_GB2312"/>
                <w:color w:val="000000"/>
                <w:kern w:val="0"/>
                <w:sz w:val="18"/>
                <w:szCs w:val="18"/>
              </w:rPr>
              <w:t>一级指标</w:t>
            </w:r>
          </w:p>
        </w:tc>
        <w:tc>
          <w:tcPr>
            <w:tcW w:w="712"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0A21EE69">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二级指标</w:t>
            </w:r>
          </w:p>
        </w:tc>
        <w:tc>
          <w:tcPr>
            <w:tcW w:w="1357" w:type="dxa"/>
            <w:gridSpan w:val="2"/>
            <w:tcBorders>
              <w:top w:val="nil"/>
              <w:left w:val="nil"/>
              <w:bottom w:val="single" w:color="auto" w:sz="4" w:space="0"/>
              <w:right w:val="single" w:color="auto" w:sz="4" w:space="0"/>
            </w:tcBorders>
            <w:noWrap w:val="0"/>
            <w:vAlign w:val="center"/>
          </w:tcPr>
          <w:p w14:paraId="2DBCFF69">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三级指标</w:t>
            </w:r>
          </w:p>
        </w:tc>
        <w:tc>
          <w:tcPr>
            <w:tcW w:w="1077" w:type="dxa"/>
            <w:tcBorders>
              <w:top w:val="nil"/>
              <w:left w:val="nil"/>
              <w:bottom w:val="single" w:color="auto" w:sz="4" w:space="0"/>
              <w:right w:val="single" w:color="auto" w:sz="4" w:space="0"/>
            </w:tcBorders>
            <w:noWrap w:val="0"/>
            <w:vAlign w:val="center"/>
          </w:tcPr>
          <w:p w14:paraId="00E6F403">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年度指标值</w:t>
            </w:r>
          </w:p>
        </w:tc>
        <w:tc>
          <w:tcPr>
            <w:tcW w:w="1146" w:type="dxa"/>
            <w:tcBorders>
              <w:top w:val="nil"/>
              <w:left w:val="nil"/>
              <w:bottom w:val="single" w:color="auto" w:sz="4" w:space="0"/>
              <w:right w:val="single" w:color="auto" w:sz="4" w:space="0"/>
            </w:tcBorders>
            <w:noWrap w:val="0"/>
            <w:vAlign w:val="center"/>
          </w:tcPr>
          <w:p w14:paraId="1A3D4E5A">
            <w:pPr>
              <w:spacing w:line="240" w:lineRule="exact"/>
              <w:ind w:firstLine="0" w:firstLineChars="0"/>
              <w:rPr>
                <w:rFonts w:eastAsia="仿宋_GB2312"/>
                <w:color w:val="000000"/>
                <w:kern w:val="0"/>
                <w:sz w:val="18"/>
                <w:szCs w:val="18"/>
              </w:rPr>
            </w:pPr>
            <w:r>
              <w:rPr>
                <w:rFonts w:eastAsia="仿宋_GB2312"/>
                <w:color w:val="000000"/>
                <w:kern w:val="0"/>
                <w:sz w:val="18"/>
                <w:szCs w:val="18"/>
              </w:rPr>
              <w:t>实际完成值</w:t>
            </w:r>
          </w:p>
        </w:tc>
        <w:tc>
          <w:tcPr>
            <w:tcW w:w="636" w:type="dxa"/>
            <w:tcBorders>
              <w:top w:val="nil"/>
              <w:left w:val="nil"/>
              <w:bottom w:val="single" w:color="auto" w:sz="4" w:space="0"/>
              <w:right w:val="single" w:color="auto" w:sz="4" w:space="0"/>
            </w:tcBorders>
            <w:noWrap w:val="0"/>
            <w:vAlign w:val="center"/>
          </w:tcPr>
          <w:p w14:paraId="2C5EF5C2">
            <w:pPr>
              <w:spacing w:line="240" w:lineRule="exact"/>
              <w:ind w:firstLine="0" w:firstLineChars="0"/>
              <w:rPr>
                <w:rFonts w:eastAsia="仿宋_GB2312"/>
                <w:color w:val="000000"/>
                <w:kern w:val="0"/>
                <w:sz w:val="18"/>
                <w:szCs w:val="18"/>
              </w:rPr>
            </w:pPr>
            <w:r>
              <w:rPr>
                <w:rFonts w:eastAsia="仿宋_GB2312"/>
                <w:color w:val="000000"/>
                <w:kern w:val="0"/>
                <w:sz w:val="18"/>
                <w:szCs w:val="18"/>
              </w:rPr>
              <w:t>分值</w:t>
            </w:r>
          </w:p>
        </w:tc>
        <w:tc>
          <w:tcPr>
            <w:tcW w:w="890" w:type="dxa"/>
            <w:tcBorders>
              <w:top w:val="nil"/>
              <w:left w:val="nil"/>
              <w:bottom w:val="single" w:color="auto" w:sz="4" w:space="0"/>
              <w:right w:val="single" w:color="auto" w:sz="4" w:space="0"/>
            </w:tcBorders>
            <w:noWrap w:val="0"/>
            <w:vAlign w:val="center"/>
          </w:tcPr>
          <w:p w14:paraId="7B71C675">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得分</w:t>
            </w:r>
          </w:p>
        </w:tc>
        <w:tc>
          <w:tcPr>
            <w:tcW w:w="1223" w:type="dxa"/>
            <w:tcBorders>
              <w:top w:val="nil"/>
              <w:left w:val="nil"/>
              <w:bottom w:val="single" w:color="auto" w:sz="4" w:space="0"/>
              <w:right w:val="single" w:color="auto" w:sz="4" w:space="0"/>
            </w:tcBorders>
            <w:noWrap w:val="0"/>
            <w:vAlign w:val="center"/>
          </w:tcPr>
          <w:p w14:paraId="5A697C09">
            <w:pPr>
              <w:spacing w:line="240" w:lineRule="exact"/>
              <w:ind w:firstLine="0" w:firstLineChars="0"/>
              <w:rPr>
                <w:rFonts w:eastAsia="仿宋_GB2312"/>
                <w:color w:val="000000"/>
                <w:kern w:val="0"/>
                <w:sz w:val="18"/>
                <w:szCs w:val="18"/>
              </w:rPr>
            </w:pPr>
            <w:r>
              <w:rPr>
                <w:rFonts w:eastAsia="仿宋_GB2312"/>
                <w:color w:val="000000"/>
                <w:kern w:val="0"/>
                <w:sz w:val="18"/>
                <w:szCs w:val="18"/>
              </w:rPr>
              <w:t>偏差原因分析及改进措施</w:t>
            </w:r>
          </w:p>
        </w:tc>
      </w:tr>
      <w:tr w14:paraId="20A60DEC">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C3438D8">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39C929BC">
            <w:pPr>
              <w:spacing w:line="240" w:lineRule="exact"/>
              <w:ind w:firstLine="0" w:firstLineChars="0"/>
              <w:rPr>
                <w:rFonts w:eastAsia="仿宋_GB2312"/>
                <w:color w:val="000000"/>
                <w:kern w:val="0"/>
                <w:sz w:val="18"/>
                <w:szCs w:val="18"/>
              </w:rPr>
            </w:pPr>
            <w:r>
              <w:rPr>
                <w:rFonts w:eastAsia="仿宋_GB2312"/>
                <w:color w:val="000000"/>
                <w:kern w:val="0"/>
                <w:sz w:val="18"/>
                <w:szCs w:val="18"/>
              </w:rPr>
              <w:t>产出指标</w:t>
            </w:r>
          </w:p>
          <w:p w14:paraId="6C03916C">
            <w:pPr>
              <w:spacing w:line="240" w:lineRule="exact"/>
              <w:ind w:firstLine="0" w:firstLineChars="0"/>
              <w:rPr>
                <w:rFonts w:eastAsia="仿宋_GB2312"/>
                <w:color w:val="000000"/>
                <w:kern w:val="0"/>
                <w:sz w:val="18"/>
                <w:szCs w:val="18"/>
              </w:rPr>
            </w:pPr>
            <w:r>
              <w:rPr>
                <w:rFonts w:eastAsia="仿宋_GB2312"/>
                <w:color w:val="000000"/>
                <w:kern w:val="0"/>
                <w:sz w:val="18"/>
                <w:szCs w:val="18"/>
              </w:rPr>
              <w:t>(50分)</w:t>
            </w: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4B7F782A">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数量指标</w:t>
            </w:r>
          </w:p>
        </w:tc>
        <w:tc>
          <w:tcPr>
            <w:tcW w:w="1357" w:type="dxa"/>
            <w:gridSpan w:val="2"/>
            <w:tcBorders>
              <w:top w:val="nil"/>
              <w:left w:val="nil"/>
              <w:bottom w:val="single" w:color="auto" w:sz="4" w:space="0"/>
              <w:right w:val="single" w:color="auto" w:sz="4" w:space="0"/>
            </w:tcBorders>
            <w:noWrap w:val="0"/>
            <w:vAlign w:val="center"/>
          </w:tcPr>
          <w:p w14:paraId="061BF56D">
            <w:pPr>
              <w:spacing w:line="240" w:lineRule="exact"/>
              <w:jc w:val="left"/>
              <w:rPr>
                <w:rFonts w:eastAsia="仿宋_GB2312"/>
                <w:color w:val="000000"/>
                <w:kern w:val="0"/>
                <w:sz w:val="18"/>
                <w:szCs w:val="18"/>
              </w:rPr>
            </w:pPr>
            <w:r>
              <w:rPr>
                <w:rFonts w:hint="eastAsia" w:eastAsia="仿宋_GB2312"/>
                <w:color w:val="000000"/>
                <w:kern w:val="0"/>
                <w:sz w:val="18"/>
                <w:szCs w:val="18"/>
              </w:rPr>
              <w:t>在职人员数</w:t>
            </w:r>
          </w:p>
        </w:tc>
        <w:tc>
          <w:tcPr>
            <w:tcW w:w="1077" w:type="dxa"/>
            <w:tcBorders>
              <w:top w:val="nil"/>
              <w:left w:val="nil"/>
              <w:bottom w:val="single" w:color="auto" w:sz="4" w:space="0"/>
              <w:right w:val="single" w:color="auto" w:sz="4" w:space="0"/>
            </w:tcBorders>
            <w:noWrap w:val="0"/>
            <w:vAlign w:val="center"/>
          </w:tcPr>
          <w:p w14:paraId="4F58FDE8">
            <w:pPr>
              <w:spacing w:line="240" w:lineRule="exact"/>
              <w:jc w:val="left"/>
              <w:rPr>
                <w:rFonts w:hint="default" w:eastAsia="仿宋_GB2312"/>
                <w:color w:val="000000"/>
                <w:kern w:val="0"/>
                <w:sz w:val="18"/>
                <w:szCs w:val="18"/>
                <w:lang w:val="en-US"/>
              </w:rPr>
            </w:pPr>
            <w:r>
              <w:rPr>
                <w:rFonts w:hint="eastAsia" w:eastAsia="仿宋_GB2312"/>
                <w:color w:val="000000"/>
                <w:kern w:val="0"/>
                <w:sz w:val="18"/>
                <w:szCs w:val="18"/>
                <w:lang w:val="en-US" w:eastAsia="zh-CN"/>
              </w:rPr>
              <w:t>&lt;100人</w:t>
            </w:r>
          </w:p>
        </w:tc>
        <w:tc>
          <w:tcPr>
            <w:tcW w:w="1146" w:type="dxa"/>
            <w:tcBorders>
              <w:top w:val="nil"/>
              <w:left w:val="nil"/>
              <w:bottom w:val="single" w:color="auto" w:sz="4" w:space="0"/>
              <w:right w:val="single" w:color="auto" w:sz="4" w:space="0"/>
            </w:tcBorders>
            <w:noWrap w:val="0"/>
            <w:vAlign w:val="center"/>
          </w:tcPr>
          <w:p w14:paraId="7FA94734">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100人</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1DE4F526">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val="en-US" w:eastAsia="zh-CN"/>
              </w:rPr>
              <w:t>6</w:t>
            </w:r>
          </w:p>
        </w:tc>
        <w:tc>
          <w:tcPr>
            <w:tcW w:w="890" w:type="dxa"/>
            <w:tcBorders>
              <w:top w:val="nil"/>
              <w:left w:val="nil"/>
              <w:bottom w:val="single" w:color="auto" w:sz="4" w:space="0"/>
              <w:right w:val="single" w:color="auto" w:sz="4" w:space="0"/>
            </w:tcBorders>
            <w:noWrap w:val="0"/>
            <w:vAlign w:val="center"/>
          </w:tcPr>
          <w:p w14:paraId="1BF5521B">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p>
        </w:tc>
        <w:tc>
          <w:tcPr>
            <w:tcW w:w="1223" w:type="dxa"/>
            <w:tcBorders>
              <w:top w:val="nil"/>
              <w:left w:val="nil"/>
              <w:bottom w:val="single" w:color="auto" w:sz="4" w:space="0"/>
              <w:right w:val="single" w:color="auto" w:sz="4" w:space="0"/>
            </w:tcBorders>
            <w:noWrap w:val="0"/>
            <w:vAlign w:val="center"/>
          </w:tcPr>
          <w:p w14:paraId="0C5A7169">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4A7B1C3D">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29D8433F">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285189C">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137BFC72">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5D43FA25">
            <w:pPr>
              <w:spacing w:line="240" w:lineRule="exact"/>
              <w:jc w:val="left"/>
              <w:rPr>
                <w:rFonts w:eastAsia="仿宋_GB2312"/>
                <w:color w:val="000000"/>
                <w:kern w:val="0"/>
                <w:sz w:val="18"/>
                <w:szCs w:val="18"/>
              </w:rPr>
            </w:pPr>
            <w:r>
              <w:rPr>
                <w:rFonts w:hint="eastAsia" w:eastAsia="仿宋_GB2312"/>
                <w:color w:val="000000"/>
                <w:kern w:val="0"/>
                <w:sz w:val="18"/>
                <w:szCs w:val="18"/>
              </w:rPr>
              <w:t>举办计人员业务培训次数</w:t>
            </w:r>
          </w:p>
        </w:tc>
        <w:tc>
          <w:tcPr>
            <w:tcW w:w="1077" w:type="dxa"/>
            <w:tcBorders>
              <w:top w:val="nil"/>
              <w:left w:val="nil"/>
              <w:bottom w:val="single" w:color="auto" w:sz="4" w:space="0"/>
              <w:right w:val="single" w:color="auto" w:sz="4" w:space="0"/>
            </w:tcBorders>
            <w:noWrap w:val="0"/>
            <w:vAlign w:val="center"/>
          </w:tcPr>
          <w:p w14:paraId="4DBF3BBD">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&gt;2次</w:t>
            </w:r>
          </w:p>
        </w:tc>
        <w:tc>
          <w:tcPr>
            <w:tcW w:w="1146" w:type="dxa"/>
            <w:tcBorders>
              <w:top w:val="nil"/>
              <w:left w:val="nil"/>
              <w:bottom w:val="single" w:color="auto" w:sz="4" w:space="0"/>
              <w:right w:val="single" w:color="auto" w:sz="4" w:space="0"/>
            </w:tcBorders>
            <w:noWrap w:val="0"/>
            <w:vAlign w:val="center"/>
          </w:tcPr>
          <w:p w14:paraId="36927CC7">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2次</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73A42534">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p>
        </w:tc>
        <w:tc>
          <w:tcPr>
            <w:tcW w:w="890" w:type="dxa"/>
            <w:tcBorders>
              <w:top w:val="nil"/>
              <w:left w:val="nil"/>
              <w:bottom w:val="single" w:color="auto" w:sz="4" w:space="0"/>
              <w:right w:val="single" w:color="auto" w:sz="4" w:space="0"/>
            </w:tcBorders>
            <w:noWrap w:val="0"/>
            <w:vAlign w:val="center"/>
          </w:tcPr>
          <w:p w14:paraId="682CE147">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p>
        </w:tc>
        <w:tc>
          <w:tcPr>
            <w:tcW w:w="1223" w:type="dxa"/>
            <w:tcBorders>
              <w:top w:val="nil"/>
              <w:left w:val="nil"/>
              <w:bottom w:val="single" w:color="auto" w:sz="4" w:space="0"/>
              <w:right w:val="single" w:color="auto" w:sz="4" w:space="0"/>
            </w:tcBorders>
            <w:noWrap w:val="0"/>
            <w:vAlign w:val="center"/>
          </w:tcPr>
          <w:p w14:paraId="3C7E93CB">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0C4ED3C3">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36A2C6CD">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0986224">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137AC2EC">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质量指标</w:t>
            </w:r>
          </w:p>
        </w:tc>
        <w:tc>
          <w:tcPr>
            <w:tcW w:w="1357" w:type="dxa"/>
            <w:gridSpan w:val="2"/>
            <w:tcBorders>
              <w:top w:val="nil"/>
              <w:left w:val="nil"/>
              <w:bottom w:val="single" w:color="auto" w:sz="4" w:space="0"/>
              <w:right w:val="single" w:color="auto" w:sz="4" w:space="0"/>
            </w:tcBorders>
            <w:noWrap w:val="0"/>
            <w:vAlign w:val="center"/>
          </w:tcPr>
          <w:p w14:paraId="54F02FED">
            <w:pPr>
              <w:spacing w:line="240" w:lineRule="exact"/>
              <w:jc w:val="left"/>
              <w:rPr>
                <w:rFonts w:eastAsia="仿宋_GB2312"/>
                <w:color w:val="000000"/>
                <w:kern w:val="0"/>
                <w:sz w:val="18"/>
                <w:szCs w:val="18"/>
              </w:rPr>
            </w:pPr>
            <w:r>
              <w:rPr>
                <w:rFonts w:hint="eastAsia" w:eastAsia="仿宋_GB2312"/>
                <w:color w:val="000000"/>
                <w:kern w:val="0"/>
                <w:sz w:val="18"/>
                <w:szCs w:val="18"/>
              </w:rPr>
              <w:t>重点工作办结率</w:t>
            </w:r>
          </w:p>
        </w:tc>
        <w:tc>
          <w:tcPr>
            <w:tcW w:w="1077" w:type="dxa"/>
            <w:tcBorders>
              <w:top w:val="nil"/>
              <w:left w:val="nil"/>
              <w:bottom w:val="single" w:color="auto" w:sz="4" w:space="0"/>
              <w:right w:val="single" w:color="auto" w:sz="4" w:space="0"/>
            </w:tcBorders>
            <w:noWrap w:val="0"/>
            <w:vAlign w:val="center"/>
          </w:tcPr>
          <w:p w14:paraId="293BB9E5">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&gt;95%</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5F08951C">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96%</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2369D3E2">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p>
        </w:tc>
        <w:tc>
          <w:tcPr>
            <w:tcW w:w="890" w:type="dxa"/>
            <w:tcBorders>
              <w:top w:val="nil"/>
              <w:left w:val="nil"/>
              <w:bottom w:val="single" w:color="auto" w:sz="4" w:space="0"/>
              <w:right w:val="single" w:color="auto" w:sz="4" w:space="0"/>
            </w:tcBorders>
            <w:noWrap w:val="0"/>
            <w:vAlign w:val="center"/>
          </w:tcPr>
          <w:p w14:paraId="5A9B0BC3">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p>
        </w:tc>
        <w:tc>
          <w:tcPr>
            <w:tcW w:w="1223" w:type="dxa"/>
            <w:tcBorders>
              <w:top w:val="nil"/>
              <w:left w:val="nil"/>
              <w:bottom w:val="single" w:color="auto" w:sz="4" w:space="0"/>
              <w:right w:val="single" w:color="auto" w:sz="4" w:space="0"/>
            </w:tcBorders>
            <w:noWrap w:val="0"/>
            <w:vAlign w:val="center"/>
          </w:tcPr>
          <w:p w14:paraId="57319B03">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3D7FB4DB">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098FE386">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9480156">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2E95364A">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3258DF61">
            <w:pPr>
              <w:spacing w:line="240" w:lineRule="exact"/>
              <w:jc w:val="left"/>
              <w:rPr>
                <w:rFonts w:eastAsia="仿宋_GB2312"/>
                <w:color w:val="000000"/>
                <w:kern w:val="0"/>
                <w:sz w:val="18"/>
                <w:szCs w:val="18"/>
              </w:rPr>
            </w:pPr>
            <w:r>
              <w:rPr>
                <w:rFonts w:hint="eastAsia" w:eastAsia="仿宋_GB2312"/>
                <w:color w:val="000000"/>
                <w:kern w:val="0"/>
                <w:sz w:val="18"/>
                <w:szCs w:val="18"/>
              </w:rPr>
              <w:t>财政专项检查通过率</w:t>
            </w:r>
          </w:p>
        </w:tc>
        <w:tc>
          <w:tcPr>
            <w:tcW w:w="1077" w:type="dxa"/>
            <w:tcBorders>
              <w:top w:val="nil"/>
              <w:left w:val="nil"/>
              <w:bottom w:val="single" w:color="auto" w:sz="4" w:space="0"/>
              <w:right w:val="single" w:color="auto" w:sz="4" w:space="0"/>
            </w:tcBorders>
            <w:noWrap w:val="0"/>
            <w:vAlign w:val="center"/>
          </w:tcPr>
          <w:p w14:paraId="22AB79DA">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&gt;95%</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19FDDF7B">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96%</w:t>
            </w:r>
          </w:p>
        </w:tc>
        <w:tc>
          <w:tcPr>
            <w:tcW w:w="636" w:type="dxa"/>
            <w:tcBorders>
              <w:top w:val="nil"/>
              <w:left w:val="nil"/>
              <w:bottom w:val="single" w:color="auto" w:sz="4" w:space="0"/>
              <w:right w:val="single" w:color="auto" w:sz="4" w:space="0"/>
            </w:tcBorders>
            <w:noWrap w:val="0"/>
            <w:vAlign w:val="center"/>
          </w:tcPr>
          <w:p w14:paraId="77F363BA">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p>
        </w:tc>
        <w:tc>
          <w:tcPr>
            <w:tcW w:w="890" w:type="dxa"/>
            <w:tcBorders>
              <w:top w:val="nil"/>
              <w:left w:val="nil"/>
              <w:bottom w:val="single" w:color="auto" w:sz="4" w:space="0"/>
              <w:right w:val="single" w:color="auto" w:sz="4" w:space="0"/>
            </w:tcBorders>
            <w:noWrap w:val="0"/>
            <w:vAlign w:val="center"/>
          </w:tcPr>
          <w:p w14:paraId="36A7ABAB">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p>
        </w:tc>
        <w:tc>
          <w:tcPr>
            <w:tcW w:w="1223" w:type="dxa"/>
            <w:tcBorders>
              <w:top w:val="nil"/>
              <w:left w:val="nil"/>
              <w:bottom w:val="single" w:color="auto" w:sz="4" w:space="0"/>
              <w:right w:val="single" w:color="auto" w:sz="4" w:space="0"/>
            </w:tcBorders>
            <w:noWrap w:val="0"/>
            <w:vAlign w:val="center"/>
          </w:tcPr>
          <w:p w14:paraId="5E73888B">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12AB227D">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8A6605D">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6E3B171F">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204365F0">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59764A8F">
            <w:pPr>
              <w:spacing w:line="240" w:lineRule="exact"/>
              <w:jc w:val="left"/>
              <w:rPr>
                <w:rFonts w:eastAsia="仿宋_GB2312"/>
                <w:color w:val="000000"/>
                <w:kern w:val="0"/>
                <w:sz w:val="18"/>
                <w:szCs w:val="18"/>
              </w:rPr>
            </w:pPr>
            <w:r>
              <w:rPr>
                <w:rFonts w:hint="eastAsia" w:eastAsia="仿宋_GB2312"/>
                <w:color w:val="000000"/>
                <w:kern w:val="0"/>
                <w:sz w:val="18"/>
                <w:szCs w:val="18"/>
              </w:rPr>
              <w:t>财政供养人员控制率</w:t>
            </w:r>
          </w:p>
        </w:tc>
        <w:tc>
          <w:tcPr>
            <w:tcW w:w="1077" w:type="dxa"/>
            <w:tcBorders>
              <w:top w:val="nil"/>
              <w:left w:val="nil"/>
              <w:bottom w:val="single" w:color="auto" w:sz="4" w:space="0"/>
              <w:right w:val="single" w:color="auto" w:sz="4" w:space="0"/>
            </w:tcBorders>
            <w:noWrap w:val="0"/>
            <w:vAlign w:val="center"/>
          </w:tcPr>
          <w:p w14:paraId="036C406D">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&gt;95%</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4C8A19C4">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96%</w:t>
            </w:r>
          </w:p>
        </w:tc>
        <w:tc>
          <w:tcPr>
            <w:tcW w:w="636" w:type="dxa"/>
            <w:tcBorders>
              <w:top w:val="nil"/>
              <w:left w:val="nil"/>
              <w:bottom w:val="single" w:color="auto" w:sz="4" w:space="0"/>
              <w:right w:val="single" w:color="auto" w:sz="4" w:space="0"/>
            </w:tcBorders>
            <w:noWrap w:val="0"/>
            <w:vAlign w:val="center"/>
          </w:tcPr>
          <w:p w14:paraId="0E18EEE2">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p>
        </w:tc>
        <w:tc>
          <w:tcPr>
            <w:tcW w:w="890" w:type="dxa"/>
            <w:tcBorders>
              <w:top w:val="nil"/>
              <w:left w:val="nil"/>
              <w:bottom w:val="single" w:color="auto" w:sz="4" w:space="0"/>
              <w:right w:val="single" w:color="auto" w:sz="4" w:space="0"/>
            </w:tcBorders>
            <w:noWrap w:val="0"/>
            <w:vAlign w:val="center"/>
          </w:tcPr>
          <w:p w14:paraId="5493DDA7">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p>
        </w:tc>
        <w:tc>
          <w:tcPr>
            <w:tcW w:w="1223" w:type="dxa"/>
            <w:tcBorders>
              <w:top w:val="nil"/>
              <w:left w:val="nil"/>
              <w:bottom w:val="single" w:color="auto" w:sz="4" w:space="0"/>
              <w:right w:val="single" w:color="auto" w:sz="4" w:space="0"/>
            </w:tcBorders>
            <w:noWrap w:val="0"/>
            <w:vAlign w:val="center"/>
          </w:tcPr>
          <w:p w14:paraId="179C46A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50D452C9">
        <w:tblPrEx>
          <w:tblCellMar>
            <w:top w:w="0" w:type="dxa"/>
            <w:left w:w="108" w:type="dxa"/>
            <w:bottom w:w="0" w:type="dxa"/>
            <w:right w:w="108" w:type="dxa"/>
          </w:tblCellMar>
        </w:tblPrEx>
        <w:trPr>
          <w:trHeight w:val="404" w:hRule="atLeast"/>
          <w:jc w:val="center"/>
        </w:trPr>
        <w:tc>
          <w:tcPr>
            <w:tcW w:w="969" w:type="dxa"/>
            <w:vMerge w:val="continue"/>
            <w:tcBorders>
              <w:left w:val="single" w:color="auto" w:sz="4" w:space="0"/>
              <w:right w:val="single" w:color="auto" w:sz="4" w:space="0"/>
            </w:tcBorders>
            <w:noWrap w:val="0"/>
            <w:vAlign w:val="center"/>
          </w:tcPr>
          <w:p w14:paraId="4E75A696">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2EE639DE">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392D50DE">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时效指标</w:t>
            </w:r>
          </w:p>
        </w:tc>
        <w:tc>
          <w:tcPr>
            <w:tcW w:w="1357" w:type="dxa"/>
            <w:gridSpan w:val="2"/>
            <w:tcBorders>
              <w:top w:val="nil"/>
              <w:left w:val="nil"/>
              <w:bottom w:val="single" w:color="auto" w:sz="4" w:space="0"/>
              <w:right w:val="single" w:color="auto" w:sz="4" w:space="0"/>
            </w:tcBorders>
            <w:noWrap w:val="0"/>
            <w:vAlign w:val="center"/>
          </w:tcPr>
          <w:p w14:paraId="65EF30CC">
            <w:pPr>
              <w:spacing w:line="240" w:lineRule="exact"/>
              <w:jc w:val="left"/>
              <w:rPr>
                <w:rFonts w:eastAsia="仿宋_GB2312"/>
                <w:color w:val="000000"/>
                <w:kern w:val="0"/>
                <w:sz w:val="18"/>
                <w:szCs w:val="18"/>
              </w:rPr>
            </w:pPr>
            <w:r>
              <w:rPr>
                <w:rFonts w:hint="eastAsia" w:eastAsia="仿宋_GB2312"/>
                <w:color w:val="000000"/>
                <w:kern w:val="0"/>
                <w:sz w:val="18"/>
                <w:szCs w:val="18"/>
              </w:rPr>
              <w:t>验收及时率</w:t>
            </w:r>
          </w:p>
        </w:tc>
        <w:tc>
          <w:tcPr>
            <w:tcW w:w="1077" w:type="dxa"/>
            <w:tcBorders>
              <w:top w:val="nil"/>
              <w:left w:val="nil"/>
              <w:bottom w:val="single" w:color="auto" w:sz="4" w:space="0"/>
              <w:right w:val="single" w:color="auto" w:sz="4" w:space="0"/>
            </w:tcBorders>
            <w:noWrap w:val="0"/>
            <w:vAlign w:val="center"/>
          </w:tcPr>
          <w:p w14:paraId="121A6938">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100%</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5765DC77">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313BD9E2">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7</w:t>
            </w:r>
          </w:p>
        </w:tc>
        <w:tc>
          <w:tcPr>
            <w:tcW w:w="890" w:type="dxa"/>
            <w:tcBorders>
              <w:top w:val="nil"/>
              <w:left w:val="nil"/>
              <w:bottom w:val="single" w:color="auto" w:sz="4" w:space="0"/>
              <w:right w:val="single" w:color="auto" w:sz="4" w:space="0"/>
            </w:tcBorders>
            <w:noWrap w:val="0"/>
            <w:vAlign w:val="center"/>
          </w:tcPr>
          <w:p w14:paraId="53E27FB6">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7</w:t>
            </w:r>
          </w:p>
        </w:tc>
        <w:tc>
          <w:tcPr>
            <w:tcW w:w="1223" w:type="dxa"/>
            <w:tcBorders>
              <w:top w:val="nil"/>
              <w:left w:val="nil"/>
              <w:bottom w:val="single" w:color="auto" w:sz="4" w:space="0"/>
              <w:right w:val="single" w:color="auto" w:sz="4" w:space="0"/>
            </w:tcBorders>
            <w:noWrap w:val="0"/>
            <w:vAlign w:val="center"/>
          </w:tcPr>
          <w:p w14:paraId="7E77A4D6">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10B95E34">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F58F796">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6876404F">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3E0D566A">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5D853D29">
            <w:pPr>
              <w:spacing w:line="240" w:lineRule="exact"/>
              <w:jc w:val="left"/>
              <w:rPr>
                <w:rFonts w:eastAsia="仿宋_GB2312"/>
                <w:color w:val="000000"/>
                <w:kern w:val="0"/>
                <w:sz w:val="18"/>
                <w:szCs w:val="18"/>
              </w:rPr>
            </w:pPr>
            <w:r>
              <w:rPr>
                <w:rFonts w:hint="eastAsia" w:eastAsia="仿宋_GB2312"/>
                <w:color w:val="000000"/>
                <w:kern w:val="0"/>
                <w:sz w:val="18"/>
                <w:szCs w:val="18"/>
              </w:rPr>
              <w:t>财政评审及时率</w:t>
            </w:r>
          </w:p>
        </w:tc>
        <w:tc>
          <w:tcPr>
            <w:tcW w:w="1077" w:type="dxa"/>
            <w:tcBorders>
              <w:top w:val="nil"/>
              <w:left w:val="nil"/>
              <w:bottom w:val="single" w:color="auto" w:sz="4" w:space="0"/>
              <w:right w:val="single" w:color="auto" w:sz="4" w:space="0"/>
            </w:tcBorders>
            <w:noWrap w:val="0"/>
            <w:vAlign w:val="center"/>
          </w:tcPr>
          <w:p w14:paraId="5B0F9B17">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100%</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6791A3B7">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100%</w:t>
            </w:r>
          </w:p>
        </w:tc>
        <w:tc>
          <w:tcPr>
            <w:tcW w:w="636" w:type="dxa"/>
            <w:tcBorders>
              <w:top w:val="nil"/>
              <w:left w:val="nil"/>
              <w:bottom w:val="single" w:color="auto" w:sz="4" w:space="0"/>
              <w:right w:val="single" w:color="auto" w:sz="4" w:space="0"/>
            </w:tcBorders>
            <w:noWrap w:val="0"/>
            <w:vAlign w:val="center"/>
          </w:tcPr>
          <w:p w14:paraId="74511511">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7</w:t>
            </w:r>
          </w:p>
        </w:tc>
        <w:tc>
          <w:tcPr>
            <w:tcW w:w="890" w:type="dxa"/>
            <w:tcBorders>
              <w:top w:val="nil"/>
              <w:left w:val="nil"/>
              <w:bottom w:val="single" w:color="auto" w:sz="4" w:space="0"/>
              <w:right w:val="single" w:color="auto" w:sz="4" w:space="0"/>
            </w:tcBorders>
            <w:noWrap w:val="0"/>
            <w:vAlign w:val="center"/>
          </w:tcPr>
          <w:p w14:paraId="24712176">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7</w:t>
            </w:r>
          </w:p>
        </w:tc>
        <w:tc>
          <w:tcPr>
            <w:tcW w:w="1223" w:type="dxa"/>
            <w:tcBorders>
              <w:top w:val="nil"/>
              <w:left w:val="nil"/>
              <w:bottom w:val="single" w:color="auto" w:sz="4" w:space="0"/>
              <w:right w:val="single" w:color="auto" w:sz="4" w:space="0"/>
            </w:tcBorders>
            <w:noWrap w:val="0"/>
            <w:vAlign w:val="center"/>
          </w:tcPr>
          <w:p w14:paraId="0C0D6C02">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4001B613">
        <w:tblPrEx>
          <w:tblCellMar>
            <w:top w:w="0" w:type="dxa"/>
            <w:left w:w="108" w:type="dxa"/>
            <w:bottom w:w="0" w:type="dxa"/>
            <w:right w:w="108" w:type="dxa"/>
          </w:tblCellMar>
        </w:tblPrEx>
        <w:trPr>
          <w:trHeight w:val="610" w:hRule="atLeast"/>
          <w:jc w:val="center"/>
        </w:trPr>
        <w:tc>
          <w:tcPr>
            <w:tcW w:w="969" w:type="dxa"/>
            <w:vMerge w:val="continue"/>
            <w:tcBorders>
              <w:left w:val="single" w:color="auto" w:sz="4" w:space="0"/>
              <w:right w:val="single" w:color="auto" w:sz="4" w:space="0"/>
            </w:tcBorders>
            <w:noWrap w:val="0"/>
            <w:vAlign w:val="center"/>
          </w:tcPr>
          <w:p w14:paraId="47C335D8">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B679C89">
            <w:pPr>
              <w:spacing w:line="240" w:lineRule="exact"/>
              <w:ind w:firstLine="360"/>
              <w:jc w:val="left"/>
              <w:rPr>
                <w:rFonts w:eastAsia="仿宋_GB2312"/>
                <w:color w:val="000000"/>
                <w:kern w:val="0"/>
                <w:sz w:val="18"/>
                <w:szCs w:val="18"/>
              </w:rPr>
            </w:pPr>
          </w:p>
        </w:tc>
        <w:tc>
          <w:tcPr>
            <w:tcW w:w="712" w:type="dxa"/>
            <w:tcBorders>
              <w:top w:val="nil"/>
              <w:left w:val="nil"/>
              <w:right w:val="single" w:color="auto" w:sz="4" w:space="0"/>
            </w:tcBorders>
            <w:noWrap w:val="0"/>
            <w:tcMar>
              <w:top w:w="0" w:type="dxa"/>
              <w:left w:w="0" w:type="dxa"/>
              <w:bottom w:w="0" w:type="dxa"/>
              <w:right w:w="0" w:type="dxa"/>
            </w:tcMar>
            <w:vAlign w:val="center"/>
          </w:tcPr>
          <w:p w14:paraId="359A93C1">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成本指标</w:t>
            </w:r>
          </w:p>
        </w:tc>
        <w:tc>
          <w:tcPr>
            <w:tcW w:w="1357" w:type="dxa"/>
            <w:gridSpan w:val="2"/>
            <w:tcBorders>
              <w:top w:val="nil"/>
              <w:left w:val="nil"/>
              <w:bottom w:val="single" w:color="auto" w:sz="4" w:space="0"/>
              <w:right w:val="single" w:color="auto" w:sz="4" w:space="0"/>
            </w:tcBorders>
            <w:noWrap w:val="0"/>
            <w:vAlign w:val="center"/>
          </w:tcPr>
          <w:p w14:paraId="7A571129">
            <w:pPr>
              <w:spacing w:line="240" w:lineRule="exact"/>
              <w:jc w:val="left"/>
              <w:rPr>
                <w:rFonts w:eastAsia="仿宋_GB2312"/>
                <w:color w:val="000000"/>
                <w:kern w:val="0"/>
                <w:sz w:val="18"/>
                <w:szCs w:val="18"/>
              </w:rPr>
            </w:pPr>
            <w:r>
              <w:rPr>
                <w:rFonts w:hint="eastAsia" w:eastAsia="仿宋_GB2312"/>
                <w:color w:val="000000"/>
                <w:kern w:val="0"/>
                <w:sz w:val="18"/>
                <w:szCs w:val="18"/>
              </w:rPr>
              <w:t>部门预算支出金额</w:t>
            </w:r>
          </w:p>
        </w:tc>
        <w:tc>
          <w:tcPr>
            <w:tcW w:w="1077" w:type="dxa"/>
            <w:tcBorders>
              <w:top w:val="nil"/>
              <w:left w:val="nil"/>
              <w:bottom w:val="single" w:color="auto" w:sz="4" w:space="0"/>
              <w:right w:val="single" w:color="auto" w:sz="4" w:space="0"/>
            </w:tcBorders>
            <w:noWrap w:val="0"/>
            <w:vAlign w:val="center"/>
          </w:tcPr>
          <w:p w14:paraId="4DD66261">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&lt;</w:t>
            </w:r>
            <w:r>
              <w:rPr>
                <w:rFonts w:hint="eastAsia" w:eastAsia="仿宋_GB2312"/>
                <w:sz w:val="18"/>
                <w:szCs w:val="18"/>
                <w:lang w:val="en-US" w:eastAsia="zh-CN"/>
              </w:rPr>
              <w:t>1273.23</w:t>
            </w:r>
            <w:r>
              <w:rPr>
                <w:rFonts w:hint="eastAsia" w:eastAsia="仿宋_GB2312"/>
                <w:color w:val="000000"/>
                <w:kern w:val="0"/>
                <w:sz w:val="18"/>
                <w:szCs w:val="18"/>
                <w:lang w:val="en-US" w:eastAsia="zh-CN"/>
              </w:rPr>
              <w:t>万元</w:t>
            </w:r>
          </w:p>
        </w:tc>
        <w:tc>
          <w:tcPr>
            <w:tcW w:w="1146" w:type="dxa"/>
            <w:tcBorders>
              <w:top w:val="nil"/>
              <w:left w:val="nil"/>
              <w:bottom w:val="single" w:color="auto" w:sz="4" w:space="0"/>
              <w:right w:val="single" w:color="auto" w:sz="4" w:space="0"/>
            </w:tcBorders>
            <w:noWrap w:val="0"/>
            <w:vAlign w:val="center"/>
          </w:tcPr>
          <w:p w14:paraId="2DA4196E">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2612.42万元</w:t>
            </w:r>
          </w:p>
        </w:tc>
        <w:tc>
          <w:tcPr>
            <w:tcW w:w="636" w:type="dxa"/>
            <w:tcBorders>
              <w:top w:val="nil"/>
              <w:left w:val="nil"/>
              <w:bottom w:val="single" w:color="auto" w:sz="4" w:space="0"/>
              <w:right w:val="single" w:color="auto" w:sz="4" w:space="0"/>
            </w:tcBorders>
            <w:noWrap w:val="0"/>
            <w:vAlign w:val="center"/>
          </w:tcPr>
          <w:p w14:paraId="349C55D9">
            <w:pPr>
              <w:spacing w:line="240" w:lineRule="exact"/>
              <w:jc w:val="left"/>
              <w:rPr>
                <w:rFonts w:hint="default" w:eastAsia="仿宋_GB2312"/>
                <w:color w:val="000000"/>
                <w:kern w:val="0"/>
                <w:sz w:val="18"/>
                <w:szCs w:val="18"/>
                <w:lang w:val="en-US"/>
              </w:rPr>
            </w:pPr>
            <w:r>
              <w:rPr>
                <w:rFonts w:hint="eastAsia" w:eastAsia="仿宋_GB2312"/>
                <w:color w:val="000000"/>
                <w:kern w:val="0"/>
                <w:sz w:val="18"/>
                <w:szCs w:val="18"/>
                <w:lang w:val="en-US" w:eastAsia="zh-CN"/>
              </w:rPr>
              <w:t>6</w:t>
            </w:r>
          </w:p>
        </w:tc>
        <w:tc>
          <w:tcPr>
            <w:tcW w:w="890" w:type="dxa"/>
            <w:tcBorders>
              <w:top w:val="nil"/>
              <w:left w:val="nil"/>
              <w:bottom w:val="single" w:color="auto" w:sz="4" w:space="0"/>
              <w:right w:val="single" w:color="auto" w:sz="4" w:space="0"/>
            </w:tcBorders>
            <w:noWrap w:val="0"/>
            <w:vAlign w:val="center"/>
          </w:tcPr>
          <w:p w14:paraId="26FA62BA">
            <w:pPr>
              <w:spacing w:line="240" w:lineRule="exact"/>
              <w:jc w:val="left"/>
              <w:rPr>
                <w:rFonts w:hint="default" w:eastAsia="仿宋_GB2312"/>
                <w:color w:val="000000"/>
                <w:kern w:val="0"/>
                <w:sz w:val="18"/>
                <w:szCs w:val="18"/>
                <w:lang w:val="en-US"/>
              </w:rPr>
            </w:pPr>
            <w:r>
              <w:rPr>
                <w:rFonts w:hint="eastAsia" w:eastAsia="仿宋_GB2312"/>
                <w:color w:val="000000"/>
                <w:kern w:val="0"/>
                <w:sz w:val="18"/>
                <w:szCs w:val="18"/>
                <w:lang w:val="en-US" w:eastAsia="zh-CN"/>
              </w:rPr>
              <w:t>6</w:t>
            </w:r>
          </w:p>
        </w:tc>
        <w:tc>
          <w:tcPr>
            <w:tcW w:w="1223" w:type="dxa"/>
            <w:tcBorders>
              <w:top w:val="nil"/>
              <w:left w:val="nil"/>
              <w:bottom w:val="single" w:color="auto" w:sz="4" w:space="0"/>
              <w:right w:val="single" w:color="auto" w:sz="4" w:space="0"/>
            </w:tcBorders>
            <w:noWrap w:val="0"/>
            <w:vAlign w:val="center"/>
          </w:tcPr>
          <w:p w14:paraId="5E382DDA">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0C7184BD">
        <w:tblPrEx>
          <w:tblCellMar>
            <w:top w:w="0" w:type="dxa"/>
            <w:left w:w="108" w:type="dxa"/>
            <w:bottom w:w="0" w:type="dxa"/>
            <w:right w:w="108" w:type="dxa"/>
          </w:tblCellMar>
        </w:tblPrEx>
        <w:trPr>
          <w:trHeight w:val="1480" w:hRule="atLeast"/>
          <w:jc w:val="center"/>
        </w:trPr>
        <w:tc>
          <w:tcPr>
            <w:tcW w:w="969" w:type="dxa"/>
            <w:vMerge w:val="continue"/>
            <w:tcBorders>
              <w:left w:val="single" w:color="auto" w:sz="4" w:space="0"/>
              <w:right w:val="single" w:color="auto" w:sz="4" w:space="0"/>
            </w:tcBorders>
            <w:noWrap w:val="0"/>
            <w:vAlign w:val="center"/>
          </w:tcPr>
          <w:p w14:paraId="792DCAF6">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7C58D95E">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效益指标</w:t>
            </w:r>
          </w:p>
          <w:p w14:paraId="293C86D8">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（30分）</w:t>
            </w: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534506CF">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经济效益指标</w:t>
            </w:r>
          </w:p>
        </w:tc>
        <w:tc>
          <w:tcPr>
            <w:tcW w:w="1357" w:type="dxa"/>
            <w:gridSpan w:val="2"/>
            <w:tcBorders>
              <w:top w:val="nil"/>
              <w:left w:val="nil"/>
              <w:bottom w:val="single" w:color="auto" w:sz="4" w:space="0"/>
              <w:right w:val="single" w:color="auto" w:sz="4" w:space="0"/>
            </w:tcBorders>
            <w:noWrap w:val="0"/>
            <w:vAlign w:val="center"/>
          </w:tcPr>
          <w:p w14:paraId="51EBF131">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为乡村振兴提供坚实财力支撑</w:t>
            </w:r>
          </w:p>
        </w:tc>
        <w:tc>
          <w:tcPr>
            <w:tcW w:w="1077" w:type="dxa"/>
            <w:tcBorders>
              <w:top w:val="nil"/>
              <w:left w:val="nil"/>
              <w:bottom w:val="single" w:color="auto" w:sz="4" w:space="0"/>
              <w:right w:val="single" w:color="auto" w:sz="4" w:space="0"/>
            </w:tcBorders>
            <w:noWrap w:val="0"/>
            <w:vAlign w:val="center"/>
          </w:tcPr>
          <w:p w14:paraId="34C95316">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有所帮助</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4A5A622B">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帮助到位</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5BCCA69D">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0968192C">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4C7703AD">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021B98A0">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7AD4066">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2079BEF9">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31C0D506">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35E68D60">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发扬艰苦奋斗精神，严控公用经费，力争把经费用好到到每一方面</w:t>
            </w:r>
          </w:p>
        </w:tc>
        <w:tc>
          <w:tcPr>
            <w:tcW w:w="1077" w:type="dxa"/>
            <w:tcBorders>
              <w:top w:val="nil"/>
              <w:left w:val="nil"/>
              <w:bottom w:val="single" w:color="auto" w:sz="4" w:space="0"/>
              <w:right w:val="single" w:color="auto" w:sz="4" w:space="0"/>
            </w:tcBorders>
            <w:noWrap w:val="0"/>
            <w:vAlign w:val="center"/>
          </w:tcPr>
          <w:p w14:paraId="061ED54C">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缩减经费</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2FAB044A">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有所缩减</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6296BB83">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1806A8B1">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0A8878BF">
            <w:pPr>
              <w:spacing w:line="240" w:lineRule="exact"/>
              <w:ind w:firstLine="360" w:firstLineChars="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05E87E30">
        <w:tblPrEx>
          <w:tblCellMar>
            <w:top w:w="0" w:type="dxa"/>
            <w:left w:w="108" w:type="dxa"/>
            <w:bottom w:w="0" w:type="dxa"/>
            <w:right w:w="108" w:type="dxa"/>
          </w:tblCellMar>
        </w:tblPrEx>
        <w:trPr>
          <w:trHeight w:val="708" w:hRule="atLeast"/>
          <w:jc w:val="center"/>
        </w:trPr>
        <w:tc>
          <w:tcPr>
            <w:tcW w:w="969" w:type="dxa"/>
            <w:vMerge w:val="continue"/>
            <w:tcBorders>
              <w:left w:val="single" w:color="auto" w:sz="4" w:space="0"/>
              <w:right w:val="single" w:color="auto" w:sz="4" w:space="0"/>
            </w:tcBorders>
            <w:noWrap w:val="0"/>
            <w:vAlign w:val="center"/>
          </w:tcPr>
          <w:p w14:paraId="4A24D329">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7714DDCF">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263AF96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社会</w:t>
            </w:r>
          </w:p>
          <w:p w14:paraId="2455621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效益</w:t>
            </w:r>
          </w:p>
          <w:p w14:paraId="6A978258">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noWrap w:val="0"/>
            <w:vAlign w:val="center"/>
          </w:tcPr>
          <w:p w14:paraId="67CAA293">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保障全县经济持续稳定发展</w:t>
            </w:r>
          </w:p>
        </w:tc>
        <w:tc>
          <w:tcPr>
            <w:tcW w:w="1077" w:type="dxa"/>
            <w:tcBorders>
              <w:top w:val="nil"/>
              <w:left w:val="nil"/>
              <w:bottom w:val="single" w:color="auto" w:sz="4" w:space="0"/>
              <w:right w:val="single" w:color="auto" w:sz="4" w:space="0"/>
            </w:tcBorders>
            <w:noWrap w:val="0"/>
            <w:vAlign w:val="center"/>
          </w:tcPr>
          <w:p w14:paraId="5E1E68C4">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落实到位</w:t>
            </w:r>
          </w:p>
        </w:tc>
        <w:tc>
          <w:tcPr>
            <w:tcW w:w="1146" w:type="dxa"/>
            <w:tcBorders>
              <w:top w:val="nil"/>
              <w:left w:val="nil"/>
              <w:bottom w:val="single" w:color="auto" w:sz="4" w:space="0"/>
              <w:right w:val="single" w:color="auto" w:sz="4" w:space="0"/>
            </w:tcBorders>
            <w:noWrap w:val="0"/>
            <w:vAlign w:val="center"/>
          </w:tcPr>
          <w:p w14:paraId="76683AA7">
            <w:pPr>
              <w:pStyle w:val="5"/>
              <w:rPr>
                <w:rFonts w:hint="eastAsia" w:eastAsia="仿宋_GB2312"/>
                <w:lang w:eastAsia="zh-CN"/>
              </w:rPr>
            </w:pPr>
            <w:r>
              <w:rPr>
                <w:rFonts w:hint="eastAsia" w:eastAsia="仿宋_GB2312"/>
                <w:color w:val="000000"/>
                <w:kern w:val="0"/>
                <w:sz w:val="18"/>
                <w:szCs w:val="18"/>
                <w:lang w:eastAsia="zh-CN"/>
              </w:rPr>
              <w:t>保障到位</w:t>
            </w:r>
          </w:p>
        </w:tc>
        <w:tc>
          <w:tcPr>
            <w:tcW w:w="636" w:type="dxa"/>
            <w:tcBorders>
              <w:top w:val="nil"/>
              <w:left w:val="nil"/>
              <w:bottom w:val="single" w:color="auto" w:sz="4" w:space="0"/>
              <w:right w:val="single" w:color="auto" w:sz="4" w:space="0"/>
            </w:tcBorders>
            <w:noWrap w:val="0"/>
            <w:vAlign w:val="center"/>
          </w:tcPr>
          <w:p w14:paraId="0C2637DC">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6DA643CA">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17025BBE">
            <w:pPr>
              <w:spacing w:line="240" w:lineRule="exact"/>
              <w:ind w:firstLine="360" w:firstLineChars="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2E0DC5B0">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65A5819">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61F4E859">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46EB7122">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16BB50F3">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全力保障基本支出，财力持续向民生领域倾斜，提升群众生活幸福感</w:t>
            </w:r>
          </w:p>
        </w:tc>
        <w:tc>
          <w:tcPr>
            <w:tcW w:w="1077" w:type="dxa"/>
            <w:tcBorders>
              <w:top w:val="nil"/>
              <w:left w:val="nil"/>
              <w:bottom w:val="single" w:color="auto" w:sz="4" w:space="0"/>
              <w:right w:val="single" w:color="auto" w:sz="4" w:space="0"/>
            </w:tcBorders>
            <w:noWrap w:val="0"/>
            <w:vAlign w:val="center"/>
          </w:tcPr>
          <w:p w14:paraId="46E7F985">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提升幸福感</w:t>
            </w:r>
          </w:p>
        </w:tc>
        <w:tc>
          <w:tcPr>
            <w:tcW w:w="1146" w:type="dxa"/>
            <w:tcBorders>
              <w:top w:val="nil"/>
              <w:left w:val="nil"/>
              <w:bottom w:val="single" w:color="auto" w:sz="4" w:space="0"/>
              <w:right w:val="single" w:color="auto" w:sz="4" w:space="0"/>
            </w:tcBorders>
            <w:noWrap w:val="0"/>
            <w:vAlign w:val="center"/>
          </w:tcPr>
          <w:p w14:paraId="0206C011">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有所提高</w:t>
            </w:r>
          </w:p>
        </w:tc>
        <w:tc>
          <w:tcPr>
            <w:tcW w:w="636" w:type="dxa"/>
            <w:tcBorders>
              <w:top w:val="nil"/>
              <w:left w:val="nil"/>
              <w:bottom w:val="single" w:color="auto" w:sz="4" w:space="0"/>
              <w:right w:val="single" w:color="auto" w:sz="4" w:space="0"/>
            </w:tcBorders>
            <w:noWrap w:val="0"/>
            <w:vAlign w:val="center"/>
          </w:tcPr>
          <w:p w14:paraId="41119A70">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7BB42399">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186210E9">
            <w:pPr>
              <w:spacing w:line="240" w:lineRule="exact"/>
              <w:ind w:firstLine="360" w:firstLineChars="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7AC505AF">
        <w:tblPrEx>
          <w:tblCellMar>
            <w:top w:w="0" w:type="dxa"/>
            <w:left w:w="108" w:type="dxa"/>
            <w:bottom w:w="0" w:type="dxa"/>
            <w:right w:w="108" w:type="dxa"/>
          </w:tblCellMar>
        </w:tblPrEx>
        <w:trPr>
          <w:trHeight w:val="735" w:hRule="atLeast"/>
          <w:jc w:val="center"/>
        </w:trPr>
        <w:tc>
          <w:tcPr>
            <w:tcW w:w="969" w:type="dxa"/>
            <w:vMerge w:val="continue"/>
            <w:tcBorders>
              <w:left w:val="single" w:color="auto" w:sz="4" w:space="0"/>
              <w:right w:val="single" w:color="auto" w:sz="4" w:space="0"/>
            </w:tcBorders>
            <w:noWrap w:val="0"/>
            <w:vAlign w:val="center"/>
          </w:tcPr>
          <w:p w14:paraId="5821695D">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A8C7AB5">
            <w:pPr>
              <w:spacing w:line="240" w:lineRule="exact"/>
              <w:ind w:firstLine="360"/>
              <w:jc w:val="left"/>
              <w:rPr>
                <w:rFonts w:eastAsia="仿宋_GB2312"/>
                <w:color w:val="000000"/>
                <w:kern w:val="0"/>
                <w:sz w:val="18"/>
                <w:szCs w:val="18"/>
              </w:rPr>
            </w:pPr>
          </w:p>
        </w:tc>
        <w:tc>
          <w:tcPr>
            <w:tcW w:w="712" w:type="dxa"/>
            <w:tcBorders>
              <w:top w:val="nil"/>
              <w:left w:val="nil"/>
              <w:right w:val="single" w:color="auto" w:sz="4" w:space="0"/>
            </w:tcBorders>
            <w:noWrap w:val="0"/>
            <w:tcMar>
              <w:top w:w="0" w:type="dxa"/>
              <w:left w:w="0" w:type="dxa"/>
              <w:bottom w:w="0" w:type="dxa"/>
              <w:right w:w="0" w:type="dxa"/>
            </w:tcMar>
            <w:vAlign w:val="center"/>
          </w:tcPr>
          <w:p w14:paraId="71A41625">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生态效益指标</w:t>
            </w:r>
          </w:p>
        </w:tc>
        <w:tc>
          <w:tcPr>
            <w:tcW w:w="1357" w:type="dxa"/>
            <w:gridSpan w:val="2"/>
            <w:tcBorders>
              <w:top w:val="nil"/>
              <w:left w:val="nil"/>
              <w:bottom w:val="single" w:color="auto" w:sz="4" w:space="0"/>
              <w:right w:val="single" w:color="auto" w:sz="4" w:space="0"/>
            </w:tcBorders>
            <w:noWrap w:val="0"/>
            <w:vAlign w:val="center"/>
          </w:tcPr>
          <w:p w14:paraId="5303316B">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开展创卫工作</w:t>
            </w:r>
          </w:p>
        </w:tc>
        <w:tc>
          <w:tcPr>
            <w:tcW w:w="1077" w:type="dxa"/>
            <w:tcBorders>
              <w:top w:val="nil"/>
              <w:left w:val="nil"/>
              <w:bottom w:val="single" w:color="auto" w:sz="4" w:space="0"/>
              <w:right w:val="single" w:color="auto" w:sz="4" w:space="0"/>
            </w:tcBorders>
            <w:noWrap w:val="0"/>
            <w:vAlign w:val="center"/>
          </w:tcPr>
          <w:p w14:paraId="32196EF7">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有成效</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43EBF1D6">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有</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10FE0290">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2BFD54EA">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05E52ECF">
            <w:pPr>
              <w:spacing w:line="240" w:lineRule="exact"/>
              <w:ind w:firstLine="360" w:firstLineChars="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7C7A75C6">
        <w:tblPrEx>
          <w:tblCellMar>
            <w:top w:w="0" w:type="dxa"/>
            <w:left w:w="108" w:type="dxa"/>
            <w:bottom w:w="0" w:type="dxa"/>
            <w:right w:w="108" w:type="dxa"/>
          </w:tblCellMar>
        </w:tblPrEx>
        <w:trPr>
          <w:trHeight w:val="265" w:hRule="atLeast"/>
          <w:jc w:val="center"/>
        </w:trPr>
        <w:tc>
          <w:tcPr>
            <w:tcW w:w="969" w:type="dxa"/>
            <w:vMerge w:val="restart"/>
            <w:tcBorders>
              <w:top w:val="single" w:color="auto" w:sz="4" w:space="0"/>
              <w:left w:val="single" w:color="auto" w:sz="4" w:space="0"/>
              <w:right w:val="single" w:color="auto" w:sz="4" w:space="0"/>
            </w:tcBorders>
            <w:noWrap w:val="0"/>
            <w:vAlign w:val="center"/>
          </w:tcPr>
          <w:p w14:paraId="1469CBFF">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0FBA3F18">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28176CED">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18630BFB">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vMerge w:val="restart"/>
            <w:tcBorders>
              <w:top w:val="single" w:color="auto" w:sz="4" w:space="0"/>
              <w:left w:val="single" w:color="auto" w:sz="4" w:space="0"/>
              <w:right w:val="single" w:color="auto" w:sz="4" w:space="0"/>
            </w:tcBorders>
            <w:noWrap w:val="0"/>
            <w:vAlign w:val="center"/>
          </w:tcPr>
          <w:p w14:paraId="6D3A753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12"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794EF25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可持续</w:t>
            </w:r>
          </w:p>
          <w:p w14:paraId="26C13FCA">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影响指标</w:t>
            </w: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14:paraId="4D9B371D">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加强财务、资产管理、提高资金利用率</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56C08D68">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有所提高</w:t>
            </w:r>
            <w:r>
              <w:rPr>
                <w:rFonts w:eastAsia="仿宋_GB2312"/>
                <w:color w:val="000000"/>
                <w:kern w:val="0"/>
                <w:sz w:val="18"/>
                <w:szCs w:val="18"/>
              </w:rPr>
              <w:t>　</w:t>
            </w:r>
          </w:p>
        </w:tc>
        <w:tc>
          <w:tcPr>
            <w:tcW w:w="1146" w:type="dxa"/>
            <w:tcBorders>
              <w:top w:val="single" w:color="auto" w:sz="4" w:space="0"/>
              <w:left w:val="single" w:color="auto" w:sz="4" w:space="0"/>
              <w:bottom w:val="single" w:color="auto" w:sz="4" w:space="0"/>
              <w:right w:val="single" w:color="auto" w:sz="4" w:space="0"/>
            </w:tcBorders>
            <w:noWrap w:val="0"/>
            <w:vAlign w:val="center"/>
          </w:tcPr>
          <w:p w14:paraId="4469CE95">
            <w:pPr>
              <w:spacing w:line="240" w:lineRule="exact"/>
              <w:ind w:firstLine="360"/>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有</w:t>
            </w:r>
          </w:p>
        </w:tc>
        <w:tc>
          <w:tcPr>
            <w:tcW w:w="636" w:type="dxa"/>
            <w:tcBorders>
              <w:top w:val="single" w:color="auto" w:sz="4" w:space="0"/>
              <w:left w:val="single" w:color="auto" w:sz="4" w:space="0"/>
              <w:bottom w:val="single" w:color="auto" w:sz="4" w:space="0"/>
              <w:right w:val="single" w:color="auto" w:sz="4" w:space="0"/>
            </w:tcBorders>
            <w:noWrap w:val="0"/>
            <w:vAlign w:val="center"/>
          </w:tcPr>
          <w:p w14:paraId="4E4A6CA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single" w:color="auto" w:sz="4" w:space="0"/>
              <w:left w:val="single" w:color="auto" w:sz="4" w:space="0"/>
              <w:bottom w:val="single" w:color="auto" w:sz="4" w:space="0"/>
              <w:right w:val="single" w:color="auto" w:sz="4" w:space="0"/>
            </w:tcBorders>
            <w:noWrap w:val="0"/>
            <w:vAlign w:val="center"/>
          </w:tcPr>
          <w:p w14:paraId="10874C2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44D31FF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499E39E">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right w:val="single" w:color="auto" w:sz="4" w:space="0"/>
            </w:tcBorders>
            <w:noWrap w:val="0"/>
            <w:vAlign w:val="center"/>
          </w:tcPr>
          <w:p w14:paraId="404D94FB">
            <w:pPr>
              <w:spacing w:line="240" w:lineRule="exact"/>
              <w:ind w:firstLine="360"/>
              <w:jc w:val="left"/>
              <w:rPr>
                <w:rFonts w:eastAsia="仿宋_GB2312"/>
                <w:color w:val="000000"/>
                <w:kern w:val="0"/>
                <w:sz w:val="18"/>
                <w:szCs w:val="18"/>
              </w:rPr>
            </w:pPr>
          </w:p>
        </w:tc>
        <w:tc>
          <w:tcPr>
            <w:tcW w:w="969" w:type="dxa"/>
            <w:vMerge w:val="continue"/>
            <w:tcBorders>
              <w:left w:val="single" w:color="auto" w:sz="4" w:space="0"/>
              <w:right w:val="single" w:color="auto" w:sz="4" w:space="0"/>
            </w:tcBorders>
            <w:noWrap w:val="0"/>
            <w:vAlign w:val="center"/>
          </w:tcPr>
          <w:p w14:paraId="1D75BB07">
            <w:pPr>
              <w:spacing w:line="240" w:lineRule="exact"/>
              <w:ind w:firstLine="360"/>
              <w:jc w:val="left"/>
              <w:rPr>
                <w:rFonts w:eastAsia="仿宋_GB2312"/>
                <w:color w:val="000000"/>
                <w:kern w:val="0"/>
                <w:sz w:val="18"/>
                <w:szCs w:val="18"/>
              </w:rPr>
            </w:pPr>
          </w:p>
        </w:tc>
        <w:tc>
          <w:tcPr>
            <w:tcW w:w="712" w:type="dxa"/>
            <w:vMerge w:val="continue"/>
            <w:tcBorders>
              <w:left w:val="single" w:color="auto" w:sz="4" w:space="0"/>
              <w:right w:val="single" w:color="auto" w:sz="4" w:space="0"/>
            </w:tcBorders>
            <w:noWrap w:val="0"/>
            <w:tcMar>
              <w:top w:w="0" w:type="dxa"/>
              <w:left w:w="0" w:type="dxa"/>
              <w:bottom w:w="0" w:type="dxa"/>
              <w:right w:w="0" w:type="dxa"/>
            </w:tcMar>
            <w:vAlign w:val="center"/>
          </w:tcPr>
          <w:p w14:paraId="75CDAA0B">
            <w:pPr>
              <w:spacing w:line="240" w:lineRule="exact"/>
              <w:ind w:firstLine="360"/>
              <w:jc w:val="center"/>
              <w:rPr>
                <w:rFonts w:eastAsia="仿宋_GB2312"/>
                <w:color w:val="000000"/>
                <w:kern w:val="0"/>
                <w:sz w:val="18"/>
                <w:szCs w:val="18"/>
              </w:rPr>
            </w:pPr>
          </w:p>
        </w:tc>
        <w:tc>
          <w:tcPr>
            <w:tcW w:w="1357" w:type="dxa"/>
            <w:gridSpan w:val="2"/>
            <w:tcBorders>
              <w:top w:val="single" w:color="auto" w:sz="4" w:space="0"/>
              <w:left w:val="nil"/>
              <w:bottom w:val="single" w:color="auto" w:sz="4" w:space="0"/>
              <w:right w:val="single" w:color="auto" w:sz="4" w:space="0"/>
            </w:tcBorders>
            <w:noWrap w:val="0"/>
            <w:vAlign w:val="center"/>
          </w:tcPr>
          <w:p w14:paraId="405D0F66">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全县经济健康发展发展和社会稳定提供坚实财力支撑</w:t>
            </w:r>
          </w:p>
        </w:tc>
        <w:tc>
          <w:tcPr>
            <w:tcW w:w="1077" w:type="dxa"/>
            <w:tcBorders>
              <w:top w:val="single" w:color="auto" w:sz="4" w:space="0"/>
              <w:left w:val="nil"/>
              <w:bottom w:val="single" w:color="auto" w:sz="4" w:space="0"/>
              <w:right w:val="single" w:color="auto" w:sz="4" w:space="0"/>
            </w:tcBorders>
            <w:noWrap w:val="0"/>
            <w:vAlign w:val="center"/>
          </w:tcPr>
          <w:p w14:paraId="0AB0A801">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影响长远</w:t>
            </w:r>
            <w:r>
              <w:rPr>
                <w:rFonts w:eastAsia="仿宋_GB2312"/>
                <w:color w:val="000000"/>
                <w:kern w:val="0"/>
                <w:sz w:val="18"/>
                <w:szCs w:val="18"/>
              </w:rPr>
              <w:t>　</w:t>
            </w:r>
          </w:p>
        </w:tc>
        <w:tc>
          <w:tcPr>
            <w:tcW w:w="1146" w:type="dxa"/>
            <w:tcBorders>
              <w:top w:val="single" w:color="auto" w:sz="4" w:space="0"/>
              <w:left w:val="nil"/>
              <w:bottom w:val="single" w:color="auto" w:sz="4" w:space="0"/>
              <w:right w:val="single" w:color="auto" w:sz="4" w:space="0"/>
            </w:tcBorders>
            <w:noWrap w:val="0"/>
            <w:vAlign w:val="center"/>
          </w:tcPr>
          <w:p w14:paraId="45671E48">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始终坚持</w:t>
            </w:r>
          </w:p>
        </w:tc>
        <w:tc>
          <w:tcPr>
            <w:tcW w:w="636" w:type="dxa"/>
            <w:tcBorders>
              <w:top w:val="single" w:color="auto" w:sz="4" w:space="0"/>
              <w:left w:val="nil"/>
              <w:bottom w:val="single" w:color="auto" w:sz="4" w:space="0"/>
              <w:right w:val="single" w:color="auto" w:sz="4" w:space="0"/>
            </w:tcBorders>
            <w:noWrap w:val="0"/>
            <w:vAlign w:val="center"/>
          </w:tcPr>
          <w:p w14:paraId="732614E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890" w:type="dxa"/>
            <w:tcBorders>
              <w:top w:val="single" w:color="auto" w:sz="4" w:space="0"/>
              <w:left w:val="nil"/>
              <w:bottom w:val="single" w:color="auto" w:sz="4" w:space="0"/>
              <w:right w:val="single" w:color="auto" w:sz="4" w:space="0"/>
            </w:tcBorders>
            <w:noWrap w:val="0"/>
            <w:vAlign w:val="center"/>
          </w:tcPr>
          <w:p w14:paraId="4AB4987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1223" w:type="dxa"/>
            <w:tcBorders>
              <w:top w:val="single" w:color="auto" w:sz="4" w:space="0"/>
              <w:left w:val="nil"/>
              <w:bottom w:val="single" w:color="auto" w:sz="4" w:space="0"/>
              <w:right w:val="single" w:color="auto" w:sz="4" w:space="0"/>
            </w:tcBorders>
            <w:noWrap w:val="0"/>
            <w:vAlign w:val="center"/>
          </w:tcPr>
          <w:p w14:paraId="55EDC5BC">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68EF3FC">
        <w:tblPrEx>
          <w:tblCellMar>
            <w:top w:w="0" w:type="dxa"/>
            <w:left w:w="108" w:type="dxa"/>
            <w:bottom w:w="0" w:type="dxa"/>
            <w:right w:w="108" w:type="dxa"/>
          </w:tblCellMar>
        </w:tblPrEx>
        <w:trPr>
          <w:trHeight w:val="267" w:hRule="atLeast"/>
          <w:jc w:val="center"/>
        </w:trPr>
        <w:tc>
          <w:tcPr>
            <w:tcW w:w="969" w:type="dxa"/>
            <w:vMerge w:val="continue"/>
            <w:tcBorders>
              <w:left w:val="single" w:color="auto" w:sz="4" w:space="0"/>
              <w:right w:val="single" w:color="auto" w:sz="4" w:space="0"/>
            </w:tcBorders>
            <w:noWrap w:val="0"/>
            <w:vAlign w:val="center"/>
          </w:tcPr>
          <w:p w14:paraId="3323FAF8">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5A723DEF">
            <w:pPr>
              <w:spacing w:line="240" w:lineRule="exact"/>
              <w:ind w:firstLine="0" w:firstLineChars="0"/>
              <w:rPr>
                <w:rFonts w:eastAsia="仿宋_GB2312"/>
                <w:color w:val="000000"/>
                <w:kern w:val="0"/>
                <w:sz w:val="18"/>
                <w:szCs w:val="18"/>
              </w:rPr>
            </w:pPr>
            <w:r>
              <w:rPr>
                <w:rFonts w:eastAsia="仿宋_GB2312"/>
                <w:color w:val="000000"/>
                <w:kern w:val="0"/>
                <w:sz w:val="18"/>
                <w:szCs w:val="18"/>
              </w:rPr>
              <w:t>满意度指标（10分）</w:t>
            </w: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6C13B544">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服务</w:t>
            </w:r>
          </w:p>
          <w:p w14:paraId="109273BA">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对象</w:t>
            </w:r>
          </w:p>
          <w:p w14:paraId="1C965E3C">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满意度</w:t>
            </w:r>
          </w:p>
          <w:p w14:paraId="799C3157">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noWrap w:val="0"/>
            <w:vAlign w:val="center"/>
          </w:tcPr>
          <w:p w14:paraId="439BEAB7">
            <w:pPr>
              <w:spacing w:line="240" w:lineRule="exact"/>
              <w:jc w:val="left"/>
              <w:rPr>
                <w:rFonts w:hint="eastAsia" w:eastAsia="仿宋_GB2312"/>
                <w:color w:val="000000"/>
                <w:kern w:val="0"/>
                <w:sz w:val="18"/>
                <w:szCs w:val="18"/>
                <w:lang w:eastAsia="zh-CN"/>
              </w:rPr>
            </w:pPr>
            <w:r>
              <w:rPr>
                <w:rFonts w:hint="eastAsia" w:eastAsia="仿宋_GB2312"/>
                <w:color w:val="000000"/>
                <w:kern w:val="0"/>
                <w:sz w:val="18"/>
                <w:szCs w:val="18"/>
                <w:lang w:eastAsia="zh-CN"/>
              </w:rPr>
              <w:t>社会公众满意度</w:t>
            </w:r>
          </w:p>
        </w:tc>
        <w:tc>
          <w:tcPr>
            <w:tcW w:w="1077" w:type="dxa"/>
            <w:tcBorders>
              <w:top w:val="nil"/>
              <w:left w:val="nil"/>
              <w:bottom w:val="single" w:color="auto" w:sz="4" w:space="0"/>
              <w:right w:val="single" w:color="auto" w:sz="4" w:space="0"/>
            </w:tcBorders>
            <w:noWrap w:val="0"/>
            <w:vAlign w:val="center"/>
          </w:tcPr>
          <w:p w14:paraId="6F154B10">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&gt;95%</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65146BA4">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达到满意度</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6E96FFA8">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0EA04394">
            <w:pPr>
              <w:spacing w:line="240" w:lineRule="exact"/>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1F07289D">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348614AB">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right w:val="single" w:color="auto" w:sz="4" w:space="0"/>
            </w:tcBorders>
            <w:noWrap w:val="0"/>
            <w:vAlign w:val="center"/>
          </w:tcPr>
          <w:p w14:paraId="47CEFE41">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6FA4A14">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vAlign w:val="center"/>
          </w:tcPr>
          <w:p w14:paraId="28A336F1">
            <w:pPr>
              <w:spacing w:line="240" w:lineRule="exact"/>
              <w:ind w:firstLine="360"/>
              <w:jc w:val="left"/>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57A4D8CF">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eastAsia="zh-CN"/>
              </w:rPr>
              <w:t>主管部门满意度</w:t>
            </w:r>
          </w:p>
        </w:tc>
        <w:tc>
          <w:tcPr>
            <w:tcW w:w="1077" w:type="dxa"/>
            <w:tcBorders>
              <w:top w:val="nil"/>
              <w:left w:val="nil"/>
              <w:bottom w:val="single" w:color="auto" w:sz="4" w:space="0"/>
              <w:right w:val="single" w:color="auto" w:sz="4" w:space="0"/>
            </w:tcBorders>
            <w:noWrap w:val="0"/>
            <w:vAlign w:val="center"/>
          </w:tcPr>
          <w:p w14:paraId="327E125B">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&gt;95%</w:t>
            </w:r>
            <w:r>
              <w:rPr>
                <w:rFonts w:eastAsia="仿宋_GB2312"/>
                <w:color w:val="000000"/>
                <w:kern w:val="0"/>
                <w:sz w:val="18"/>
                <w:szCs w:val="18"/>
              </w:rPr>
              <w:t>　</w:t>
            </w:r>
          </w:p>
        </w:tc>
        <w:tc>
          <w:tcPr>
            <w:tcW w:w="1146" w:type="dxa"/>
            <w:tcBorders>
              <w:top w:val="nil"/>
              <w:left w:val="nil"/>
              <w:bottom w:val="single" w:color="auto" w:sz="4" w:space="0"/>
              <w:right w:val="single" w:color="auto" w:sz="4" w:space="0"/>
            </w:tcBorders>
            <w:noWrap w:val="0"/>
            <w:vAlign w:val="center"/>
          </w:tcPr>
          <w:p w14:paraId="039C4DDD">
            <w:pPr>
              <w:spacing w:line="240" w:lineRule="exact"/>
              <w:jc w:val="left"/>
              <w:rPr>
                <w:rFonts w:eastAsia="仿宋_GB2312"/>
                <w:color w:val="000000"/>
                <w:kern w:val="0"/>
                <w:sz w:val="18"/>
                <w:szCs w:val="18"/>
              </w:rPr>
            </w:pPr>
            <w:r>
              <w:rPr>
                <w:rFonts w:hint="eastAsia" w:eastAsia="仿宋_GB2312"/>
                <w:color w:val="000000"/>
                <w:kern w:val="0"/>
                <w:sz w:val="18"/>
                <w:szCs w:val="18"/>
                <w:lang w:eastAsia="zh-CN"/>
              </w:rPr>
              <w:t>达到满意度</w:t>
            </w:r>
            <w:r>
              <w:rPr>
                <w:rFonts w:eastAsia="仿宋_GB2312"/>
                <w:color w:val="000000"/>
                <w:kern w:val="0"/>
                <w:sz w:val="18"/>
                <w:szCs w:val="18"/>
              </w:rPr>
              <w:t>　</w:t>
            </w:r>
          </w:p>
        </w:tc>
        <w:tc>
          <w:tcPr>
            <w:tcW w:w="636" w:type="dxa"/>
            <w:tcBorders>
              <w:top w:val="nil"/>
              <w:left w:val="nil"/>
              <w:bottom w:val="single" w:color="auto" w:sz="4" w:space="0"/>
              <w:right w:val="single" w:color="auto" w:sz="4" w:space="0"/>
            </w:tcBorders>
            <w:noWrap w:val="0"/>
            <w:vAlign w:val="center"/>
          </w:tcPr>
          <w:p w14:paraId="5C965DF0">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890" w:type="dxa"/>
            <w:tcBorders>
              <w:top w:val="nil"/>
              <w:left w:val="nil"/>
              <w:bottom w:val="single" w:color="auto" w:sz="4" w:space="0"/>
              <w:right w:val="single" w:color="auto" w:sz="4" w:space="0"/>
            </w:tcBorders>
            <w:noWrap w:val="0"/>
            <w:vAlign w:val="center"/>
          </w:tcPr>
          <w:p w14:paraId="67ECE124">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25CED786">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eastAsia="zh-CN"/>
              </w:rPr>
              <w:t>无</w:t>
            </w:r>
            <w:r>
              <w:rPr>
                <w:rFonts w:eastAsia="仿宋_GB2312"/>
                <w:color w:val="000000"/>
                <w:kern w:val="0"/>
                <w:sz w:val="18"/>
                <w:szCs w:val="18"/>
              </w:rPr>
              <w:t>　</w:t>
            </w:r>
          </w:p>
        </w:tc>
      </w:tr>
      <w:tr w14:paraId="15F8FCD2">
        <w:tblPrEx>
          <w:tblCellMar>
            <w:top w:w="0" w:type="dxa"/>
            <w:left w:w="108" w:type="dxa"/>
            <w:bottom w:w="0" w:type="dxa"/>
            <w:right w:w="108" w:type="dxa"/>
          </w:tblCellMar>
        </w:tblPrEx>
        <w:trPr>
          <w:trHeight w:val="295" w:hRule="atLeast"/>
          <w:jc w:val="center"/>
        </w:trPr>
        <w:tc>
          <w:tcPr>
            <w:tcW w:w="6230" w:type="dxa"/>
            <w:gridSpan w:val="7"/>
            <w:tcBorders>
              <w:top w:val="single" w:color="auto" w:sz="4" w:space="0"/>
              <w:left w:val="single" w:color="auto" w:sz="4" w:space="0"/>
              <w:bottom w:val="single" w:color="auto" w:sz="4" w:space="0"/>
              <w:right w:val="single" w:color="000000" w:sz="4" w:space="0"/>
            </w:tcBorders>
            <w:noWrap w:val="0"/>
            <w:vAlign w:val="center"/>
          </w:tcPr>
          <w:p w14:paraId="048DC4FB">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636" w:type="dxa"/>
            <w:tcBorders>
              <w:top w:val="nil"/>
              <w:left w:val="nil"/>
              <w:bottom w:val="single" w:color="auto" w:sz="4" w:space="0"/>
              <w:right w:val="single" w:color="auto" w:sz="4" w:space="0"/>
            </w:tcBorders>
            <w:noWrap w:val="0"/>
            <w:vAlign w:val="center"/>
          </w:tcPr>
          <w:p w14:paraId="7CC0093F">
            <w:pPr>
              <w:spacing w:line="240" w:lineRule="exact"/>
              <w:ind w:firstLine="0" w:firstLineChars="0"/>
              <w:jc w:val="both"/>
              <w:rPr>
                <w:rFonts w:eastAsia="仿宋_GB2312"/>
                <w:color w:val="000000"/>
                <w:kern w:val="0"/>
                <w:sz w:val="18"/>
                <w:szCs w:val="18"/>
              </w:rPr>
            </w:pPr>
            <w:r>
              <w:rPr>
                <w:rFonts w:eastAsia="仿宋_GB2312"/>
                <w:color w:val="000000"/>
                <w:kern w:val="0"/>
                <w:sz w:val="18"/>
                <w:szCs w:val="18"/>
              </w:rPr>
              <w:t>10</w:t>
            </w:r>
          </w:p>
        </w:tc>
        <w:tc>
          <w:tcPr>
            <w:tcW w:w="890" w:type="dxa"/>
            <w:tcBorders>
              <w:top w:val="nil"/>
              <w:left w:val="nil"/>
              <w:bottom w:val="single" w:color="auto" w:sz="4" w:space="0"/>
              <w:right w:val="single" w:color="auto" w:sz="4" w:space="0"/>
            </w:tcBorders>
            <w:noWrap w:val="0"/>
            <w:vAlign w:val="center"/>
          </w:tcPr>
          <w:p w14:paraId="4E83DD0E">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10</w:t>
            </w:r>
          </w:p>
        </w:tc>
        <w:tc>
          <w:tcPr>
            <w:tcW w:w="1223" w:type="dxa"/>
            <w:tcBorders>
              <w:top w:val="nil"/>
              <w:left w:val="nil"/>
              <w:bottom w:val="single" w:color="auto" w:sz="4" w:space="0"/>
              <w:right w:val="single" w:color="auto" w:sz="4" w:space="0"/>
            </w:tcBorders>
            <w:noWrap w:val="0"/>
            <w:vAlign w:val="center"/>
          </w:tcPr>
          <w:p w14:paraId="22DE50D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bl>
    <w:p w14:paraId="732ECBCD">
      <w:pPr>
        <w:spacing w:line="600" w:lineRule="exact"/>
        <w:jc w:val="left"/>
        <w:rPr>
          <w:rFonts w:hint="eastAsia" w:ascii="仿宋" w:hAnsi="仿宋" w:eastAsia="仿宋" w:cs="仿宋"/>
          <w:kern w:val="0"/>
        </w:rPr>
      </w:pPr>
    </w:p>
    <w:sectPr>
      <w:headerReference r:id="rId3" w:type="default"/>
      <w:footerReference r:id="rId4" w:type="default"/>
      <w:footerReference r:id="rId5" w:type="even"/>
      <w:pgSz w:w="11905" w:h="16837"/>
      <w:pgMar w:top="1440" w:right="1800" w:bottom="1440" w:left="1800"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D79CE7">
    <w:pPr>
      <w:pStyle w:val="6"/>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171443">
                          <w:pPr>
                            <w:pStyle w:val="6"/>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39171443">
                    <w:pPr>
                      <w:pStyle w:val="6"/>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DE58F7">
    <w:pPr>
      <w:pStyle w:val="6"/>
      <w:framePr w:wrap="around" w:vAnchor="text" w:hAnchor="margin" w:xAlign="outside" w:y="1"/>
      <w:rPr>
        <w:rStyle w:val="12"/>
      </w:rPr>
    </w:pPr>
    <w:r>
      <w:fldChar w:fldCharType="begin"/>
    </w:r>
    <w:r>
      <w:rPr>
        <w:rStyle w:val="12"/>
      </w:rPr>
      <w:instrText xml:space="preserve">PAGE  </w:instrText>
    </w:r>
    <w:r>
      <w:fldChar w:fldCharType="separate"/>
    </w:r>
    <w:r>
      <w:fldChar w:fldCharType="end"/>
    </w:r>
  </w:p>
  <w:p w14:paraId="3375658E">
    <w:pPr>
      <w:pStyle w:val="6"/>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BE16E">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1D1B1"/>
    <w:multiLevelType w:val="singleLevel"/>
    <w:tmpl w:val="EC81D1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0MDg3Mjc5YjI4NDQ2ZWYyNmVhYmVhMDhkMDZiMDgifQ=="/>
  </w:docVars>
  <w:rsids>
    <w:rsidRoot w:val="18D538B0"/>
    <w:rsid w:val="003752C8"/>
    <w:rsid w:val="004B48CF"/>
    <w:rsid w:val="015E0632"/>
    <w:rsid w:val="01600BAC"/>
    <w:rsid w:val="018067FB"/>
    <w:rsid w:val="018E17F6"/>
    <w:rsid w:val="019127B6"/>
    <w:rsid w:val="019329D2"/>
    <w:rsid w:val="01A4698D"/>
    <w:rsid w:val="01B34E22"/>
    <w:rsid w:val="01B6046E"/>
    <w:rsid w:val="01CE57B8"/>
    <w:rsid w:val="01E50D53"/>
    <w:rsid w:val="01EB6738"/>
    <w:rsid w:val="027A76EE"/>
    <w:rsid w:val="02963D53"/>
    <w:rsid w:val="03A013D6"/>
    <w:rsid w:val="03B24C65"/>
    <w:rsid w:val="03B40C48"/>
    <w:rsid w:val="03BB1DE6"/>
    <w:rsid w:val="03D2624F"/>
    <w:rsid w:val="03E272F9"/>
    <w:rsid w:val="04001E75"/>
    <w:rsid w:val="040501C3"/>
    <w:rsid w:val="04DF7CDC"/>
    <w:rsid w:val="050B0AD1"/>
    <w:rsid w:val="0526590B"/>
    <w:rsid w:val="05323055"/>
    <w:rsid w:val="056D6E06"/>
    <w:rsid w:val="059A0717"/>
    <w:rsid w:val="05D709B3"/>
    <w:rsid w:val="05E337FC"/>
    <w:rsid w:val="06536294"/>
    <w:rsid w:val="06AC5543"/>
    <w:rsid w:val="06F51A39"/>
    <w:rsid w:val="07155C37"/>
    <w:rsid w:val="071F2B16"/>
    <w:rsid w:val="07287718"/>
    <w:rsid w:val="074D22E3"/>
    <w:rsid w:val="077E558A"/>
    <w:rsid w:val="086C1887"/>
    <w:rsid w:val="08C0694B"/>
    <w:rsid w:val="08C76CE2"/>
    <w:rsid w:val="08CD3D91"/>
    <w:rsid w:val="092D1499"/>
    <w:rsid w:val="095E3180"/>
    <w:rsid w:val="099472E7"/>
    <w:rsid w:val="09972933"/>
    <w:rsid w:val="09D347BB"/>
    <w:rsid w:val="0A40746F"/>
    <w:rsid w:val="0A6273E5"/>
    <w:rsid w:val="0A686BF6"/>
    <w:rsid w:val="0AD96F7B"/>
    <w:rsid w:val="0AE24082"/>
    <w:rsid w:val="0B1D155E"/>
    <w:rsid w:val="0B301291"/>
    <w:rsid w:val="0BC65752"/>
    <w:rsid w:val="0C6B6720"/>
    <w:rsid w:val="0C760F26"/>
    <w:rsid w:val="0C9E6D20"/>
    <w:rsid w:val="0CBD4DA7"/>
    <w:rsid w:val="0CC779D3"/>
    <w:rsid w:val="0CDD2D53"/>
    <w:rsid w:val="0D766D04"/>
    <w:rsid w:val="0DD74424"/>
    <w:rsid w:val="0DEF0444"/>
    <w:rsid w:val="0E8F2773"/>
    <w:rsid w:val="0F31382A"/>
    <w:rsid w:val="10060813"/>
    <w:rsid w:val="10196798"/>
    <w:rsid w:val="101A42BE"/>
    <w:rsid w:val="10234F21"/>
    <w:rsid w:val="1024256C"/>
    <w:rsid w:val="107F4121"/>
    <w:rsid w:val="10C57C4D"/>
    <w:rsid w:val="10F13271"/>
    <w:rsid w:val="112B6C40"/>
    <w:rsid w:val="11456604"/>
    <w:rsid w:val="11553800"/>
    <w:rsid w:val="115630D4"/>
    <w:rsid w:val="115B4B8E"/>
    <w:rsid w:val="117C2E73"/>
    <w:rsid w:val="11AD363C"/>
    <w:rsid w:val="11E9622E"/>
    <w:rsid w:val="123B762F"/>
    <w:rsid w:val="12607728"/>
    <w:rsid w:val="126104A5"/>
    <w:rsid w:val="1292638E"/>
    <w:rsid w:val="12A83E03"/>
    <w:rsid w:val="130F3E82"/>
    <w:rsid w:val="13113C31"/>
    <w:rsid w:val="13C57FC2"/>
    <w:rsid w:val="13DD7ADC"/>
    <w:rsid w:val="13E40E6B"/>
    <w:rsid w:val="13EB2DF0"/>
    <w:rsid w:val="14403A45"/>
    <w:rsid w:val="144F5156"/>
    <w:rsid w:val="14682A52"/>
    <w:rsid w:val="14740441"/>
    <w:rsid w:val="14B52807"/>
    <w:rsid w:val="14E83C4D"/>
    <w:rsid w:val="15301FCE"/>
    <w:rsid w:val="15916DD0"/>
    <w:rsid w:val="167504A0"/>
    <w:rsid w:val="16FE0496"/>
    <w:rsid w:val="1711641B"/>
    <w:rsid w:val="17233A58"/>
    <w:rsid w:val="174148B4"/>
    <w:rsid w:val="1767588B"/>
    <w:rsid w:val="176D1177"/>
    <w:rsid w:val="18383533"/>
    <w:rsid w:val="184E2D57"/>
    <w:rsid w:val="18956BD8"/>
    <w:rsid w:val="18BC23B6"/>
    <w:rsid w:val="18D538B0"/>
    <w:rsid w:val="18E032C2"/>
    <w:rsid w:val="19954A44"/>
    <w:rsid w:val="19A277FE"/>
    <w:rsid w:val="19BB266E"/>
    <w:rsid w:val="1A073B05"/>
    <w:rsid w:val="1A5605E9"/>
    <w:rsid w:val="1B326960"/>
    <w:rsid w:val="1B8B42C2"/>
    <w:rsid w:val="1BCD6688"/>
    <w:rsid w:val="1BD417C5"/>
    <w:rsid w:val="1CB05D8E"/>
    <w:rsid w:val="1CCF110C"/>
    <w:rsid w:val="1D743260"/>
    <w:rsid w:val="1D8C5026"/>
    <w:rsid w:val="1D9456B0"/>
    <w:rsid w:val="1DEB1048"/>
    <w:rsid w:val="1DF80E0A"/>
    <w:rsid w:val="1E0F4D36"/>
    <w:rsid w:val="1E164317"/>
    <w:rsid w:val="1EDD568A"/>
    <w:rsid w:val="1F3D3B25"/>
    <w:rsid w:val="1FA31533"/>
    <w:rsid w:val="1FDB75C6"/>
    <w:rsid w:val="204559CD"/>
    <w:rsid w:val="206A094A"/>
    <w:rsid w:val="20F3418D"/>
    <w:rsid w:val="211A411E"/>
    <w:rsid w:val="21260D15"/>
    <w:rsid w:val="21274A8D"/>
    <w:rsid w:val="213827F6"/>
    <w:rsid w:val="21771570"/>
    <w:rsid w:val="21796BC2"/>
    <w:rsid w:val="21B552CB"/>
    <w:rsid w:val="220527FD"/>
    <w:rsid w:val="22BE0E76"/>
    <w:rsid w:val="22DE4C55"/>
    <w:rsid w:val="231132FF"/>
    <w:rsid w:val="23250B58"/>
    <w:rsid w:val="244A2F6C"/>
    <w:rsid w:val="244A495C"/>
    <w:rsid w:val="2483632E"/>
    <w:rsid w:val="24883A94"/>
    <w:rsid w:val="24A05998"/>
    <w:rsid w:val="24AE34FB"/>
    <w:rsid w:val="24F9229C"/>
    <w:rsid w:val="251A293E"/>
    <w:rsid w:val="25253091"/>
    <w:rsid w:val="25333A00"/>
    <w:rsid w:val="25550C1E"/>
    <w:rsid w:val="255816B9"/>
    <w:rsid w:val="259F2E44"/>
    <w:rsid w:val="25B05D49"/>
    <w:rsid w:val="25C91C6F"/>
    <w:rsid w:val="25F72C80"/>
    <w:rsid w:val="266D2F42"/>
    <w:rsid w:val="26834513"/>
    <w:rsid w:val="26A12BEB"/>
    <w:rsid w:val="273852FE"/>
    <w:rsid w:val="274517C9"/>
    <w:rsid w:val="27515A5B"/>
    <w:rsid w:val="27873B8F"/>
    <w:rsid w:val="27EB0AE5"/>
    <w:rsid w:val="281D135F"/>
    <w:rsid w:val="28377363"/>
    <w:rsid w:val="28BF4190"/>
    <w:rsid w:val="28C4406E"/>
    <w:rsid w:val="28C878C3"/>
    <w:rsid w:val="28EE53FD"/>
    <w:rsid w:val="29037B8D"/>
    <w:rsid w:val="2A5341FD"/>
    <w:rsid w:val="2A706BB3"/>
    <w:rsid w:val="2A7C719C"/>
    <w:rsid w:val="2A974647"/>
    <w:rsid w:val="2ACC49F6"/>
    <w:rsid w:val="2B5446D0"/>
    <w:rsid w:val="2B563FA5"/>
    <w:rsid w:val="2B591CE7"/>
    <w:rsid w:val="2B7679E1"/>
    <w:rsid w:val="2B7E52A9"/>
    <w:rsid w:val="2B926A7E"/>
    <w:rsid w:val="2B942D1F"/>
    <w:rsid w:val="2C1125C1"/>
    <w:rsid w:val="2C2B5641"/>
    <w:rsid w:val="2C8F2F53"/>
    <w:rsid w:val="2CAE79CE"/>
    <w:rsid w:val="2CB6067E"/>
    <w:rsid w:val="2CC66F08"/>
    <w:rsid w:val="2CCA094F"/>
    <w:rsid w:val="2D610085"/>
    <w:rsid w:val="2E1B3283"/>
    <w:rsid w:val="2E2B5E45"/>
    <w:rsid w:val="2E515D05"/>
    <w:rsid w:val="2F3F4659"/>
    <w:rsid w:val="2F9C21A2"/>
    <w:rsid w:val="2FC02FA6"/>
    <w:rsid w:val="2FCE528B"/>
    <w:rsid w:val="2FD22068"/>
    <w:rsid w:val="2FDC6A42"/>
    <w:rsid w:val="2FE57F9B"/>
    <w:rsid w:val="2FF11279"/>
    <w:rsid w:val="2FF4311D"/>
    <w:rsid w:val="2FF745A3"/>
    <w:rsid w:val="304D7ABC"/>
    <w:rsid w:val="30776956"/>
    <w:rsid w:val="30901D07"/>
    <w:rsid w:val="30F878AC"/>
    <w:rsid w:val="315F16D9"/>
    <w:rsid w:val="316450AF"/>
    <w:rsid w:val="317433D6"/>
    <w:rsid w:val="318A0E4C"/>
    <w:rsid w:val="31BE0AF5"/>
    <w:rsid w:val="31C37EBA"/>
    <w:rsid w:val="31D2634F"/>
    <w:rsid w:val="31D40319"/>
    <w:rsid w:val="31E542D4"/>
    <w:rsid w:val="31FE7144"/>
    <w:rsid w:val="325B4596"/>
    <w:rsid w:val="32601BAD"/>
    <w:rsid w:val="3296737C"/>
    <w:rsid w:val="335115F0"/>
    <w:rsid w:val="339A4C4A"/>
    <w:rsid w:val="33A04957"/>
    <w:rsid w:val="33D939C5"/>
    <w:rsid w:val="34B8182C"/>
    <w:rsid w:val="3546366F"/>
    <w:rsid w:val="35492DCC"/>
    <w:rsid w:val="357070B5"/>
    <w:rsid w:val="35867B7C"/>
    <w:rsid w:val="372907BF"/>
    <w:rsid w:val="37321D6A"/>
    <w:rsid w:val="376A3C4C"/>
    <w:rsid w:val="377D6D5D"/>
    <w:rsid w:val="37CD55EE"/>
    <w:rsid w:val="37D270A9"/>
    <w:rsid w:val="38761300"/>
    <w:rsid w:val="38D330D8"/>
    <w:rsid w:val="38E452E6"/>
    <w:rsid w:val="38F90665"/>
    <w:rsid w:val="38FC7F68"/>
    <w:rsid w:val="39152057"/>
    <w:rsid w:val="391E32EE"/>
    <w:rsid w:val="39C175C6"/>
    <w:rsid w:val="3A157CEC"/>
    <w:rsid w:val="3A754CC9"/>
    <w:rsid w:val="3A771FCA"/>
    <w:rsid w:val="3B082DE1"/>
    <w:rsid w:val="3B4A51A8"/>
    <w:rsid w:val="3B563B4D"/>
    <w:rsid w:val="3BDC6748"/>
    <w:rsid w:val="3BEA370A"/>
    <w:rsid w:val="3C6B3628"/>
    <w:rsid w:val="3D1D7B5F"/>
    <w:rsid w:val="3DCE3E6E"/>
    <w:rsid w:val="3DFE0BF8"/>
    <w:rsid w:val="3E030FFE"/>
    <w:rsid w:val="3E2D6890"/>
    <w:rsid w:val="3E3A69A0"/>
    <w:rsid w:val="3EAD617A"/>
    <w:rsid w:val="3ECD3124"/>
    <w:rsid w:val="3ED43706"/>
    <w:rsid w:val="3EE61364"/>
    <w:rsid w:val="3EF115E1"/>
    <w:rsid w:val="3EF142B8"/>
    <w:rsid w:val="3F3E3276"/>
    <w:rsid w:val="3F5017C4"/>
    <w:rsid w:val="3F520ACF"/>
    <w:rsid w:val="3F830C89"/>
    <w:rsid w:val="3F966C0E"/>
    <w:rsid w:val="3F9A003D"/>
    <w:rsid w:val="3FEA0343"/>
    <w:rsid w:val="40363F4D"/>
    <w:rsid w:val="4044666A"/>
    <w:rsid w:val="40550877"/>
    <w:rsid w:val="409A272E"/>
    <w:rsid w:val="413B181B"/>
    <w:rsid w:val="418307B3"/>
    <w:rsid w:val="41A25D3E"/>
    <w:rsid w:val="41CC2DBB"/>
    <w:rsid w:val="42A25018"/>
    <w:rsid w:val="42E80618"/>
    <w:rsid w:val="42E867DB"/>
    <w:rsid w:val="434A21E9"/>
    <w:rsid w:val="435B61A4"/>
    <w:rsid w:val="43925E19"/>
    <w:rsid w:val="43EC5E51"/>
    <w:rsid w:val="44A818BD"/>
    <w:rsid w:val="4613009D"/>
    <w:rsid w:val="46222FA9"/>
    <w:rsid w:val="46A04669"/>
    <w:rsid w:val="46A2058E"/>
    <w:rsid w:val="46D52711"/>
    <w:rsid w:val="47215957"/>
    <w:rsid w:val="474927B8"/>
    <w:rsid w:val="475F4422"/>
    <w:rsid w:val="47743CD8"/>
    <w:rsid w:val="4786135E"/>
    <w:rsid w:val="4874505C"/>
    <w:rsid w:val="488F069E"/>
    <w:rsid w:val="48A56114"/>
    <w:rsid w:val="49136AFE"/>
    <w:rsid w:val="49201968"/>
    <w:rsid w:val="49DB003F"/>
    <w:rsid w:val="49F04DE4"/>
    <w:rsid w:val="49F977A4"/>
    <w:rsid w:val="4A0B1FA6"/>
    <w:rsid w:val="4ADB406F"/>
    <w:rsid w:val="4B6814D6"/>
    <w:rsid w:val="4B8214DC"/>
    <w:rsid w:val="4BB905DA"/>
    <w:rsid w:val="4BC468B1"/>
    <w:rsid w:val="4C8121AD"/>
    <w:rsid w:val="4C9E5354"/>
    <w:rsid w:val="4DE4323A"/>
    <w:rsid w:val="4DF807A3"/>
    <w:rsid w:val="4E0B709E"/>
    <w:rsid w:val="4E2A5D47"/>
    <w:rsid w:val="4E454CAE"/>
    <w:rsid w:val="4E6A24DF"/>
    <w:rsid w:val="4E7E368F"/>
    <w:rsid w:val="4EDF237F"/>
    <w:rsid w:val="4F1F09CE"/>
    <w:rsid w:val="4F3B1723"/>
    <w:rsid w:val="4F702FD7"/>
    <w:rsid w:val="4F7A3E56"/>
    <w:rsid w:val="4F8627FB"/>
    <w:rsid w:val="4FA462B3"/>
    <w:rsid w:val="4FE6773D"/>
    <w:rsid w:val="500E3A72"/>
    <w:rsid w:val="50192406"/>
    <w:rsid w:val="5039786D"/>
    <w:rsid w:val="506348EA"/>
    <w:rsid w:val="507028FD"/>
    <w:rsid w:val="507C62DD"/>
    <w:rsid w:val="508D1967"/>
    <w:rsid w:val="50B20CEB"/>
    <w:rsid w:val="50E517A3"/>
    <w:rsid w:val="5167040A"/>
    <w:rsid w:val="521E54EC"/>
    <w:rsid w:val="522E2CD6"/>
    <w:rsid w:val="527E3C5D"/>
    <w:rsid w:val="53745792"/>
    <w:rsid w:val="545D5AF4"/>
    <w:rsid w:val="547370C6"/>
    <w:rsid w:val="54B17B2A"/>
    <w:rsid w:val="54CF07A0"/>
    <w:rsid w:val="55164621"/>
    <w:rsid w:val="552A59D6"/>
    <w:rsid w:val="552F2E36"/>
    <w:rsid w:val="558D41B7"/>
    <w:rsid w:val="55FE57CA"/>
    <w:rsid w:val="56231F37"/>
    <w:rsid w:val="562B40FC"/>
    <w:rsid w:val="563C6D66"/>
    <w:rsid w:val="565C4B5A"/>
    <w:rsid w:val="56F445AE"/>
    <w:rsid w:val="57034731"/>
    <w:rsid w:val="571F37E7"/>
    <w:rsid w:val="578E37A1"/>
    <w:rsid w:val="578F48C6"/>
    <w:rsid w:val="579D2DD8"/>
    <w:rsid w:val="57A06335"/>
    <w:rsid w:val="57DB3900"/>
    <w:rsid w:val="5861039B"/>
    <w:rsid w:val="58825B29"/>
    <w:rsid w:val="58C76ABA"/>
    <w:rsid w:val="58E10AA2"/>
    <w:rsid w:val="592B7F6F"/>
    <w:rsid w:val="59941FB8"/>
    <w:rsid w:val="59CA59DA"/>
    <w:rsid w:val="59E7033A"/>
    <w:rsid w:val="5A026F22"/>
    <w:rsid w:val="5A696FA1"/>
    <w:rsid w:val="5AC02939"/>
    <w:rsid w:val="5B523ED9"/>
    <w:rsid w:val="5B955B74"/>
    <w:rsid w:val="5C3F445D"/>
    <w:rsid w:val="5C8400C2"/>
    <w:rsid w:val="5C910A31"/>
    <w:rsid w:val="5D415FB3"/>
    <w:rsid w:val="5D6C7344"/>
    <w:rsid w:val="5E007C1C"/>
    <w:rsid w:val="5E5E5BE2"/>
    <w:rsid w:val="5E6477B4"/>
    <w:rsid w:val="5EA551F5"/>
    <w:rsid w:val="5F41673E"/>
    <w:rsid w:val="5F4D50E3"/>
    <w:rsid w:val="5F773F0E"/>
    <w:rsid w:val="5FB70BF2"/>
    <w:rsid w:val="5FBA3DFB"/>
    <w:rsid w:val="5FF732A1"/>
    <w:rsid w:val="60651FB9"/>
    <w:rsid w:val="60675D31"/>
    <w:rsid w:val="60CE6586"/>
    <w:rsid w:val="60E91EDF"/>
    <w:rsid w:val="610F0A45"/>
    <w:rsid w:val="61486A8A"/>
    <w:rsid w:val="618A51FD"/>
    <w:rsid w:val="61AF2FE3"/>
    <w:rsid w:val="622C5484"/>
    <w:rsid w:val="62600C89"/>
    <w:rsid w:val="62894D52"/>
    <w:rsid w:val="62BD60DC"/>
    <w:rsid w:val="62C27B96"/>
    <w:rsid w:val="6346230D"/>
    <w:rsid w:val="63521D29"/>
    <w:rsid w:val="635B32B1"/>
    <w:rsid w:val="63870498"/>
    <w:rsid w:val="639808F7"/>
    <w:rsid w:val="63AD5DD7"/>
    <w:rsid w:val="63D3192F"/>
    <w:rsid w:val="64354398"/>
    <w:rsid w:val="648C045C"/>
    <w:rsid w:val="64AD03D2"/>
    <w:rsid w:val="6502071E"/>
    <w:rsid w:val="650E0E71"/>
    <w:rsid w:val="65217D73"/>
    <w:rsid w:val="65491EA9"/>
    <w:rsid w:val="65A417D5"/>
    <w:rsid w:val="65B57F02"/>
    <w:rsid w:val="65B75B1D"/>
    <w:rsid w:val="65BA2DA7"/>
    <w:rsid w:val="65D06126"/>
    <w:rsid w:val="65ED7F30"/>
    <w:rsid w:val="666A3541"/>
    <w:rsid w:val="670B01C0"/>
    <w:rsid w:val="670F227B"/>
    <w:rsid w:val="68045877"/>
    <w:rsid w:val="682235A3"/>
    <w:rsid w:val="682D5AB2"/>
    <w:rsid w:val="68456707"/>
    <w:rsid w:val="685A261F"/>
    <w:rsid w:val="68795138"/>
    <w:rsid w:val="68822739"/>
    <w:rsid w:val="68C53B15"/>
    <w:rsid w:val="69074555"/>
    <w:rsid w:val="692F7608"/>
    <w:rsid w:val="695232F6"/>
    <w:rsid w:val="69780FAF"/>
    <w:rsid w:val="69CB5582"/>
    <w:rsid w:val="6A3F1ACC"/>
    <w:rsid w:val="6A522671"/>
    <w:rsid w:val="6A696B49"/>
    <w:rsid w:val="6A7C4ACE"/>
    <w:rsid w:val="6ACB22C2"/>
    <w:rsid w:val="6BCC55E2"/>
    <w:rsid w:val="6C1D5E3D"/>
    <w:rsid w:val="6C264CF2"/>
    <w:rsid w:val="6C3311BD"/>
    <w:rsid w:val="6C3C39CA"/>
    <w:rsid w:val="6C4B4758"/>
    <w:rsid w:val="6C6A0E2B"/>
    <w:rsid w:val="6C801864"/>
    <w:rsid w:val="6CA43E69"/>
    <w:rsid w:val="6D946D06"/>
    <w:rsid w:val="6DB9203D"/>
    <w:rsid w:val="6DF27FD2"/>
    <w:rsid w:val="6E615BFD"/>
    <w:rsid w:val="6E71421E"/>
    <w:rsid w:val="6ED21161"/>
    <w:rsid w:val="6F1654F2"/>
    <w:rsid w:val="6F1E7F02"/>
    <w:rsid w:val="6F3040D9"/>
    <w:rsid w:val="6F4F026E"/>
    <w:rsid w:val="6F765F90"/>
    <w:rsid w:val="6F9401C4"/>
    <w:rsid w:val="6FD902CD"/>
    <w:rsid w:val="6FF005A6"/>
    <w:rsid w:val="70AE1182"/>
    <w:rsid w:val="70C60851"/>
    <w:rsid w:val="70C64CF5"/>
    <w:rsid w:val="714F6A99"/>
    <w:rsid w:val="71DB032D"/>
    <w:rsid w:val="71F0075E"/>
    <w:rsid w:val="723637B5"/>
    <w:rsid w:val="724265FE"/>
    <w:rsid w:val="73301622"/>
    <w:rsid w:val="7343262D"/>
    <w:rsid w:val="738B5D82"/>
    <w:rsid w:val="73D81412"/>
    <w:rsid w:val="74094B0C"/>
    <w:rsid w:val="743957DE"/>
    <w:rsid w:val="744523C5"/>
    <w:rsid w:val="745037BC"/>
    <w:rsid w:val="7460720F"/>
    <w:rsid w:val="7463506E"/>
    <w:rsid w:val="74A40EAA"/>
    <w:rsid w:val="76390951"/>
    <w:rsid w:val="767C2482"/>
    <w:rsid w:val="77F71C38"/>
    <w:rsid w:val="77FA34D6"/>
    <w:rsid w:val="78016613"/>
    <w:rsid w:val="78244F38"/>
    <w:rsid w:val="78270946"/>
    <w:rsid w:val="786B1CDE"/>
    <w:rsid w:val="78853E63"/>
    <w:rsid w:val="78B27C05"/>
    <w:rsid w:val="78D51699"/>
    <w:rsid w:val="78FD502C"/>
    <w:rsid w:val="790A5798"/>
    <w:rsid w:val="79367029"/>
    <w:rsid w:val="79A96F62"/>
    <w:rsid w:val="79C42DA7"/>
    <w:rsid w:val="79DC699D"/>
    <w:rsid w:val="7A031D57"/>
    <w:rsid w:val="7A3613CA"/>
    <w:rsid w:val="7AAB0D0B"/>
    <w:rsid w:val="7AF4420D"/>
    <w:rsid w:val="7AFE508C"/>
    <w:rsid w:val="7B09415C"/>
    <w:rsid w:val="7B3D3D71"/>
    <w:rsid w:val="7B5573A2"/>
    <w:rsid w:val="7D124E1E"/>
    <w:rsid w:val="7D2A54B9"/>
    <w:rsid w:val="7D817E5A"/>
    <w:rsid w:val="7D871368"/>
    <w:rsid w:val="7D887789"/>
    <w:rsid w:val="7D8C697F"/>
    <w:rsid w:val="7D9B4E14"/>
    <w:rsid w:val="7DBA7990"/>
    <w:rsid w:val="7E745D91"/>
    <w:rsid w:val="7E747B3F"/>
    <w:rsid w:val="7EB048EF"/>
    <w:rsid w:val="7EF95560"/>
    <w:rsid w:val="7F930498"/>
    <w:rsid w:val="7FA61257"/>
    <w:rsid w:val="7FBC5A54"/>
    <w:rsid w:val="FFAF6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ind w:firstLine="420" w:firstLineChars="200"/>
    </w:pPr>
  </w:style>
  <w:style w:type="paragraph" w:styleId="3">
    <w:name w:val="Body Text Indent"/>
    <w:basedOn w:val="1"/>
    <w:qFormat/>
    <w:uiPriority w:val="0"/>
    <w:pPr>
      <w:ind w:firstLine="640" w:firstLineChars="200"/>
    </w:pPr>
    <w:rPr>
      <w:sz w:val="32"/>
    </w:rPr>
  </w:style>
  <w:style w:type="paragraph" w:styleId="5">
    <w:name w:val="toa heading"/>
    <w:basedOn w:val="1"/>
    <w:next w:val="1"/>
    <w:qFormat/>
    <w:uiPriority w:val="0"/>
    <w:pPr>
      <w:spacing w:before="120" w:after="200" w:line="276" w:lineRule="auto"/>
    </w:pPr>
    <w:rPr>
      <w:rFonts w:ascii="Arial" w:hAnsi="Arial" w:eastAsia="宋体"/>
      <w:sz w:val="24"/>
      <w:szCs w:val="24"/>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jc w:val="left"/>
    </w:pPr>
    <w:rPr>
      <w:rFonts w:ascii="Calibri" w:hAnsi="Calibri"/>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5006</Words>
  <Characters>5343</Characters>
  <Lines>0</Lines>
  <Paragraphs>0</Paragraphs>
  <TotalTime>2</TotalTime>
  <ScaleCrop>false</ScaleCrop>
  <LinksUpToDate>false</LinksUpToDate>
  <CharactersWithSpaces>5499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2021-04-19T15:48:00Z</dcterms:created>
  <dc:creator>彭礼孝</dc:creator>
  <cp:lastModifiedBy>随风而起</cp:lastModifiedBy>
  <cp:lastPrinted>2025-05-13T08:52:00Z</cp:lastPrinted>
  <dcterms:modified xsi:type="dcterms:W3CDTF">2025-12-18T08:45:17Z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F744B6806BB340FFADB36AEE3FEA162A_13</vt:lpwstr>
  </property>
  <property fmtid="{D5CDD505-2E9C-101B-9397-08002B2CF9AE}" pid="4" name="KSOTemplateDocerSaveRecord">
    <vt:lpwstr>eyJoZGlkIjoiMzUyMGJjZGJkYTMxNmM2MGVkODM5NTNmZjk2YzllNDIiLCJ1c2VySWQiOiIyNzg1MzQ3NzgifQ==</vt:lpwstr>
  </property>
</Properties>
</file>