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B6961">
      <w:pPr>
        <w:spacing w:line="600" w:lineRule="exact"/>
        <w:rPr>
          <w:rFonts w:ascii="方正仿宋简体" w:hAnsi="宋体" w:eastAsia="方正仿宋简体" w:cs="宋体"/>
          <w:kern w:val="0"/>
          <w:sz w:val="32"/>
          <w:szCs w:val="32"/>
        </w:rPr>
      </w:pPr>
      <w:r>
        <w:rPr>
          <w:rFonts w:hint="eastAsia" w:ascii="方正仿宋简体" w:hAnsi="宋体" w:eastAsia="方正仿宋简体" w:cs="宋体"/>
          <w:kern w:val="0"/>
          <w:sz w:val="32"/>
          <w:szCs w:val="32"/>
        </w:rPr>
        <w:t>附</w:t>
      </w:r>
      <w:bookmarkStart w:id="0" w:name="_GoBack"/>
      <w:bookmarkEnd w:id="0"/>
      <w:r>
        <w:rPr>
          <w:rFonts w:hint="eastAsia" w:ascii="方正仿宋简体" w:hAnsi="宋体" w:eastAsia="方正仿宋简体" w:cs="宋体"/>
          <w:kern w:val="0"/>
          <w:sz w:val="32"/>
          <w:szCs w:val="32"/>
        </w:rPr>
        <w:t>件</w:t>
      </w:r>
      <w:r>
        <w:rPr>
          <w:rFonts w:ascii="方正仿宋简体" w:hAnsi="宋体" w:eastAsia="方正仿宋简体" w:cs="宋体"/>
          <w:kern w:val="0"/>
          <w:sz w:val="32"/>
          <w:szCs w:val="32"/>
        </w:rPr>
        <w:t>3</w:t>
      </w:r>
    </w:p>
    <w:p w14:paraId="342D8EF7">
      <w:pPr>
        <w:spacing w:line="600" w:lineRule="exact"/>
        <w:jc w:val="center"/>
        <w:rPr>
          <w:rFonts w:ascii="方正小标宋简体" w:eastAsia="方正小标宋简体"/>
          <w:bCs/>
          <w:kern w:val="0"/>
          <w:sz w:val="36"/>
          <w:szCs w:val="36"/>
        </w:rPr>
      </w:pPr>
      <w:r>
        <w:rPr>
          <w:rFonts w:hint="eastAsia" w:ascii="方正小标宋简体" w:eastAsia="方正小标宋简体"/>
          <w:bCs/>
          <w:kern w:val="0"/>
          <w:sz w:val="36"/>
          <w:szCs w:val="36"/>
        </w:rPr>
        <w:t>部门整体支出绩效自评基础数据表</w:t>
      </w:r>
    </w:p>
    <w:tbl>
      <w:tblPr>
        <w:tblStyle w:val="8"/>
        <w:tblW w:w="9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
        <w:gridCol w:w="533"/>
        <w:gridCol w:w="1168"/>
        <w:gridCol w:w="2372"/>
        <w:gridCol w:w="605"/>
        <w:gridCol w:w="375"/>
        <w:gridCol w:w="1184"/>
        <w:gridCol w:w="166"/>
        <w:gridCol w:w="975"/>
        <w:gridCol w:w="645"/>
        <w:gridCol w:w="940"/>
        <w:gridCol w:w="37"/>
      </w:tblGrid>
      <w:tr w14:paraId="3C300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37" w:type="dxa"/>
          <w:trHeight w:val="480" w:hRule="atLeast"/>
          <w:jc w:val="center"/>
        </w:trPr>
        <w:tc>
          <w:tcPr>
            <w:tcW w:w="9071" w:type="dxa"/>
            <w:gridSpan w:val="11"/>
            <w:tcBorders>
              <w:top w:val="nil"/>
              <w:left w:val="nil"/>
              <w:bottom w:val="nil"/>
              <w:right w:val="nil"/>
            </w:tcBorders>
            <w:noWrap w:val="0"/>
            <w:vAlign w:val="center"/>
          </w:tcPr>
          <w:p w14:paraId="5037BF20">
            <w:pPr>
              <w:spacing w:line="600" w:lineRule="exact"/>
              <w:jc w:val="center"/>
              <w:rPr>
                <w:rFonts w:ascii="黑体" w:hAnsi="黑体" w:eastAsia="黑体" w:cs="黑体"/>
              </w:rPr>
            </w:pPr>
            <w:r>
              <w:rPr>
                <w:rFonts w:hint="eastAsia" w:ascii="黑体" w:hAnsi="黑体" w:eastAsia="黑体" w:cs="黑体"/>
                <w:sz w:val="24"/>
              </w:rPr>
              <w:t>（</w:t>
            </w:r>
            <w:r>
              <w:rPr>
                <w:rFonts w:hint="eastAsia" w:ascii="黑体" w:hAnsi="黑体" w:eastAsia="黑体" w:cs="黑体"/>
                <w:sz w:val="24"/>
                <w:lang w:eastAsia="zh-CN"/>
              </w:rPr>
              <w:t>2021</w:t>
            </w:r>
            <w:r>
              <w:rPr>
                <w:rFonts w:hint="eastAsia" w:ascii="黑体" w:hAnsi="黑体" w:eastAsia="黑体" w:cs="黑体"/>
                <w:sz w:val="24"/>
              </w:rPr>
              <w:t>年度）</w:t>
            </w:r>
          </w:p>
        </w:tc>
      </w:tr>
      <w:tr w14:paraId="4E11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036" w:hRule="exact"/>
          <w:jc w:val="center"/>
        </w:trPr>
        <w:tc>
          <w:tcPr>
            <w:tcW w:w="533" w:type="dxa"/>
            <w:vMerge w:val="restart"/>
            <w:noWrap w:val="0"/>
            <w:vAlign w:val="center"/>
          </w:tcPr>
          <w:p w14:paraId="37A46CA4">
            <w:pPr>
              <w:spacing w:line="560" w:lineRule="exact"/>
              <w:jc w:val="center"/>
              <w:rPr>
                <w:rFonts w:ascii="楷体" w:hAnsi="楷体" w:eastAsia="楷体" w:cs="楷体"/>
                <w:szCs w:val="21"/>
              </w:rPr>
            </w:pPr>
            <w:r>
              <w:rPr>
                <w:rFonts w:hint="eastAsia" w:ascii="楷体" w:hAnsi="楷体" w:eastAsia="楷体" w:cs="楷体"/>
                <w:szCs w:val="21"/>
              </w:rPr>
              <w:t>基本情况</w:t>
            </w:r>
          </w:p>
        </w:tc>
        <w:tc>
          <w:tcPr>
            <w:tcW w:w="1168" w:type="dxa"/>
            <w:noWrap w:val="0"/>
            <w:vAlign w:val="center"/>
          </w:tcPr>
          <w:p w14:paraId="49AC535B">
            <w:pPr>
              <w:jc w:val="center"/>
              <w:rPr>
                <w:rFonts w:ascii="楷体" w:hAnsi="楷体" w:eastAsia="楷体" w:cs="楷体"/>
                <w:szCs w:val="21"/>
              </w:rPr>
            </w:pPr>
            <w:r>
              <w:rPr>
                <w:rFonts w:hint="eastAsia" w:ascii="楷体" w:hAnsi="楷体" w:eastAsia="楷体" w:cs="楷体"/>
                <w:szCs w:val="21"/>
              </w:rPr>
              <w:t>单位名称（盖章）</w:t>
            </w:r>
          </w:p>
        </w:tc>
        <w:tc>
          <w:tcPr>
            <w:tcW w:w="7299" w:type="dxa"/>
            <w:gridSpan w:val="9"/>
            <w:noWrap w:val="0"/>
            <w:vAlign w:val="top"/>
          </w:tcPr>
          <w:p w14:paraId="27D5D741">
            <w:pPr>
              <w:spacing w:line="540" w:lineRule="exact"/>
              <w:jc w:val="left"/>
              <w:rPr>
                <w:rFonts w:ascii="楷体" w:hAnsi="楷体" w:eastAsia="楷体" w:cs="楷体"/>
                <w:szCs w:val="21"/>
              </w:rPr>
            </w:pPr>
            <w:r>
              <w:rPr>
                <w:rFonts w:hint="eastAsia" w:ascii="楷体" w:hAnsi="楷体" w:eastAsia="楷体" w:cs="楷体"/>
                <w:szCs w:val="21"/>
                <w:lang w:val="en-US" w:eastAsia="zh-CN"/>
              </w:rPr>
              <w:t>隆回县道路运输服务中心</w:t>
            </w:r>
          </w:p>
        </w:tc>
      </w:tr>
      <w:tr w14:paraId="7AC5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466" w:hRule="exact"/>
          <w:jc w:val="center"/>
        </w:trPr>
        <w:tc>
          <w:tcPr>
            <w:tcW w:w="533" w:type="dxa"/>
            <w:vMerge w:val="continue"/>
            <w:noWrap w:val="0"/>
            <w:vAlign w:val="center"/>
          </w:tcPr>
          <w:p w14:paraId="0705413E">
            <w:pPr>
              <w:widowControl/>
              <w:jc w:val="left"/>
              <w:rPr>
                <w:rFonts w:ascii="楷体" w:hAnsi="楷体" w:eastAsia="楷体" w:cs="楷体"/>
                <w:szCs w:val="21"/>
              </w:rPr>
            </w:pPr>
          </w:p>
        </w:tc>
        <w:tc>
          <w:tcPr>
            <w:tcW w:w="1168" w:type="dxa"/>
            <w:noWrap w:val="0"/>
            <w:vAlign w:val="center"/>
          </w:tcPr>
          <w:p w14:paraId="353530C4">
            <w:pPr>
              <w:jc w:val="center"/>
              <w:rPr>
                <w:rFonts w:ascii="楷体" w:hAnsi="楷体" w:eastAsia="楷体" w:cs="楷体"/>
                <w:szCs w:val="21"/>
              </w:rPr>
            </w:pPr>
            <w:r>
              <w:rPr>
                <w:rFonts w:hint="eastAsia" w:ascii="楷体" w:hAnsi="楷体" w:eastAsia="楷体" w:cs="楷体"/>
                <w:szCs w:val="21"/>
              </w:rPr>
              <w:t>编制人数</w:t>
            </w:r>
          </w:p>
        </w:tc>
        <w:tc>
          <w:tcPr>
            <w:tcW w:w="2977" w:type="dxa"/>
            <w:gridSpan w:val="2"/>
            <w:noWrap w:val="0"/>
            <w:vAlign w:val="top"/>
          </w:tcPr>
          <w:p w14:paraId="2CCADD9C">
            <w:pPr>
              <w:spacing w:line="540" w:lineRule="exact"/>
              <w:ind w:firstLine="105" w:firstLineChars="50"/>
              <w:jc w:val="left"/>
              <w:rPr>
                <w:rFonts w:hint="default" w:ascii="楷体" w:hAnsi="楷体" w:eastAsia="楷体" w:cs="楷体"/>
                <w:szCs w:val="21"/>
                <w:lang w:val="en-US" w:eastAsia="zh-CN"/>
              </w:rPr>
            </w:pPr>
            <w:r>
              <w:rPr>
                <w:rFonts w:hint="eastAsia" w:ascii="楷体" w:hAnsi="楷体" w:eastAsia="楷体" w:cs="楷体"/>
                <w:szCs w:val="21"/>
                <w:lang w:val="en-US" w:eastAsia="zh-CN"/>
              </w:rPr>
              <w:t>49</w:t>
            </w:r>
          </w:p>
        </w:tc>
        <w:tc>
          <w:tcPr>
            <w:tcW w:w="1559" w:type="dxa"/>
            <w:gridSpan w:val="2"/>
            <w:noWrap w:val="0"/>
            <w:vAlign w:val="center"/>
          </w:tcPr>
          <w:p w14:paraId="574A4CDC">
            <w:pPr>
              <w:ind w:firstLine="105" w:firstLineChars="50"/>
              <w:jc w:val="center"/>
              <w:rPr>
                <w:rFonts w:ascii="楷体" w:hAnsi="楷体" w:eastAsia="楷体" w:cs="楷体"/>
                <w:szCs w:val="21"/>
              </w:rPr>
            </w:pPr>
            <w:r>
              <w:rPr>
                <w:rFonts w:hint="eastAsia" w:ascii="楷体" w:hAnsi="楷体" w:eastAsia="楷体" w:cs="楷体"/>
                <w:szCs w:val="21"/>
              </w:rPr>
              <w:t>实有人数</w:t>
            </w:r>
          </w:p>
        </w:tc>
        <w:tc>
          <w:tcPr>
            <w:tcW w:w="2763" w:type="dxa"/>
            <w:gridSpan w:val="5"/>
            <w:noWrap w:val="0"/>
            <w:vAlign w:val="top"/>
          </w:tcPr>
          <w:p w14:paraId="57BCDFC9">
            <w:pPr>
              <w:spacing w:line="540" w:lineRule="exact"/>
              <w:ind w:firstLine="105" w:firstLineChars="50"/>
              <w:jc w:val="left"/>
              <w:rPr>
                <w:rFonts w:hint="default" w:ascii="楷体" w:hAnsi="楷体" w:eastAsia="楷体" w:cs="楷体"/>
                <w:szCs w:val="21"/>
                <w:lang w:val="en-US" w:eastAsia="zh-CN"/>
              </w:rPr>
            </w:pPr>
            <w:r>
              <w:rPr>
                <w:rFonts w:hint="eastAsia" w:ascii="楷体" w:hAnsi="楷体" w:eastAsia="楷体" w:cs="楷体"/>
                <w:szCs w:val="21"/>
                <w:lang w:val="en-US" w:eastAsia="zh-CN"/>
              </w:rPr>
              <w:t>114</w:t>
            </w:r>
          </w:p>
        </w:tc>
      </w:tr>
      <w:tr w14:paraId="7521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3427" w:hRule="exact"/>
          <w:jc w:val="center"/>
        </w:trPr>
        <w:tc>
          <w:tcPr>
            <w:tcW w:w="533" w:type="dxa"/>
            <w:vMerge w:val="continue"/>
            <w:noWrap w:val="0"/>
            <w:vAlign w:val="center"/>
          </w:tcPr>
          <w:p w14:paraId="48166332">
            <w:pPr>
              <w:widowControl/>
              <w:jc w:val="left"/>
              <w:rPr>
                <w:rFonts w:ascii="楷体" w:hAnsi="楷体" w:eastAsia="楷体" w:cs="楷体"/>
                <w:szCs w:val="21"/>
              </w:rPr>
            </w:pPr>
          </w:p>
        </w:tc>
        <w:tc>
          <w:tcPr>
            <w:tcW w:w="1168" w:type="dxa"/>
            <w:noWrap w:val="0"/>
            <w:vAlign w:val="center"/>
          </w:tcPr>
          <w:p w14:paraId="17D847A4">
            <w:pPr>
              <w:jc w:val="center"/>
              <w:rPr>
                <w:rFonts w:ascii="楷体" w:hAnsi="楷体" w:eastAsia="楷体" w:cs="楷体"/>
                <w:szCs w:val="21"/>
              </w:rPr>
            </w:pPr>
            <w:r>
              <w:rPr>
                <w:rFonts w:hint="eastAsia" w:ascii="楷体" w:hAnsi="楷体" w:eastAsia="楷体" w:cs="楷体"/>
                <w:szCs w:val="21"/>
              </w:rPr>
              <w:t>部门职能概述</w:t>
            </w:r>
          </w:p>
        </w:tc>
        <w:tc>
          <w:tcPr>
            <w:tcW w:w="7299" w:type="dxa"/>
            <w:gridSpan w:val="9"/>
            <w:noWrap w:val="0"/>
            <w:vAlign w:val="top"/>
          </w:tcPr>
          <w:p w14:paraId="59C0A70D">
            <w:pPr>
              <w:spacing w:line="340" w:lineRule="exact"/>
              <w:jc w:val="left"/>
              <w:rPr>
                <w:rFonts w:ascii="楷体" w:hAnsi="楷体" w:eastAsia="楷体" w:cs="楷体"/>
                <w:szCs w:val="21"/>
              </w:rPr>
            </w:pPr>
            <w:r>
              <w:rPr>
                <w:rFonts w:hint="eastAsia" w:ascii="楷体" w:hAnsi="楷体" w:eastAsia="楷体" w:cs="楷体"/>
                <w:szCs w:val="21"/>
                <w:lang w:val="en-US" w:eastAsia="zh-CN"/>
              </w:rPr>
              <w:t>1</w:t>
            </w:r>
            <w:r>
              <w:rPr>
                <w:rFonts w:hint="eastAsia" w:ascii="楷体" w:hAnsi="楷体" w:eastAsia="楷体" w:cs="楷体"/>
                <w:szCs w:val="21"/>
              </w:rPr>
              <w:t>、惯彻执行国家和交通主管部门有关道路运输管理的方针政策，依据《中华人民共和国道路运输条例》和《湖南省道路运输条例》及主管部门授权，负责具体实施道路运输管理工作。2、拟定全县道路运输行业发展规划并组织实施；负责道路运输业的统筹、协调、监督、服务工作。3、负责管理全县道路旅客运输、货物运输、货运物流、道路运输辅助性业务并进行年度审验；负责机动车车辆技术管理。4、负责把好道路运输市场准入关、营运车辆技术状况关、从业人员资格关、搞好道路运输安全源头管理、监督道路运输经营者做好运输安全工作。5、负责组织协调重点物质、大宗货物的运输工作，促进地区之间、运输企业之间的联营、联运、做好战备、防汛、抢险、救灾物资的运输组织工作。承办县人民政府和县交通运输局交办的其他工作。</w:t>
            </w:r>
          </w:p>
        </w:tc>
      </w:tr>
      <w:tr w14:paraId="5F795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72" w:hRule="exact"/>
          <w:jc w:val="center"/>
        </w:trPr>
        <w:tc>
          <w:tcPr>
            <w:tcW w:w="533" w:type="dxa"/>
            <w:vMerge w:val="continue"/>
            <w:noWrap w:val="0"/>
            <w:vAlign w:val="center"/>
          </w:tcPr>
          <w:p w14:paraId="3B10FBAB">
            <w:pPr>
              <w:widowControl/>
              <w:jc w:val="left"/>
              <w:rPr>
                <w:rFonts w:ascii="楷体" w:hAnsi="楷体" w:eastAsia="楷体" w:cs="楷体"/>
                <w:szCs w:val="21"/>
              </w:rPr>
            </w:pPr>
          </w:p>
        </w:tc>
        <w:tc>
          <w:tcPr>
            <w:tcW w:w="1168" w:type="dxa"/>
            <w:vMerge w:val="restart"/>
            <w:noWrap w:val="0"/>
            <w:vAlign w:val="center"/>
          </w:tcPr>
          <w:p w14:paraId="6D6C1192">
            <w:pPr>
              <w:spacing w:line="240" w:lineRule="atLeast"/>
              <w:jc w:val="center"/>
              <w:rPr>
                <w:rFonts w:ascii="楷体" w:hAnsi="楷体" w:eastAsia="楷体" w:cs="楷体"/>
                <w:szCs w:val="21"/>
              </w:rPr>
            </w:pPr>
            <w:r>
              <w:rPr>
                <w:rFonts w:hint="eastAsia" w:ascii="楷体" w:hAnsi="楷体" w:eastAsia="楷体" w:cs="楷体"/>
                <w:szCs w:val="21"/>
              </w:rPr>
              <w:t>年度收入（万元）</w:t>
            </w:r>
          </w:p>
        </w:tc>
        <w:tc>
          <w:tcPr>
            <w:tcW w:w="2372" w:type="dxa"/>
            <w:noWrap w:val="0"/>
            <w:vAlign w:val="center"/>
          </w:tcPr>
          <w:p w14:paraId="7E137DDF">
            <w:pPr>
              <w:jc w:val="center"/>
              <w:rPr>
                <w:rFonts w:ascii="楷体" w:hAnsi="楷体" w:eastAsia="楷体" w:cs="楷体"/>
                <w:szCs w:val="21"/>
              </w:rPr>
            </w:pPr>
            <w:r>
              <w:rPr>
                <w:rFonts w:hint="eastAsia" w:ascii="楷体" w:hAnsi="楷体" w:eastAsia="楷体" w:cs="楷体"/>
                <w:szCs w:val="21"/>
              </w:rPr>
              <w:t>县财政预算安排</w:t>
            </w:r>
          </w:p>
        </w:tc>
        <w:tc>
          <w:tcPr>
            <w:tcW w:w="980" w:type="dxa"/>
            <w:gridSpan w:val="2"/>
            <w:noWrap w:val="0"/>
            <w:vAlign w:val="center"/>
          </w:tcPr>
          <w:p w14:paraId="1A6C9578">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1150.99</w:t>
            </w:r>
          </w:p>
        </w:tc>
        <w:tc>
          <w:tcPr>
            <w:tcW w:w="1350" w:type="dxa"/>
            <w:gridSpan w:val="2"/>
            <w:noWrap w:val="0"/>
            <w:vAlign w:val="center"/>
          </w:tcPr>
          <w:p w14:paraId="6C5CD32B">
            <w:pPr>
              <w:spacing w:line="560" w:lineRule="exact"/>
              <w:jc w:val="center"/>
              <w:rPr>
                <w:rFonts w:ascii="楷体" w:hAnsi="楷体" w:eastAsia="楷体" w:cs="楷体"/>
                <w:szCs w:val="21"/>
              </w:rPr>
            </w:pPr>
            <w:r>
              <w:rPr>
                <w:rFonts w:hint="eastAsia" w:ascii="楷体" w:hAnsi="楷体" w:eastAsia="楷体" w:cs="楷体"/>
                <w:szCs w:val="21"/>
              </w:rPr>
              <w:t>非税收入</w:t>
            </w:r>
          </w:p>
        </w:tc>
        <w:tc>
          <w:tcPr>
            <w:tcW w:w="975" w:type="dxa"/>
            <w:noWrap w:val="0"/>
            <w:vAlign w:val="top"/>
          </w:tcPr>
          <w:p w14:paraId="23897B33">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416.7</w:t>
            </w:r>
          </w:p>
        </w:tc>
        <w:tc>
          <w:tcPr>
            <w:tcW w:w="645" w:type="dxa"/>
            <w:vMerge w:val="restart"/>
            <w:noWrap w:val="0"/>
            <w:vAlign w:val="center"/>
          </w:tcPr>
          <w:p w14:paraId="0A819416">
            <w:pPr>
              <w:spacing w:line="560" w:lineRule="exact"/>
              <w:jc w:val="center"/>
              <w:rPr>
                <w:rFonts w:ascii="楷体" w:hAnsi="楷体" w:eastAsia="楷体" w:cs="楷体"/>
                <w:szCs w:val="21"/>
              </w:rPr>
            </w:pPr>
            <w:r>
              <w:rPr>
                <w:rFonts w:hint="eastAsia" w:ascii="楷体" w:hAnsi="楷体" w:eastAsia="楷体" w:cs="楷体"/>
                <w:szCs w:val="21"/>
              </w:rPr>
              <w:t>合计</w:t>
            </w:r>
          </w:p>
        </w:tc>
        <w:tc>
          <w:tcPr>
            <w:tcW w:w="977" w:type="dxa"/>
            <w:gridSpan w:val="2"/>
            <w:vMerge w:val="restart"/>
            <w:noWrap w:val="0"/>
            <w:vAlign w:val="top"/>
          </w:tcPr>
          <w:p w14:paraId="1FBD3DFC">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1616.85</w:t>
            </w:r>
          </w:p>
        </w:tc>
      </w:tr>
      <w:tr w14:paraId="04CB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55" w:hRule="exact"/>
          <w:jc w:val="center"/>
        </w:trPr>
        <w:tc>
          <w:tcPr>
            <w:tcW w:w="533" w:type="dxa"/>
            <w:vMerge w:val="continue"/>
            <w:noWrap w:val="0"/>
            <w:vAlign w:val="center"/>
          </w:tcPr>
          <w:p w14:paraId="48B3B0C2">
            <w:pPr>
              <w:widowControl/>
              <w:jc w:val="left"/>
              <w:rPr>
                <w:rFonts w:ascii="楷体" w:hAnsi="楷体" w:eastAsia="楷体" w:cs="楷体"/>
                <w:szCs w:val="21"/>
              </w:rPr>
            </w:pPr>
          </w:p>
        </w:tc>
        <w:tc>
          <w:tcPr>
            <w:tcW w:w="1168" w:type="dxa"/>
            <w:vMerge w:val="continue"/>
            <w:noWrap w:val="0"/>
            <w:vAlign w:val="center"/>
          </w:tcPr>
          <w:p w14:paraId="2717164F">
            <w:pPr>
              <w:spacing w:line="240" w:lineRule="atLeast"/>
              <w:jc w:val="center"/>
              <w:rPr>
                <w:rFonts w:ascii="楷体" w:hAnsi="楷体" w:eastAsia="楷体" w:cs="楷体"/>
                <w:szCs w:val="21"/>
              </w:rPr>
            </w:pPr>
          </w:p>
        </w:tc>
        <w:tc>
          <w:tcPr>
            <w:tcW w:w="2372" w:type="dxa"/>
            <w:noWrap w:val="0"/>
            <w:vAlign w:val="center"/>
          </w:tcPr>
          <w:p w14:paraId="06ECC8B3">
            <w:pPr>
              <w:jc w:val="center"/>
              <w:rPr>
                <w:rFonts w:ascii="楷体" w:hAnsi="楷体" w:eastAsia="楷体" w:cs="楷体"/>
                <w:szCs w:val="21"/>
              </w:rPr>
            </w:pPr>
            <w:r>
              <w:rPr>
                <w:rFonts w:hint="eastAsia" w:ascii="楷体" w:hAnsi="楷体" w:eastAsia="楷体" w:cs="楷体"/>
                <w:szCs w:val="21"/>
              </w:rPr>
              <w:t>中央省市安排资金</w:t>
            </w:r>
          </w:p>
        </w:tc>
        <w:tc>
          <w:tcPr>
            <w:tcW w:w="980" w:type="dxa"/>
            <w:gridSpan w:val="2"/>
            <w:noWrap w:val="0"/>
            <w:vAlign w:val="center"/>
          </w:tcPr>
          <w:p w14:paraId="22C8C511">
            <w:pPr>
              <w:jc w:val="center"/>
              <w:rPr>
                <w:rFonts w:ascii="楷体" w:hAnsi="楷体" w:eastAsia="楷体" w:cs="楷体"/>
                <w:szCs w:val="21"/>
              </w:rPr>
            </w:pPr>
          </w:p>
        </w:tc>
        <w:tc>
          <w:tcPr>
            <w:tcW w:w="1350" w:type="dxa"/>
            <w:gridSpan w:val="2"/>
            <w:noWrap w:val="0"/>
            <w:vAlign w:val="center"/>
          </w:tcPr>
          <w:p w14:paraId="46BF3195">
            <w:pPr>
              <w:spacing w:line="560" w:lineRule="exact"/>
              <w:ind w:firstLine="210" w:firstLineChars="100"/>
              <w:rPr>
                <w:rFonts w:ascii="楷体" w:hAnsi="楷体" w:eastAsia="楷体" w:cs="楷体"/>
                <w:szCs w:val="21"/>
              </w:rPr>
            </w:pPr>
            <w:r>
              <w:rPr>
                <w:rFonts w:hint="eastAsia" w:ascii="楷体" w:hAnsi="楷体" w:eastAsia="楷体" w:cs="楷体"/>
                <w:szCs w:val="21"/>
              </w:rPr>
              <w:t>其他收入</w:t>
            </w:r>
          </w:p>
        </w:tc>
        <w:tc>
          <w:tcPr>
            <w:tcW w:w="975" w:type="dxa"/>
            <w:noWrap w:val="0"/>
            <w:vAlign w:val="top"/>
          </w:tcPr>
          <w:p w14:paraId="773068AC">
            <w:pPr>
              <w:spacing w:line="560" w:lineRule="exact"/>
              <w:jc w:val="left"/>
              <w:rPr>
                <w:rFonts w:hint="default" w:ascii="楷体" w:hAnsi="楷体" w:eastAsia="楷体" w:cs="楷体"/>
                <w:szCs w:val="21"/>
                <w:lang w:val="en-US" w:eastAsia="zh-CN"/>
              </w:rPr>
            </w:pPr>
            <w:r>
              <w:rPr>
                <w:rFonts w:hint="eastAsia" w:ascii="楷体" w:hAnsi="楷体" w:eastAsia="楷体" w:cs="楷体"/>
                <w:szCs w:val="21"/>
                <w:lang w:val="en-US" w:eastAsia="zh-CN"/>
              </w:rPr>
              <w:t>49.16</w:t>
            </w:r>
          </w:p>
        </w:tc>
        <w:tc>
          <w:tcPr>
            <w:tcW w:w="645" w:type="dxa"/>
            <w:vMerge w:val="continue"/>
            <w:noWrap w:val="0"/>
            <w:vAlign w:val="center"/>
          </w:tcPr>
          <w:p w14:paraId="16E6ED1C">
            <w:pPr>
              <w:spacing w:line="560" w:lineRule="exact"/>
              <w:jc w:val="center"/>
              <w:rPr>
                <w:rFonts w:ascii="楷体" w:hAnsi="楷体" w:eastAsia="楷体" w:cs="楷体"/>
                <w:szCs w:val="21"/>
              </w:rPr>
            </w:pPr>
          </w:p>
        </w:tc>
        <w:tc>
          <w:tcPr>
            <w:tcW w:w="977" w:type="dxa"/>
            <w:gridSpan w:val="2"/>
            <w:vMerge w:val="continue"/>
            <w:noWrap w:val="0"/>
            <w:vAlign w:val="top"/>
          </w:tcPr>
          <w:p w14:paraId="2D0C2D27">
            <w:pPr>
              <w:spacing w:line="560" w:lineRule="exact"/>
              <w:jc w:val="left"/>
              <w:rPr>
                <w:rFonts w:ascii="楷体" w:hAnsi="楷体" w:eastAsia="楷体" w:cs="楷体"/>
                <w:szCs w:val="21"/>
              </w:rPr>
            </w:pPr>
          </w:p>
        </w:tc>
      </w:tr>
      <w:tr w14:paraId="335F6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0" w:hRule="exact"/>
          <w:jc w:val="center"/>
        </w:trPr>
        <w:tc>
          <w:tcPr>
            <w:tcW w:w="533" w:type="dxa"/>
            <w:vMerge w:val="continue"/>
            <w:noWrap w:val="0"/>
            <w:vAlign w:val="center"/>
          </w:tcPr>
          <w:p w14:paraId="349C72EF">
            <w:pPr>
              <w:widowControl/>
              <w:jc w:val="left"/>
              <w:rPr>
                <w:rFonts w:ascii="楷体" w:hAnsi="楷体" w:eastAsia="楷体" w:cs="楷体"/>
                <w:szCs w:val="21"/>
              </w:rPr>
            </w:pPr>
          </w:p>
        </w:tc>
        <w:tc>
          <w:tcPr>
            <w:tcW w:w="1168" w:type="dxa"/>
            <w:vMerge w:val="restart"/>
            <w:noWrap w:val="0"/>
            <w:vAlign w:val="center"/>
          </w:tcPr>
          <w:p w14:paraId="684B85B4">
            <w:pPr>
              <w:jc w:val="center"/>
              <w:rPr>
                <w:rFonts w:ascii="楷体" w:hAnsi="楷体" w:eastAsia="楷体" w:cs="楷体"/>
                <w:szCs w:val="21"/>
              </w:rPr>
            </w:pPr>
            <w:r>
              <w:rPr>
                <w:rFonts w:hint="eastAsia" w:ascii="楷体" w:hAnsi="楷体" w:eastAsia="楷体" w:cs="楷体"/>
                <w:szCs w:val="21"/>
              </w:rPr>
              <w:t>年度支出</w:t>
            </w:r>
          </w:p>
          <w:p w14:paraId="6F05A42A">
            <w:pPr>
              <w:jc w:val="center"/>
              <w:rPr>
                <w:rFonts w:ascii="楷体" w:hAnsi="楷体" w:eastAsia="楷体" w:cs="楷体"/>
                <w:szCs w:val="21"/>
              </w:rPr>
            </w:pPr>
            <w:r>
              <w:rPr>
                <w:rFonts w:hint="eastAsia" w:ascii="楷体" w:hAnsi="楷体" w:eastAsia="楷体" w:cs="楷体"/>
                <w:szCs w:val="21"/>
              </w:rPr>
              <w:t>（万元）</w:t>
            </w:r>
          </w:p>
        </w:tc>
        <w:tc>
          <w:tcPr>
            <w:tcW w:w="2372" w:type="dxa"/>
            <w:noWrap w:val="0"/>
            <w:vAlign w:val="center"/>
          </w:tcPr>
          <w:p w14:paraId="5DB80563">
            <w:pPr>
              <w:jc w:val="center"/>
              <w:rPr>
                <w:rFonts w:ascii="楷体" w:hAnsi="楷体" w:eastAsia="楷体" w:cs="楷体"/>
                <w:szCs w:val="21"/>
              </w:rPr>
            </w:pPr>
            <w:r>
              <w:rPr>
                <w:rFonts w:hint="eastAsia" w:ascii="楷体" w:hAnsi="楷体" w:eastAsia="楷体" w:cs="楷体"/>
                <w:szCs w:val="21"/>
              </w:rPr>
              <w:t>基本支出</w:t>
            </w:r>
          </w:p>
        </w:tc>
        <w:tc>
          <w:tcPr>
            <w:tcW w:w="980" w:type="dxa"/>
            <w:gridSpan w:val="2"/>
            <w:noWrap w:val="0"/>
            <w:vAlign w:val="center"/>
          </w:tcPr>
          <w:p w14:paraId="7EC83467">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1708.36</w:t>
            </w:r>
          </w:p>
        </w:tc>
        <w:tc>
          <w:tcPr>
            <w:tcW w:w="1350" w:type="dxa"/>
            <w:gridSpan w:val="2"/>
            <w:vMerge w:val="restart"/>
            <w:noWrap w:val="0"/>
            <w:vAlign w:val="center"/>
          </w:tcPr>
          <w:p w14:paraId="6B3F52A8">
            <w:pPr>
              <w:jc w:val="center"/>
              <w:rPr>
                <w:rFonts w:ascii="楷体" w:hAnsi="楷体" w:eastAsia="楷体" w:cs="楷体"/>
                <w:szCs w:val="21"/>
              </w:rPr>
            </w:pPr>
            <w:r>
              <w:rPr>
                <w:rFonts w:hint="eastAsia" w:ascii="楷体" w:hAnsi="楷体" w:eastAsia="楷体" w:cs="楷体"/>
                <w:szCs w:val="21"/>
              </w:rPr>
              <w:t>项目支出</w:t>
            </w:r>
          </w:p>
        </w:tc>
        <w:tc>
          <w:tcPr>
            <w:tcW w:w="975" w:type="dxa"/>
            <w:vMerge w:val="restart"/>
            <w:noWrap w:val="0"/>
            <w:vAlign w:val="center"/>
          </w:tcPr>
          <w:p w14:paraId="6072EE0C">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10</w:t>
            </w:r>
          </w:p>
        </w:tc>
        <w:tc>
          <w:tcPr>
            <w:tcW w:w="645" w:type="dxa"/>
            <w:vMerge w:val="restart"/>
            <w:noWrap w:val="0"/>
            <w:vAlign w:val="center"/>
          </w:tcPr>
          <w:p w14:paraId="286193DA">
            <w:pPr>
              <w:jc w:val="center"/>
              <w:rPr>
                <w:rFonts w:ascii="楷体" w:hAnsi="楷体" w:eastAsia="楷体" w:cs="楷体"/>
                <w:szCs w:val="21"/>
              </w:rPr>
            </w:pPr>
            <w:r>
              <w:rPr>
                <w:rFonts w:hint="eastAsia" w:ascii="楷体" w:hAnsi="楷体" w:eastAsia="楷体" w:cs="楷体"/>
                <w:szCs w:val="21"/>
              </w:rPr>
              <w:t>合计</w:t>
            </w:r>
          </w:p>
        </w:tc>
        <w:tc>
          <w:tcPr>
            <w:tcW w:w="977" w:type="dxa"/>
            <w:gridSpan w:val="2"/>
            <w:vMerge w:val="restart"/>
            <w:noWrap w:val="0"/>
            <w:vAlign w:val="center"/>
          </w:tcPr>
          <w:p w14:paraId="25E347BE">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1718.36</w:t>
            </w:r>
          </w:p>
        </w:tc>
      </w:tr>
      <w:tr w14:paraId="34A7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708" w:hRule="exact"/>
          <w:jc w:val="center"/>
        </w:trPr>
        <w:tc>
          <w:tcPr>
            <w:tcW w:w="533" w:type="dxa"/>
            <w:vMerge w:val="continue"/>
            <w:noWrap w:val="0"/>
            <w:vAlign w:val="center"/>
          </w:tcPr>
          <w:p w14:paraId="75FAB189">
            <w:pPr>
              <w:widowControl/>
              <w:jc w:val="left"/>
              <w:rPr>
                <w:rFonts w:ascii="楷体" w:hAnsi="楷体" w:eastAsia="楷体" w:cs="楷体"/>
                <w:szCs w:val="21"/>
              </w:rPr>
            </w:pPr>
          </w:p>
        </w:tc>
        <w:tc>
          <w:tcPr>
            <w:tcW w:w="1168" w:type="dxa"/>
            <w:vMerge w:val="continue"/>
            <w:noWrap w:val="0"/>
            <w:vAlign w:val="center"/>
          </w:tcPr>
          <w:p w14:paraId="405AD287">
            <w:pPr>
              <w:jc w:val="center"/>
              <w:rPr>
                <w:rFonts w:ascii="楷体" w:hAnsi="楷体" w:eastAsia="楷体" w:cs="楷体"/>
                <w:szCs w:val="21"/>
              </w:rPr>
            </w:pPr>
          </w:p>
        </w:tc>
        <w:tc>
          <w:tcPr>
            <w:tcW w:w="2372" w:type="dxa"/>
            <w:noWrap w:val="0"/>
            <w:tcMar>
              <w:left w:w="0" w:type="dxa"/>
              <w:right w:w="0" w:type="dxa"/>
            </w:tcMar>
            <w:vAlign w:val="center"/>
          </w:tcPr>
          <w:p w14:paraId="213AF67E">
            <w:pPr>
              <w:jc w:val="center"/>
              <w:rPr>
                <w:rFonts w:ascii="楷体" w:hAnsi="楷体" w:eastAsia="楷体" w:cs="楷体"/>
                <w:szCs w:val="21"/>
              </w:rPr>
            </w:pPr>
            <w:r>
              <w:rPr>
                <w:rFonts w:hint="eastAsia" w:ascii="楷体" w:hAnsi="楷体" w:eastAsia="楷体" w:cs="楷体"/>
                <w:szCs w:val="21"/>
              </w:rPr>
              <w:t>其中三公经费支出</w:t>
            </w:r>
          </w:p>
        </w:tc>
        <w:tc>
          <w:tcPr>
            <w:tcW w:w="980" w:type="dxa"/>
            <w:gridSpan w:val="2"/>
            <w:noWrap w:val="0"/>
            <w:vAlign w:val="center"/>
          </w:tcPr>
          <w:p w14:paraId="3A1591A9">
            <w:pPr>
              <w:jc w:val="center"/>
              <w:rPr>
                <w:rFonts w:hint="default" w:ascii="楷体" w:hAnsi="楷体" w:eastAsia="楷体" w:cs="楷体"/>
                <w:szCs w:val="21"/>
                <w:lang w:val="en-US" w:eastAsia="zh-CN"/>
              </w:rPr>
            </w:pPr>
            <w:r>
              <w:rPr>
                <w:rFonts w:hint="eastAsia" w:ascii="楷体" w:hAnsi="楷体" w:eastAsia="楷体" w:cs="楷体"/>
                <w:szCs w:val="21"/>
                <w:lang w:val="en-US" w:eastAsia="zh-CN"/>
              </w:rPr>
              <w:t>94.08</w:t>
            </w:r>
          </w:p>
        </w:tc>
        <w:tc>
          <w:tcPr>
            <w:tcW w:w="1350" w:type="dxa"/>
            <w:gridSpan w:val="2"/>
            <w:vMerge w:val="continue"/>
            <w:noWrap w:val="0"/>
            <w:vAlign w:val="top"/>
          </w:tcPr>
          <w:p w14:paraId="44FDCC65">
            <w:pPr>
              <w:jc w:val="center"/>
              <w:rPr>
                <w:rFonts w:ascii="楷体" w:hAnsi="楷体" w:eastAsia="楷体" w:cs="楷体"/>
                <w:szCs w:val="21"/>
              </w:rPr>
            </w:pPr>
          </w:p>
        </w:tc>
        <w:tc>
          <w:tcPr>
            <w:tcW w:w="975" w:type="dxa"/>
            <w:vMerge w:val="continue"/>
            <w:noWrap w:val="0"/>
            <w:vAlign w:val="top"/>
          </w:tcPr>
          <w:p w14:paraId="132DBF5A">
            <w:pPr>
              <w:jc w:val="center"/>
              <w:rPr>
                <w:rFonts w:ascii="楷体" w:hAnsi="楷体" w:eastAsia="楷体" w:cs="楷体"/>
                <w:szCs w:val="21"/>
              </w:rPr>
            </w:pPr>
          </w:p>
        </w:tc>
        <w:tc>
          <w:tcPr>
            <w:tcW w:w="645" w:type="dxa"/>
            <w:vMerge w:val="continue"/>
            <w:noWrap w:val="0"/>
            <w:vAlign w:val="center"/>
          </w:tcPr>
          <w:p w14:paraId="4D4DA6FE">
            <w:pPr>
              <w:jc w:val="center"/>
              <w:rPr>
                <w:rFonts w:ascii="楷体" w:hAnsi="楷体" w:eastAsia="楷体" w:cs="楷体"/>
                <w:szCs w:val="21"/>
              </w:rPr>
            </w:pPr>
          </w:p>
        </w:tc>
        <w:tc>
          <w:tcPr>
            <w:tcW w:w="977" w:type="dxa"/>
            <w:gridSpan w:val="2"/>
            <w:vMerge w:val="continue"/>
            <w:noWrap w:val="0"/>
            <w:vAlign w:val="center"/>
          </w:tcPr>
          <w:p w14:paraId="1939291A">
            <w:pPr>
              <w:jc w:val="center"/>
              <w:rPr>
                <w:rFonts w:ascii="楷体" w:hAnsi="楷体" w:eastAsia="楷体" w:cs="楷体"/>
                <w:szCs w:val="21"/>
              </w:rPr>
            </w:pPr>
          </w:p>
        </w:tc>
      </w:tr>
      <w:tr w14:paraId="0579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6" w:hRule="exact"/>
          <w:jc w:val="center"/>
        </w:trPr>
        <w:tc>
          <w:tcPr>
            <w:tcW w:w="533" w:type="dxa"/>
            <w:vMerge w:val="restart"/>
            <w:noWrap w:val="0"/>
            <w:vAlign w:val="center"/>
          </w:tcPr>
          <w:p w14:paraId="766BA9FB">
            <w:pPr>
              <w:spacing w:line="560" w:lineRule="exact"/>
              <w:jc w:val="center"/>
              <w:rPr>
                <w:rFonts w:ascii="楷体" w:hAnsi="楷体" w:eastAsia="楷体" w:cs="楷体"/>
                <w:szCs w:val="21"/>
              </w:rPr>
            </w:pPr>
            <w:r>
              <w:rPr>
                <w:rFonts w:hint="eastAsia" w:ascii="楷体" w:hAnsi="楷体" w:eastAsia="楷体" w:cs="楷体"/>
                <w:szCs w:val="21"/>
              </w:rPr>
              <w:t>实施情况</w:t>
            </w:r>
          </w:p>
        </w:tc>
        <w:tc>
          <w:tcPr>
            <w:tcW w:w="1168" w:type="dxa"/>
            <w:noWrap w:val="0"/>
            <w:vAlign w:val="center"/>
          </w:tcPr>
          <w:p w14:paraId="7ABB57CE">
            <w:pPr>
              <w:jc w:val="center"/>
              <w:rPr>
                <w:rFonts w:ascii="楷体" w:hAnsi="楷体" w:eastAsia="楷体" w:cs="楷体"/>
                <w:szCs w:val="21"/>
              </w:rPr>
            </w:pPr>
            <w:r>
              <w:rPr>
                <w:rFonts w:hint="eastAsia" w:ascii="楷体" w:hAnsi="楷体" w:eastAsia="楷体" w:cs="楷体"/>
                <w:szCs w:val="21"/>
              </w:rPr>
              <w:t>财政供养人员控制情况</w:t>
            </w:r>
          </w:p>
        </w:tc>
        <w:tc>
          <w:tcPr>
            <w:tcW w:w="7299" w:type="dxa"/>
            <w:gridSpan w:val="9"/>
            <w:noWrap w:val="0"/>
            <w:vAlign w:val="center"/>
          </w:tcPr>
          <w:p w14:paraId="514B7450">
            <w:pPr>
              <w:rPr>
                <w:rFonts w:ascii="楷体" w:hAnsi="楷体" w:eastAsia="楷体" w:cs="楷体"/>
                <w:szCs w:val="21"/>
              </w:rPr>
            </w:pPr>
            <w:r>
              <w:rPr>
                <w:rFonts w:hint="eastAsia" w:ascii="楷体" w:hAnsi="楷体" w:eastAsia="楷体" w:cs="楷体"/>
                <w:szCs w:val="21"/>
              </w:rPr>
              <w:t>是否存在超编超配人员：</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A3"/>
            </w:r>
          </w:p>
        </w:tc>
      </w:tr>
      <w:tr w14:paraId="52F3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437" w:hRule="exact"/>
          <w:jc w:val="center"/>
        </w:trPr>
        <w:tc>
          <w:tcPr>
            <w:tcW w:w="533" w:type="dxa"/>
            <w:vMerge w:val="continue"/>
            <w:noWrap w:val="0"/>
            <w:vAlign w:val="center"/>
          </w:tcPr>
          <w:p w14:paraId="55820280">
            <w:pPr>
              <w:widowControl/>
              <w:jc w:val="left"/>
              <w:rPr>
                <w:rFonts w:ascii="楷体" w:hAnsi="楷体" w:eastAsia="楷体" w:cs="楷体"/>
                <w:szCs w:val="21"/>
              </w:rPr>
            </w:pPr>
          </w:p>
        </w:tc>
        <w:tc>
          <w:tcPr>
            <w:tcW w:w="1168" w:type="dxa"/>
            <w:noWrap w:val="0"/>
            <w:vAlign w:val="center"/>
          </w:tcPr>
          <w:p w14:paraId="4CA85E4C">
            <w:pPr>
              <w:spacing w:line="240" w:lineRule="atLeast"/>
              <w:jc w:val="center"/>
              <w:rPr>
                <w:rFonts w:ascii="楷体" w:hAnsi="楷体" w:eastAsia="楷体" w:cs="楷体"/>
                <w:szCs w:val="21"/>
              </w:rPr>
            </w:pPr>
            <w:r>
              <w:rPr>
                <w:rFonts w:hint="eastAsia" w:ascii="楷体" w:hAnsi="楷体" w:eastAsia="楷体" w:cs="楷体"/>
                <w:szCs w:val="21"/>
              </w:rPr>
              <w:t>三公经费管理情况</w:t>
            </w:r>
          </w:p>
        </w:tc>
        <w:tc>
          <w:tcPr>
            <w:tcW w:w="7299" w:type="dxa"/>
            <w:gridSpan w:val="9"/>
            <w:noWrap w:val="0"/>
            <w:vAlign w:val="center"/>
          </w:tcPr>
          <w:p w14:paraId="60D53D3F">
            <w:pPr>
              <w:rPr>
                <w:rFonts w:ascii="楷体" w:hAnsi="楷体" w:eastAsia="楷体" w:cs="楷体"/>
                <w:szCs w:val="21"/>
              </w:rPr>
            </w:pPr>
            <w:r>
              <w:rPr>
                <w:rFonts w:hint="eastAsia" w:ascii="楷体" w:hAnsi="楷体" w:eastAsia="楷体" w:cs="楷体"/>
                <w:szCs w:val="21"/>
              </w:rPr>
              <w:t>是否制定“三公”经费管理办法：是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63FBC59E">
            <w:pPr>
              <w:rPr>
                <w:rFonts w:ascii="楷体" w:hAnsi="楷体" w:eastAsia="楷体" w:cs="楷体"/>
                <w:szCs w:val="21"/>
              </w:rPr>
            </w:pPr>
            <w:r>
              <w:rPr>
                <w:rFonts w:hint="eastAsia" w:ascii="楷体" w:hAnsi="楷体" w:eastAsia="楷体" w:cs="楷体"/>
                <w:szCs w:val="21"/>
              </w:rPr>
              <w:t>招待费用是否明确招待标准和招待人数：是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5FC88C40">
            <w:pPr>
              <w:jc w:val="left"/>
              <w:rPr>
                <w:rFonts w:ascii="楷体" w:hAnsi="楷体" w:eastAsia="楷体" w:cs="楷体"/>
                <w:szCs w:val="21"/>
              </w:rPr>
            </w:pPr>
            <w:r>
              <w:rPr>
                <w:rFonts w:hint="eastAsia" w:ascii="楷体" w:hAnsi="楷体" w:eastAsia="楷体" w:cs="楷体"/>
                <w:szCs w:val="21"/>
              </w:rPr>
              <w:t>公务用车购置运行费是否比上年度下降</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47ADD9A2">
            <w:pPr>
              <w:jc w:val="left"/>
              <w:rPr>
                <w:rFonts w:ascii="楷体" w:hAnsi="楷体" w:eastAsia="楷体" w:cs="楷体"/>
                <w:szCs w:val="21"/>
              </w:rPr>
            </w:pPr>
            <w:r>
              <w:rPr>
                <w:rFonts w:hint="eastAsia" w:ascii="楷体" w:hAnsi="楷体" w:eastAsia="楷体" w:cs="楷体"/>
                <w:szCs w:val="21"/>
              </w:rPr>
              <w:t>三公经费是否比年度下降：是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tc>
      </w:tr>
      <w:tr w14:paraId="01D4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125" w:hRule="exact"/>
          <w:jc w:val="center"/>
        </w:trPr>
        <w:tc>
          <w:tcPr>
            <w:tcW w:w="533" w:type="dxa"/>
            <w:vMerge w:val="continue"/>
            <w:noWrap w:val="0"/>
            <w:vAlign w:val="center"/>
          </w:tcPr>
          <w:p w14:paraId="46AF7215">
            <w:pPr>
              <w:widowControl/>
              <w:jc w:val="left"/>
              <w:rPr>
                <w:rFonts w:ascii="楷体" w:hAnsi="楷体" w:eastAsia="楷体" w:cs="楷体"/>
                <w:szCs w:val="21"/>
              </w:rPr>
            </w:pPr>
          </w:p>
        </w:tc>
        <w:tc>
          <w:tcPr>
            <w:tcW w:w="1168" w:type="dxa"/>
            <w:noWrap w:val="0"/>
            <w:vAlign w:val="center"/>
          </w:tcPr>
          <w:p w14:paraId="1D6E9467">
            <w:pPr>
              <w:spacing w:line="240" w:lineRule="atLeast"/>
              <w:jc w:val="center"/>
              <w:rPr>
                <w:rFonts w:ascii="楷体" w:hAnsi="楷体" w:eastAsia="楷体" w:cs="楷体"/>
                <w:szCs w:val="21"/>
              </w:rPr>
            </w:pPr>
            <w:r>
              <w:rPr>
                <w:rFonts w:hint="eastAsia" w:ascii="楷体" w:hAnsi="楷体" w:eastAsia="楷体" w:cs="楷体"/>
                <w:szCs w:val="21"/>
              </w:rPr>
              <w:t>非税收入完成情况</w:t>
            </w:r>
          </w:p>
        </w:tc>
        <w:tc>
          <w:tcPr>
            <w:tcW w:w="7299" w:type="dxa"/>
            <w:gridSpan w:val="9"/>
            <w:noWrap w:val="0"/>
            <w:vAlign w:val="center"/>
          </w:tcPr>
          <w:p w14:paraId="7297A7B3">
            <w:pPr>
              <w:rPr>
                <w:rFonts w:ascii="楷体" w:hAnsi="楷体" w:eastAsia="楷体" w:cs="楷体"/>
                <w:szCs w:val="21"/>
              </w:rPr>
            </w:pPr>
            <w:r>
              <w:rPr>
                <w:rFonts w:hint="eastAsia" w:ascii="楷体" w:hAnsi="楷体" w:eastAsia="楷体" w:cs="楷体"/>
                <w:szCs w:val="21"/>
              </w:rPr>
              <w:t>年度非税收入是否完成</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5467AC60">
            <w:pPr>
              <w:rPr>
                <w:rFonts w:ascii="楷体" w:hAnsi="楷体" w:eastAsia="楷体" w:cs="楷体"/>
                <w:szCs w:val="21"/>
              </w:rPr>
            </w:pPr>
            <w:r>
              <w:rPr>
                <w:rFonts w:hint="eastAsia" w:ascii="楷体" w:hAnsi="楷体" w:eastAsia="楷体" w:cs="楷体"/>
                <w:szCs w:val="21"/>
              </w:rPr>
              <w:t>是否实行收支两条线管理：是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4A368F2E">
            <w:pPr>
              <w:rPr>
                <w:rFonts w:ascii="楷体" w:hAnsi="楷体" w:eastAsia="楷体" w:cs="楷体"/>
                <w:szCs w:val="21"/>
              </w:rPr>
            </w:pPr>
            <w:r>
              <w:rPr>
                <w:rFonts w:hint="eastAsia" w:ascii="楷体" w:hAnsi="楷体" w:eastAsia="楷体" w:cs="楷体"/>
                <w:szCs w:val="21"/>
              </w:rPr>
              <w:t>有无截留、坐支、转移等现象</w:t>
            </w:r>
            <w:r>
              <w:rPr>
                <w:rFonts w:ascii="楷体" w:hAnsi="楷体" w:eastAsia="楷体" w:cs="楷体"/>
                <w:szCs w:val="21"/>
              </w:rPr>
              <w:t>:</w:t>
            </w:r>
            <w:r>
              <w:rPr>
                <w:rFonts w:hint="eastAsia" w:ascii="楷体" w:hAnsi="楷体" w:eastAsia="楷体" w:cs="楷体"/>
                <w:szCs w:val="21"/>
              </w:rPr>
              <w:t>有□</w:t>
            </w:r>
            <w:r>
              <w:rPr>
                <w:rFonts w:ascii="楷体" w:hAnsi="楷体" w:eastAsia="楷体" w:cs="楷体"/>
                <w:szCs w:val="21"/>
              </w:rPr>
              <w:t xml:space="preserve">     </w:t>
            </w:r>
            <w:r>
              <w:rPr>
                <w:rFonts w:hint="eastAsia" w:ascii="楷体" w:hAnsi="楷体" w:eastAsia="楷体" w:cs="楷体"/>
                <w:szCs w:val="21"/>
              </w:rPr>
              <w:t>无</w:t>
            </w:r>
            <w:r>
              <w:rPr>
                <w:rFonts w:hint="eastAsia" w:ascii="楷体" w:hAnsi="楷体" w:eastAsia="楷体" w:cs="楷体"/>
                <w:szCs w:val="21"/>
              </w:rPr>
              <w:sym w:font="Wingdings 2" w:char="0052"/>
            </w:r>
          </w:p>
        </w:tc>
      </w:tr>
      <w:tr w14:paraId="7867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814" w:hRule="exact"/>
          <w:jc w:val="center"/>
        </w:trPr>
        <w:tc>
          <w:tcPr>
            <w:tcW w:w="533" w:type="dxa"/>
            <w:vMerge w:val="continue"/>
            <w:noWrap w:val="0"/>
            <w:vAlign w:val="center"/>
          </w:tcPr>
          <w:p w14:paraId="4C9775D5">
            <w:pPr>
              <w:widowControl/>
              <w:jc w:val="left"/>
              <w:rPr>
                <w:rFonts w:ascii="楷体" w:hAnsi="楷体" w:eastAsia="楷体" w:cs="楷体"/>
                <w:szCs w:val="21"/>
              </w:rPr>
            </w:pPr>
          </w:p>
        </w:tc>
        <w:tc>
          <w:tcPr>
            <w:tcW w:w="1168" w:type="dxa"/>
            <w:noWrap w:val="0"/>
            <w:vAlign w:val="center"/>
          </w:tcPr>
          <w:p w14:paraId="18EE5830">
            <w:pPr>
              <w:spacing w:line="360" w:lineRule="exact"/>
              <w:jc w:val="center"/>
              <w:rPr>
                <w:rFonts w:ascii="楷体" w:hAnsi="楷体" w:eastAsia="楷体" w:cs="楷体"/>
                <w:szCs w:val="21"/>
              </w:rPr>
            </w:pPr>
            <w:r>
              <w:rPr>
                <w:rFonts w:hint="eastAsia" w:ascii="楷体" w:hAnsi="楷体" w:eastAsia="楷体" w:cs="楷体"/>
                <w:szCs w:val="21"/>
              </w:rPr>
              <w:t>政府采购及金额</w:t>
            </w:r>
          </w:p>
        </w:tc>
        <w:tc>
          <w:tcPr>
            <w:tcW w:w="7299" w:type="dxa"/>
            <w:gridSpan w:val="9"/>
            <w:noWrap w:val="0"/>
            <w:vAlign w:val="center"/>
          </w:tcPr>
          <w:p w14:paraId="606A64F4">
            <w:pPr>
              <w:spacing w:line="360" w:lineRule="exact"/>
              <w:rPr>
                <w:rFonts w:ascii="楷体" w:hAnsi="楷体" w:eastAsia="楷体" w:cs="楷体"/>
                <w:szCs w:val="21"/>
              </w:rPr>
            </w:pPr>
            <w:r>
              <w:rPr>
                <w:rFonts w:hint="eastAsia" w:ascii="楷体" w:hAnsi="楷体" w:eastAsia="楷体" w:cs="楷体"/>
                <w:szCs w:val="21"/>
              </w:rPr>
              <w:t>年度是否制定了政府采购计划：是</w:t>
            </w:r>
            <w:r>
              <w:rPr>
                <w:rFonts w:ascii="楷体" w:hAnsi="楷体" w:eastAsia="楷体" w:cs="楷体"/>
                <w:szCs w:val="21"/>
              </w:rPr>
              <w:t xml:space="preserve"> </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0F45B8D1">
            <w:pPr>
              <w:spacing w:line="360" w:lineRule="exact"/>
              <w:rPr>
                <w:rFonts w:ascii="楷体" w:hAnsi="楷体" w:eastAsia="楷体" w:cs="楷体"/>
                <w:szCs w:val="21"/>
              </w:rPr>
            </w:pPr>
            <w:r>
              <w:rPr>
                <w:rFonts w:hint="eastAsia" w:ascii="楷体" w:hAnsi="楷体" w:eastAsia="楷体" w:cs="楷体"/>
                <w:szCs w:val="21"/>
              </w:rPr>
              <w:t>应采购金额</w:t>
            </w:r>
            <w:r>
              <w:rPr>
                <w:rFonts w:ascii="楷体" w:hAnsi="楷体" w:eastAsia="楷体" w:cs="楷体"/>
                <w:szCs w:val="21"/>
              </w:rPr>
              <w:t xml:space="preserve"> </w:t>
            </w:r>
            <w:r>
              <w:rPr>
                <w:rFonts w:hint="eastAsia" w:ascii="楷体" w:hAnsi="楷体" w:eastAsia="楷体" w:cs="楷体"/>
                <w:szCs w:val="21"/>
                <w:lang w:val="en-US" w:eastAsia="zh-CN"/>
              </w:rPr>
              <w:t>12</w:t>
            </w:r>
            <w:r>
              <w:rPr>
                <w:rFonts w:hint="eastAsia" w:ascii="楷体" w:hAnsi="楷体" w:eastAsia="楷体" w:cs="楷体"/>
                <w:szCs w:val="21"/>
              </w:rPr>
              <w:t>万元，实际采购金额</w:t>
            </w:r>
            <w:r>
              <w:rPr>
                <w:rFonts w:hint="eastAsia" w:ascii="楷体" w:hAnsi="楷体" w:eastAsia="楷体" w:cs="楷体"/>
                <w:szCs w:val="21"/>
                <w:lang w:val="en-US" w:eastAsia="zh-CN"/>
              </w:rPr>
              <w:t>12</w:t>
            </w:r>
            <w:r>
              <w:rPr>
                <w:rFonts w:hint="eastAsia" w:ascii="楷体" w:hAnsi="楷体" w:eastAsia="楷体" w:cs="楷体"/>
                <w:szCs w:val="21"/>
              </w:rPr>
              <w:t>万元</w:t>
            </w:r>
          </w:p>
        </w:tc>
      </w:tr>
      <w:tr w14:paraId="5D9C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740" w:hRule="exact"/>
          <w:jc w:val="center"/>
        </w:trPr>
        <w:tc>
          <w:tcPr>
            <w:tcW w:w="533" w:type="dxa"/>
            <w:vMerge w:val="continue"/>
            <w:noWrap w:val="0"/>
            <w:vAlign w:val="center"/>
          </w:tcPr>
          <w:p w14:paraId="189ECFA4">
            <w:pPr>
              <w:widowControl/>
              <w:jc w:val="left"/>
              <w:rPr>
                <w:rFonts w:ascii="楷体" w:hAnsi="楷体" w:eastAsia="楷体" w:cs="楷体"/>
                <w:szCs w:val="21"/>
              </w:rPr>
            </w:pPr>
          </w:p>
        </w:tc>
        <w:tc>
          <w:tcPr>
            <w:tcW w:w="1168" w:type="dxa"/>
            <w:noWrap w:val="0"/>
            <w:vAlign w:val="center"/>
          </w:tcPr>
          <w:p w14:paraId="5B6E42B9">
            <w:pPr>
              <w:spacing w:line="360" w:lineRule="exact"/>
              <w:jc w:val="center"/>
              <w:rPr>
                <w:rFonts w:ascii="楷体" w:hAnsi="楷体" w:eastAsia="楷体" w:cs="楷体"/>
                <w:szCs w:val="21"/>
              </w:rPr>
            </w:pPr>
            <w:r>
              <w:rPr>
                <w:rFonts w:hint="eastAsia" w:ascii="楷体" w:hAnsi="楷体" w:eastAsia="楷体" w:cs="楷体"/>
                <w:szCs w:val="21"/>
              </w:rPr>
              <w:t>预算执行</w:t>
            </w:r>
          </w:p>
        </w:tc>
        <w:tc>
          <w:tcPr>
            <w:tcW w:w="7299" w:type="dxa"/>
            <w:gridSpan w:val="9"/>
            <w:noWrap w:val="0"/>
            <w:vAlign w:val="center"/>
          </w:tcPr>
          <w:p w14:paraId="32049D23">
            <w:pPr>
              <w:rPr>
                <w:rFonts w:ascii="楷体" w:hAnsi="楷体" w:eastAsia="楷体" w:cs="楷体"/>
                <w:szCs w:val="21"/>
              </w:rPr>
            </w:pPr>
            <w:r>
              <w:rPr>
                <w:rFonts w:hint="eastAsia" w:ascii="楷体" w:hAnsi="楷体" w:eastAsia="楷体" w:cs="楷体"/>
                <w:szCs w:val="21"/>
              </w:rPr>
              <w:t>本年度是否追加了预算</w:t>
            </w:r>
            <w:r>
              <w:rPr>
                <w:rFonts w:ascii="楷体" w:hAnsi="楷体" w:eastAsia="楷体" w:cs="楷体"/>
                <w:szCs w:val="21"/>
              </w:rPr>
              <w:t>:</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r>
              <w:rPr>
                <w:rFonts w:ascii="楷体" w:hAnsi="楷体" w:eastAsia="楷体" w:cs="楷体"/>
                <w:szCs w:val="21"/>
              </w:rPr>
              <w:t xml:space="preserve">, </w:t>
            </w:r>
            <w:r>
              <w:rPr>
                <w:rFonts w:hint="eastAsia" w:ascii="楷体" w:hAnsi="楷体" w:eastAsia="楷体" w:cs="楷体"/>
                <w:szCs w:val="21"/>
              </w:rPr>
              <w:t>追加金额</w:t>
            </w:r>
            <w:r>
              <w:rPr>
                <w:rFonts w:ascii="楷体" w:hAnsi="楷体" w:eastAsia="楷体" w:cs="楷体"/>
                <w:szCs w:val="21"/>
              </w:rPr>
              <w:t xml:space="preserve"> </w:t>
            </w:r>
            <w:r>
              <w:rPr>
                <w:rFonts w:hint="eastAsia" w:ascii="楷体" w:hAnsi="楷体" w:eastAsia="楷体" w:cs="楷体"/>
                <w:szCs w:val="21"/>
                <w:lang w:val="en-US" w:eastAsia="zh-CN"/>
              </w:rPr>
              <w:t>39</w:t>
            </w:r>
            <w:r>
              <w:rPr>
                <w:rFonts w:ascii="楷体" w:hAnsi="楷体" w:eastAsia="楷体" w:cs="楷体"/>
                <w:szCs w:val="21"/>
              </w:rPr>
              <w:t xml:space="preserve">  </w:t>
            </w:r>
            <w:r>
              <w:rPr>
                <w:rFonts w:hint="eastAsia" w:ascii="楷体" w:hAnsi="楷体" w:eastAsia="楷体" w:cs="楷体"/>
                <w:szCs w:val="21"/>
              </w:rPr>
              <w:t>万元</w:t>
            </w:r>
          </w:p>
          <w:p w14:paraId="0EC6C929">
            <w:pPr>
              <w:rPr>
                <w:rFonts w:ascii="楷体" w:hAnsi="楷体" w:eastAsia="楷体" w:cs="楷体"/>
                <w:szCs w:val="21"/>
              </w:rPr>
            </w:pPr>
            <w:r>
              <w:rPr>
                <w:rFonts w:hint="eastAsia" w:ascii="楷体" w:hAnsi="楷体" w:eastAsia="楷体" w:cs="楷体"/>
                <w:szCs w:val="21"/>
              </w:rPr>
              <w:t>本年度是否有结余</w:t>
            </w:r>
            <w:r>
              <w:rPr>
                <w:rFonts w:ascii="楷体" w:hAnsi="楷体" w:eastAsia="楷体" w:cs="楷体"/>
                <w:szCs w:val="21"/>
              </w:rPr>
              <w:t xml:space="preserve">: </w:t>
            </w:r>
            <w:r>
              <w:rPr>
                <w:rFonts w:hint="eastAsia" w:ascii="楷体" w:hAnsi="楷体" w:eastAsia="楷体" w:cs="楷体"/>
                <w:szCs w:val="21"/>
              </w:rPr>
              <w:t>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r>
              <w:rPr>
                <w:rFonts w:ascii="楷体" w:hAnsi="楷体" w:eastAsia="楷体" w:cs="楷体"/>
                <w:szCs w:val="21"/>
              </w:rPr>
              <w:t>,</w:t>
            </w:r>
            <w:r>
              <w:rPr>
                <w:rFonts w:hint="eastAsia" w:ascii="楷体" w:hAnsi="楷体" w:eastAsia="楷体" w:cs="楷体"/>
                <w:szCs w:val="21"/>
              </w:rPr>
              <w:t>结余金额</w:t>
            </w:r>
            <w:r>
              <w:rPr>
                <w:rFonts w:ascii="楷体" w:hAnsi="楷体" w:eastAsia="楷体" w:cs="楷体"/>
                <w:szCs w:val="21"/>
              </w:rPr>
              <w:t xml:space="preserve">     </w:t>
            </w:r>
            <w:r>
              <w:rPr>
                <w:rFonts w:hint="eastAsia" w:ascii="楷体" w:hAnsi="楷体" w:eastAsia="楷体" w:cs="楷体"/>
                <w:szCs w:val="21"/>
              </w:rPr>
              <w:t>万元</w:t>
            </w:r>
          </w:p>
          <w:p w14:paraId="7317B055">
            <w:pPr>
              <w:jc w:val="left"/>
              <w:rPr>
                <w:rFonts w:ascii="楷体" w:hAnsi="楷体" w:eastAsia="楷体" w:cs="楷体"/>
                <w:szCs w:val="21"/>
              </w:rPr>
            </w:pPr>
            <w:r>
              <w:rPr>
                <w:rFonts w:hint="eastAsia" w:ascii="楷体" w:hAnsi="楷体" w:eastAsia="楷体" w:cs="楷体"/>
                <w:szCs w:val="21"/>
              </w:rPr>
              <w:t>预决算信息是否公开</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7D9E461E">
            <w:pPr>
              <w:jc w:val="left"/>
              <w:rPr>
                <w:rFonts w:ascii="楷体" w:hAnsi="楷体" w:eastAsia="楷体" w:cs="楷体"/>
                <w:szCs w:val="21"/>
              </w:rPr>
            </w:pPr>
            <w:r>
              <w:rPr>
                <w:rFonts w:hint="eastAsia" w:ascii="楷体" w:hAnsi="楷体" w:eastAsia="楷体" w:cs="楷体"/>
                <w:szCs w:val="21"/>
              </w:rPr>
              <w:t>公开时间</w:t>
            </w:r>
            <w:r>
              <w:rPr>
                <w:rFonts w:ascii="楷体" w:hAnsi="楷体" w:eastAsia="楷体" w:cs="楷体"/>
                <w:szCs w:val="21"/>
              </w:rPr>
              <w:t xml:space="preserve">:  </w:t>
            </w:r>
            <w:r>
              <w:rPr>
                <w:rFonts w:hint="eastAsia" w:ascii="楷体" w:hAnsi="楷体" w:eastAsia="楷体" w:cs="楷体"/>
                <w:szCs w:val="21"/>
                <w:lang w:val="en-US" w:eastAsia="zh-CN"/>
              </w:rPr>
              <w:t>2021</w:t>
            </w:r>
            <w:r>
              <w:rPr>
                <w:rFonts w:hint="eastAsia" w:ascii="楷体" w:hAnsi="楷体" w:eastAsia="楷体" w:cs="楷体"/>
                <w:szCs w:val="21"/>
              </w:rPr>
              <w:t>年</w:t>
            </w:r>
            <w:r>
              <w:rPr>
                <w:rFonts w:ascii="楷体" w:hAnsi="楷体" w:eastAsia="楷体" w:cs="楷体"/>
                <w:szCs w:val="21"/>
              </w:rPr>
              <w:t xml:space="preserve">  </w:t>
            </w:r>
            <w:r>
              <w:rPr>
                <w:rFonts w:hint="eastAsia" w:ascii="楷体" w:hAnsi="楷体" w:eastAsia="楷体" w:cs="楷体"/>
                <w:szCs w:val="21"/>
                <w:lang w:val="en-US" w:eastAsia="zh-CN"/>
              </w:rPr>
              <w:t>1</w:t>
            </w:r>
            <w:r>
              <w:rPr>
                <w:rFonts w:ascii="楷体" w:hAnsi="楷体" w:eastAsia="楷体" w:cs="楷体"/>
                <w:szCs w:val="21"/>
              </w:rPr>
              <w:t xml:space="preserve"> </w:t>
            </w:r>
            <w:r>
              <w:rPr>
                <w:rFonts w:hint="eastAsia" w:ascii="楷体" w:hAnsi="楷体" w:eastAsia="楷体" w:cs="楷体"/>
                <w:szCs w:val="21"/>
              </w:rPr>
              <w:t>月</w:t>
            </w:r>
            <w:r>
              <w:rPr>
                <w:rFonts w:ascii="楷体" w:hAnsi="楷体" w:eastAsia="楷体" w:cs="楷体"/>
                <w:szCs w:val="21"/>
              </w:rPr>
              <w:t xml:space="preserve"> </w:t>
            </w:r>
            <w:r>
              <w:rPr>
                <w:rFonts w:hint="eastAsia" w:ascii="楷体" w:hAnsi="楷体" w:eastAsia="楷体" w:cs="楷体"/>
                <w:szCs w:val="21"/>
                <w:lang w:val="en-US" w:eastAsia="zh-CN"/>
              </w:rPr>
              <w:t>25</w:t>
            </w:r>
            <w:r>
              <w:rPr>
                <w:rFonts w:ascii="楷体" w:hAnsi="楷体" w:eastAsia="楷体" w:cs="楷体"/>
                <w:szCs w:val="21"/>
              </w:rPr>
              <w:t xml:space="preserve"> </w:t>
            </w:r>
            <w:r>
              <w:rPr>
                <w:rFonts w:hint="eastAsia" w:ascii="楷体" w:hAnsi="楷体" w:eastAsia="楷体" w:cs="楷体"/>
                <w:szCs w:val="21"/>
              </w:rPr>
              <w:t>日</w:t>
            </w:r>
          </w:p>
          <w:p w14:paraId="3881E5AE">
            <w:pPr>
              <w:jc w:val="left"/>
              <w:rPr>
                <w:rFonts w:ascii="楷体" w:hAnsi="楷体" w:eastAsia="楷体" w:cs="楷体"/>
                <w:szCs w:val="21"/>
              </w:rPr>
            </w:pPr>
            <w:r>
              <w:rPr>
                <w:rFonts w:hint="eastAsia" w:ascii="楷体" w:hAnsi="楷体" w:eastAsia="楷体" w:cs="楷体"/>
                <w:szCs w:val="21"/>
              </w:rPr>
              <w:t>公开方式</w:t>
            </w:r>
            <w:r>
              <w:rPr>
                <w:rFonts w:ascii="楷体" w:hAnsi="楷体" w:eastAsia="楷体" w:cs="楷体"/>
                <w:szCs w:val="21"/>
              </w:rPr>
              <w:t>:</w:t>
            </w:r>
            <w:r>
              <w:rPr>
                <w:rFonts w:hint="eastAsia" w:ascii="楷体" w:hAnsi="楷体" w:eastAsia="楷体" w:cs="楷体"/>
                <w:szCs w:val="21"/>
              </w:rPr>
              <w:t>门户网站</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单位内部□</w:t>
            </w:r>
            <w:r>
              <w:rPr>
                <w:rFonts w:ascii="楷体" w:hAnsi="楷体" w:eastAsia="楷体" w:cs="楷体"/>
                <w:szCs w:val="21"/>
              </w:rPr>
              <w:t xml:space="preserve">      </w:t>
            </w:r>
            <w:r>
              <w:rPr>
                <w:rFonts w:hint="eastAsia" w:ascii="楷体" w:hAnsi="楷体" w:eastAsia="楷体" w:cs="楷体"/>
                <w:szCs w:val="21"/>
              </w:rPr>
              <w:t>其它□</w:t>
            </w:r>
          </w:p>
        </w:tc>
      </w:tr>
      <w:tr w14:paraId="45F7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14:paraId="1DA4D331">
            <w:pPr>
              <w:widowControl/>
              <w:jc w:val="left"/>
              <w:rPr>
                <w:rFonts w:ascii="楷体" w:hAnsi="楷体" w:eastAsia="楷体" w:cs="楷体"/>
                <w:szCs w:val="21"/>
              </w:rPr>
            </w:pPr>
          </w:p>
        </w:tc>
        <w:tc>
          <w:tcPr>
            <w:tcW w:w="1168" w:type="dxa"/>
            <w:noWrap w:val="0"/>
            <w:vAlign w:val="center"/>
          </w:tcPr>
          <w:p w14:paraId="6748EE9C">
            <w:pPr>
              <w:spacing w:line="240" w:lineRule="atLeast"/>
              <w:rPr>
                <w:rFonts w:ascii="楷体" w:hAnsi="楷体" w:eastAsia="楷体" w:cs="楷体"/>
                <w:szCs w:val="21"/>
              </w:rPr>
            </w:pPr>
            <w:r>
              <w:rPr>
                <w:rFonts w:hint="eastAsia" w:ascii="楷体" w:hAnsi="楷体" w:eastAsia="楷体" w:cs="楷体"/>
                <w:szCs w:val="21"/>
              </w:rPr>
              <w:t>财务管理</w:t>
            </w:r>
          </w:p>
        </w:tc>
        <w:tc>
          <w:tcPr>
            <w:tcW w:w="7299" w:type="dxa"/>
            <w:gridSpan w:val="9"/>
            <w:noWrap w:val="0"/>
            <w:vAlign w:val="center"/>
          </w:tcPr>
          <w:p w14:paraId="327C7217">
            <w:pPr>
              <w:rPr>
                <w:rFonts w:ascii="楷体" w:hAnsi="楷体" w:eastAsia="楷体" w:cs="楷体"/>
                <w:szCs w:val="21"/>
              </w:rPr>
            </w:pPr>
            <w:r>
              <w:rPr>
                <w:rFonts w:hint="eastAsia" w:ascii="楷体" w:hAnsi="楷体" w:eastAsia="楷体" w:cs="楷体"/>
                <w:szCs w:val="21"/>
              </w:rPr>
              <w:t>是否制定财务管理、会计核算等制度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631433AE">
            <w:pPr>
              <w:rPr>
                <w:rFonts w:ascii="楷体" w:hAnsi="楷体" w:eastAsia="楷体" w:cs="楷体"/>
                <w:szCs w:val="21"/>
              </w:rPr>
            </w:pPr>
            <w:r>
              <w:rPr>
                <w:rFonts w:hint="eastAsia" w:ascii="楷体" w:hAnsi="楷体" w:eastAsia="楷体" w:cs="楷体"/>
                <w:szCs w:val="21"/>
              </w:rPr>
              <w:t>会计机构是否按规定设置</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hint="eastAsia" w:ascii="楷体" w:hAnsi="楷体" w:eastAsia="楷体" w:cs="楷体"/>
                <w:szCs w:val="21"/>
              </w:rPr>
              <w:t>否□</w:t>
            </w:r>
          </w:p>
          <w:p w14:paraId="32A2B29D">
            <w:pPr>
              <w:rPr>
                <w:rFonts w:ascii="楷体" w:hAnsi="楷体" w:eastAsia="楷体" w:cs="楷体"/>
                <w:szCs w:val="21"/>
              </w:rPr>
            </w:pPr>
            <w:r>
              <w:rPr>
                <w:rFonts w:hint="eastAsia" w:ascii="楷体" w:hAnsi="楷体" w:eastAsia="楷体" w:cs="楷体"/>
                <w:szCs w:val="21"/>
              </w:rPr>
              <w:t>会计人员是否持证上岗</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Arial" w:hAnsi="Arial" w:cs="Arial"/>
                <w:szCs w:val="21"/>
              </w:rPr>
              <w:t xml:space="preserve">  </w:t>
            </w:r>
            <w:r>
              <w:rPr>
                <w:rFonts w:hint="eastAsia" w:ascii="楷体" w:hAnsi="楷体" w:eastAsia="楷体" w:cs="楷体"/>
                <w:szCs w:val="21"/>
              </w:rPr>
              <w:t>否□</w:t>
            </w:r>
          </w:p>
        </w:tc>
      </w:tr>
      <w:tr w14:paraId="2950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997" w:hRule="exact"/>
          <w:jc w:val="center"/>
        </w:trPr>
        <w:tc>
          <w:tcPr>
            <w:tcW w:w="533" w:type="dxa"/>
            <w:vMerge w:val="continue"/>
            <w:noWrap w:val="0"/>
            <w:vAlign w:val="center"/>
          </w:tcPr>
          <w:p w14:paraId="052F8CE8">
            <w:pPr>
              <w:widowControl/>
              <w:jc w:val="left"/>
              <w:rPr>
                <w:rFonts w:ascii="楷体" w:hAnsi="楷体" w:eastAsia="楷体" w:cs="楷体"/>
                <w:szCs w:val="21"/>
              </w:rPr>
            </w:pPr>
          </w:p>
        </w:tc>
        <w:tc>
          <w:tcPr>
            <w:tcW w:w="1168" w:type="dxa"/>
            <w:noWrap w:val="0"/>
            <w:vAlign w:val="center"/>
          </w:tcPr>
          <w:p w14:paraId="6727EC9D">
            <w:pPr>
              <w:spacing w:line="400" w:lineRule="exact"/>
              <w:rPr>
                <w:rFonts w:ascii="楷体" w:hAnsi="楷体" w:eastAsia="楷体" w:cs="楷体"/>
                <w:szCs w:val="21"/>
              </w:rPr>
            </w:pPr>
            <w:r>
              <w:rPr>
                <w:rFonts w:hint="eastAsia" w:ascii="楷体" w:hAnsi="楷体" w:eastAsia="楷体" w:cs="楷体"/>
                <w:szCs w:val="21"/>
              </w:rPr>
              <w:t>资金管理</w:t>
            </w:r>
          </w:p>
        </w:tc>
        <w:tc>
          <w:tcPr>
            <w:tcW w:w="7299" w:type="dxa"/>
            <w:gridSpan w:val="9"/>
            <w:noWrap w:val="0"/>
            <w:vAlign w:val="center"/>
          </w:tcPr>
          <w:p w14:paraId="44170DB5">
            <w:pPr>
              <w:rPr>
                <w:rFonts w:ascii="楷体" w:hAnsi="楷体" w:eastAsia="楷体" w:cs="楷体"/>
                <w:szCs w:val="21"/>
              </w:rPr>
            </w:pPr>
            <w:r>
              <w:rPr>
                <w:rFonts w:hint="eastAsia" w:ascii="楷体" w:hAnsi="楷体" w:eastAsia="楷体" w:cs="楷体"/>
                <w:szCs w:val="21"/>
              </w:rPr>
              <w:t>是否制定资金管理办法</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2CBD3577">
            <w:pPr>
              <w:rPr>
                <w:rFonts w:ascii="楷体" w:hAnsi="楷体" w:eastAsia="楷体" w:cs="楷体"/>
                <w:szCs w:val="21"/>
              </w:rPr>
            </w:pPr>
            <w:r>
              <w:rPr>
                <w:rFonts w:hint="eastAsia" w:ascii="楷体" w:hAnsi="楷体" w:eastAsia="楷体" w:cs="楷体"/>
                <w:szCs w:val="21"/>
              </w:rPr>
              <w:t>资金拨付有完整的审批程序</w:t>
            </w:r>
            <w:r>
              <w:rPr>
                <w:rFonts w:ascii="楷体" w:hAnsi="楷体" w:eastAsia="楷体" w:cs="楷体"/>
                <w:szCs w:val="21"/>
              </w:rPr>
              <w:t xml:space="preserve">: </w:t>
            </w:r>
            <w:r>
              <w:rPr>
                <w:rFonts w:hint="eastAsia" w:ascii="楷体" w:hAnsi="楷体" w:eastAsia="楷体" w:cs="楷体"/>
                <w:szCs w:val="21"/>
              </w:rPr>
              <w:t>有</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无□</w:t>
            </w:r>
          </w:p>
          <w:p w14:paraId="6F62D39D">
            <w:pPr>
              <w:ind w:left="3885" w:hanging="3885" w:hangingChars="1850"/>
              <w:rPr>
                <w:rFonts w:ascii="楷体" w:hAnsi="楷体" w:eastAsia="楷体" w:cs="楷体"/>
                <w:szCs w:val="21"/>
              </w:rPr>
            </w:pPr>
            <w:r>
              <w:rPr>
                <w:rFonts w:hint="eastAsia" w:ascii="楷体" w:hAnsi="楷体" w:eastAsia="楷体" w:cs="楷体"/>
                <w:szCs w:val="21"/>
              </w:rPr>
              <w:t>资金使用是否存在违规使用资金、乱发津补贴奖金现象：是□</w:t>
            </w:r>
            <w:r>
              <w:rPr>
                <w:rFonts w:ascii="楷体" w:hAnsi="楷体" w:eastAsia="楷体" w:cs="楷体"/>
                <w:szCs w:val="21"/>
              </w:rPr>
              <w:t xml:space="preserve">  </w:t>
            </w:r>
            <w:r>
              <w:rPr>
                <w:rFonts w:hint="eastAsia" w:ascii="楷体" w:hAnsi="楷体" w:eastAsia="楷体" w:cs="楷体"/>
                <w:szCs w:val="21"/>
              </w:rPr>
              <w:t>否</w:t>
            </w:r>
            <w:r>
              <w:rPr>
                <w:rFonts w:hint="eastAsia" w:ascii="楷体" w:hAnsi="楷体" w:eastAsia="楷体" w:cs="楷体"/>
                <w:szCs w:val="21"/>
              </w:rPr>
              <w:sym w:font="Wingdings 2" w:char="0052"/>
            </w:r>
          </w:p>
        </w:tc>
      </w:tr>
      <w:tr w14:paraId="59E0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1280" w:hRule="exact"/>
          <w:jc w:val="center"/>
        </w:trPr>
        <w:tc>
          <w:tcPr>
            <w:tcW w:w="533" w:type="dxa"/>
            <w:vMerge w:val="continue"/>
            <w:noWrap w:val="0"/>
            <w:vAlign w:val="center"/>
          </w:tcPr>
          <w:p w14:paraId="05F1D160">
            <w:pPr>
              <w:widowControl/>
              <w:jc w:val="left"/>
              <w:rPr>
                <w:rFonts w:ascii="楷体" w:hAnsi="楷体" w:eastAsia="楷体" w:cs="楷体"/>
                <w:szCs w:val="21"/>
              </w:rPr>
            </w:pPr>
          </w:p>
        </w:tc>
        <w:tc>
          <w:tcPr>
            <w:tcW w:w="1168" w:type="dxa"/>
            <w:noWrap w:val="0"/>
            <w:vAlign w:val="center"/>
          </w:tcPr>
          <w:p w14:paraId="63197CA0">
            <w:pPr>
              <w:spacing w:line="240" w:lineRule="atLeast"/>
              <w:jc w:val="center"/>
              <w:rPr>
                <w:rFonts w:ascii="楷体" w:hAnsi="楷体" w:eastAsia="楷体" w:cs="楷体"/>
                <w:szCs w:val="21"/>
              </w:rPr>
            </w:pPr>
            <w:r>
              <w:rPr>
                <w:rFonts w:hint="eastAsia" w:ascii="楷体" w:hAnsi="楷体" w:eastAsia="楷体" w:cs="楷体"/>
                <w:szCs w:val="21"/>
              </w:rPr>
              <w:t>资产管理</w:t>
            </w:r>
          </w:p>
        </w:tc>
        <w:tc>
          <w:tcPr>
            <w:tcW w:w="7299" w:type="dxa"/>
            <w:gridSpan w:val="9"/>
            <w:noWrap w:val="0"/>
            <w:vAlign w:val="center"/>
          </w:tcPr>
          <w:p w14:paraId="42315D35">
            <w:pPr>
              <w:rPr>
                <w:rFonts w:ascii="楷体" w:hAnsi="楷体" w:eastAsia="楷体" w:cs="楷体"/>
                <w:szCs w:val="21"/>
              </w:rPr>
            </w:pPr>
            <w:r>
              <w:rPr>
                <w:rFonts w:hint="eastAsia" w:ascii="楷体" w:hAnsi="楷体" w:eastAsia="楷体" w:cs="楷体"/>
                <w:szCs w:val="21"/>
              </w:rPr>
              <w:t>是否制定资产管理制度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3DDA6E47">
            <w:pPr>
              <w:rPr>
                <w:rFonts w:ascii="楷体" w:hAnsi="楷体" w:eastAsia="楷体" w:cs="楷体"/>
                <w:szCs w:val="21"/>
              </w:rPr>
            </w:pPr>
            <w:r>
              <w:rPr>
                <w:rFonts w:hint="eastAsia" w:ascii="楷体" w:hAnsi="楷体" w:eastAsia="楷体" w:cs="楷体"/>
                <w:szCs w:val="21"/>
              </w:rPr>
              <w:t>资产管理、保存、处置是否合理规范</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60B1EF5C">
            <w:pPr>
              <w:rPr>
                <w:rFonts w:ascii="楷体" w:hAnsi="楷体" w:eastAsia="楷体" w:cs="楷体"/>
                <w:szCs w:val="21"/>
              </w:rPr>
            </w:pPr>
            <w:r>
              <w:rPr>
                <w:rFonts w:hint="eastAsia" w:ascii="楷体" w:hAnsi="楷体" w:eastAsia="楷体" w:cs="楷体"/>
                <w:szCs w:val="21"/>
              </w:rPr>
              <w:t>资产是否产权清晰、两证齐全：是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55392A38">
            <w:pPr>
              <w:rPr>
                <w:rFonts w:ascii="楷体" w:hAnsi="楷体" w:eastAsia="楷体" w:cs="楷体"/>
                <w:szCs w:val="21"/>
              </w:rPr>
            </w:pPr>
            <w:r>
              <w:rPr>
                <w:rFonts w:hint="eastAsia" w:ascii="楷体" w:hAnsi="楷体" w:eastAsia="楷体" w:cs="楷体"/>
                <w:szCs w:val="21"/>
              </w:rPr>
              <w:t>账、表、实、卡是否相符</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hint="eastAsia" w:ascii="楷体" w:hAnsi="楷体" w:eastAsia="楷体" w:cs="楷体"/>
                <w:szCs w:val="21"/>
              </w:rPr>
              <w:t>否□</w:t>
            </w:r>
          </w:p>
        </w:tc>
      </w:tr>
      <w:tr w14:paraId="249D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cantSplit/>
          <w:trHeight w:val="561" w:hRule="exact"/>
          <w:jc w:val="center"/>
        </w:trPr>
        <w:tc>
          <w:tcPr>
            <w:tcW w:w="533" w:type="dxa"/>
            <w:vMerge w:val="continue"/>
            <w:noWrap w:val="0"/>
            <w:vAlign w:val="center"/>
          </w:tcPr>
          <w:p w14:paraId="57F68CFE">
            <w:pPr>
              <w:widowControl/>
              <w:jc w:val="left"/>
              <w:rPr>
                <w:rFonts w:ascii="楷体" w:hAnsi="楷体" w:eastAsia="楷体" w:cs="楷体"/>
                <w:szCs w:val="21"/>
              </w:rPr>
            </w:pPr>
          </w:p>
        </w:tc>
        <w:tc>
          <w:tcPr>
            <w:tcW w:w="1168" w:type="dxa"/>
            <w:noWrap w:val="0"/>
            <w:vAlign w:val="center"/>
          </w:tcPr>
          <w:p w14:paraId="15FE6E14">
            <w:pPr>
              <w:spacing w:line="360" w:lineRule="exact"/>
              <w:jc w:val="center"/>
              <w:rPr>
                <w:rFonts w:ascii="楷体" w:hAnsi="楷体" w:eastAsia="楷体" w:cs="楷体"/>
                <w:szCs w:val="21"/>
              </w:rPr>
            </w:pPr>
            <w:r>
              <w:rPr>
                <w:rFonts w:hint="eastAsia" w:ascii="楷体" w:hAnsi="楷体" w:eastAsia="楷体" w:cs="楷体"/>
                <w:szCs w:val="21"/>
              </w:rPr>
              <w:t>职责履行</w:t>
            </w:r>
          </w:p>
        </w:tc>
        <w:tc>
          <w:tcPr>
            <w:tcW w:w="7299" w:type="dxa"/>
            <w:gridSpan w:val="9"/>
            <w:noWrap w:val="0"/>
            <w:vAlign w:val="top"/>
          </w:tcPr>
          <w:p w14:paraId="3E3BFA4C">
            <w:pPr>
              <w:spacing w:line="560" w:lineRule="exact"/>
              <w:jc w:val="left"/>
              <w:rPr>
                <w:rFonts w:ascii="楷体" w:hAnsi="楷体" w:eastAsia="楷体" w:cs="楷体"/>
                <w:szCs w:val="21"/>
              </w:rPr>
            </w:pPr>
            <w:r>
              <w:rPr>
                <w:rFonts w:hint="eastAsia" w:ascii="楷体" w:hAnsi="楷体" w:eastAsia="楷体" w:cs="楷体"/>
                <w:szCs w:val="21"/>
              </w:rPr>
              <w:t>重点工作是否全部完成且质量达标</w:t>
            </w:r>
            <w:r>
              <w:rPr>
                <w:rFonts w:ascii="楷体" w:hAnsi="楷体" w:eastAsia="楷体" w:cs="楷体"/>
                <w:szCs w:val="21"/>
              </w:rPr>
              <w:t xml:space="preserve">: </w:t>
            </w:r>
            <w:r>
              <w:rPr>
                <w:rFonts w:hint="eastAsia" w:ascii="楷体" w:hAnsi="楷体" w:eastAsia="楷体" w:cs="楷体"/>
                <w:szCs w:val="21"/>
              </w:rPr>
              <w:t>是</w:t>
            </w:r>
            <w:r>
              <w:rPr>
                <w:rFonts w:hint="eastAsia" w:ascii="楷体" w:hAnsi="楷体" w:eastAsia="楷体" w:cs="楷体"/>
                <w:szCs w:val="21"/>
              </w:rPr>
              <w:sym w:font="Wingdings 2" w:char="0052"/>
            </w:r>
            <w:r>
              <w:rPr>
                <w:rFonts w:ascii="楷体" w:hAnsi="楷体" w:eastAsia="楷体" w:cs="楷体"/>
                <w:szCs w:val="21"/>
              </w:rPr>
              <w:t xml:space="preserve"> </w:t>
            </w:r>
            <w:r>
              <w:rPr>
                <w:rFonts w:hint="eastAsia" w:ascii="楷体" w:hAnsi="楷体" w:eastAsia="楷体" w:cs="楷体"/>
                <w:szCs w:val="21"/>
              </w:rPr>
              <w:t>否□</w:t>
            </w:r>
          </w:p>
          <w:p w14:paraId="386F4512">
            <w:pPr>
              <w:spacing w:line="560" w:lineRule="exact"/>
              <w:jc w:val="left"/>
              <w:rPr>
                <w:rFonts w:ascii="楷体" w:hAnsi="楷体" w:eastAsia="楷体" w:cs="楷体"/>
                <w:szCs w:val="21"/>
              </w:rPr>
            </w:pPr>
          </w:p>
        </w:tc>
      </w:tr>
      <w:tr w14:paraId="237D8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41" w:hRule="atLeast"/>
          <w:jc w:val="center"/>
        </w:trPr>
        <w:tc>
          <w:tcPr>
            <w:tcW w:w="533" w:type="dxa"/>
            <w:noWrap w:val="0"/>
            <w:vAlign w:val="center"/>
          </w:tcPr>
          <w:p w14:paraId="45A7349F">
            <w:pPr>
              <w:spacing w:line="320" w:lineRule="exact"/>
              <w:jc w:val="center"/>
              <w:rPr>
                <w:rFonts w:ascii="楷体" w:hAnsi="楷体" w:eastAsia="楷体" w:cs="楷体"/>
                <w:szCs w:val="21"/>
              </w:rPr>
            </w:pPr>
            <w:r>
              <w:rPr>
                <w:rFonts w:hint="eastAsia" w:ascii="楷体" w:hAnsi="楷体" w:eastAsia="楷体" w:cs="楷体"/>
                <w:szCs w:val="21"/>
              </w:rPr>
              <w:t>部门</w:t>
            </w:r>
          </w:p>
          <w:p w14:paraId="0404CED9">
            <w:pPr>
              <w:spacing w:line="320" w:lineRule="exact"/>
              <w:jc w:val="center"/>
              <w:rPr>
                <w:rFonts w:ascii="楷体" w:hAnsi="楷体" w:eastAsia="楷体" w:cs="楷体"/>
                <w:szCs w:val="21"/>
              </w:rPr>
            </w:pPr>
            <w:r>
              <w:rPr>
                <w:rFonts w:hint="eastAsia" w:ascii="楷体" w:hAnsi="楷体" w:eastAsia="楷体" w:cs="楷体"/>
                <w:szCs w:val="21"/>
              </w:rPr>
              <w:t>主要绩效</w:t>
            </w:r>
          </w:p>
        </w:tc>
        <w:tc>
          <w:tcPr>
            <w:tcW w:w="8467" w:type="dxa"/>
            <w:gridSpan w:val="10"/>
            <w:noWrap w:val="0"/>
            <w:vAlign w:val="center"/>
          </w:tcPr>
          <w:p w14:paraId="2F503206">
            <w:pPr>
              <w:ind w:firstLine="105" w:firstLineChars="50"/>
              <w:rPr>
                <w:rFonts w:ascii="楷体" w:hAnsi="楷体" w:eastAsia="楷体" w:cs="楷体"/>
                <w:szCs w:val="21"/>
              </w:rPr>
            </w:pPr>
            <w:r>
              <w:rPr>
                <w:rFonts w:hint="eastAsia" w:ascii="楷体" w:hAnsi="楷体" w:eastAsia="楷体" w:cs="楷体"/>
                <w:szCs w:val="21"/>
                <w:lang w:eastAsia="zh-CN"/>
              </w:rPr>
              <w:t>202</w:t>
            </w:r>
            <w:r>
              <w:rPr>
                <w:rFonts w:hint="eastAsia" w:ascii="楷体" w:hAnsi="楷体" w:eastAsia="楷体" w:cs="楷体"/>
                <w:szCs w:val="21"/>
                <w:lang w:val="en-US" w:eastAsia="zh-CN"/>
              </w:rPr>
              <w:t>1</w:t>
            </w:r>
            <w:r>
              <w:rPr>
                <w:rFonts w:hint="eastAsia" w:ascii="楷体" w:hAnsi="楷体" w:eastAsia="楷体" w:cs="楷体"/>
                <w:szCs w:val="21"/>
                <w:lang w:eastAsia="zh-CN"/>
              </w:rPr>
              <w:t>年度，我单位在县委，县政府和交通主管部门的坚强领导下，全体班干部职工齐心协力，扎实工作，全面完成了各项目标管理工作。通过更一步加强预算管理，建立健全单位各种管理制度，使得今年的工作在去年的基础上上了一个新的台阶。1、春运工作实现“安全优质、平稳有序”的总体目标，疫情防控工作有条不紊。2、安全生产实现“零”事故。狠抓“隐患清零”、“顽瘴痼疾”及打非入违工作的落实。3、客货运输及道路运输相关业务进一步加强，全县形成良好的运输市场。</w:t>
            </w:r>
            <w:r>
              <w:rPr>
                <w:rFonts w:hint="eastAsia" w:ascii="楷体" w:hAnsi="楷体" w:eastAsia="楷体" w:cs="楷体"/>
                <w:szCs w:val="21"/>
                <w:lang w:eastAsia="zh-CN"/>
              </w:rPr>
              <w:tab/>
            </w:r>
          </w:p>
        </w:tc>
      </w:tr>
      <w:tr w14:paraId="3CE9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152" w:hRule="atLeast"/>
          <w:jc w:val="center"/>
        </w:trPr>
        <w:tc>
          <w:tcPr>
            <w:tcW w:w="533" w:type="dxa"/>
            <w:noWrap w:val="0"/>
            <w:vAlign w:val="center"/>
          </w:tcPr>
          <w:p w14:paraId="68805FE0">
            <w:pPr>
              <w:spacing w:line="320" w:lineRule="exact"/>
              <w:jc w:val="center"/>
              <w:rPr>
                <w:rFonts w:ascii="楷体" w:hAnsi="楷体" w:eastAsia="楷体" w:cs="楷体"/>
                <w:szCs w:val="21"/>
              </w:rPr>
            </w:pPr>
            <w:r>
              <w:rPr>
                <w:rFonts w:hint="eastAsia" w:ascii="楷体" w:hAnsi="楷体" w:eastAsia="楷体" w:cs="楷体"/>
                <w:szCs w:val="21"/>
              </w:rPr>
              <w:t>自评结论</w:t>
            </w:r>
          </w:p>
        </w:tc>
        <w:tc>
          <w:tcPr>
            <w:tcW w:w="8467" w:type="dxa"/>
            <w:gridSpan w:val="10"/>
            <w:noWrap w:val="0"/>
            <w:vAlign w:val="center"/>
          </w:tcPr>
          <w:p w14:paraId="64EB07B8">
            <w:pPr>
              <w:jc w:val="center"/>
              <w:rPr>
                <w:rFonts w:hint="eastAsia" w:ascii="楷体" w:hAnsi="楷体" w:eastAsia="楷体" w:cs="楷体"/>
                <w:szCs w:val="21"/>
                <w:lang w:val="en-US" w:eastAsia="zh-CN"/>
              </w:rPr>
            </w:pPr>
            <w:r>
              <w:rPr>
                <w:rFonts w:hint="eastAsia" w:ascii="楷体" w:hAnsi="楷体" w:eastAsia="楷体" w:cs="楷体"/>
                <w:szCs w:val="21"/>
                <w:lang w:val="en-US" w:eastAsia="zh-CN"/>
              </w:rPr>
              <w:t>良</w:t>
            </w:r>
          </w:p>
        </w:tc>
      </w:tr>
      <w:tr w14:paraId="6B73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534" w:hRule="atLeast"/>
          <w:jc w:val="center"/>
        </w:trPr>
        <w:tc>
          <w:tcPr>
            <w:tcW w:w="533" w:type="dxa"/>
            <w:noWrap w:val="0"/>
            <w:vAlign w:val="center"/>
          </w:tcPr>
          <w:p w14:paraId="722252DB">
            <w:pPr>
              <w:spacing w:line="320" w:lineRule="exact"/>
              <w:jc w:val="center"/>
              <w:rPr>
                <w:rFonts w:ascii="楷体" w:hAnsi="楷体" w:eastAsia="楷体" w:cs="楷体"/>
                <w:szCs w:val="21"/>
              </w:rPr>
            </w:pPr>
            <w:r>
              <w:rPr>
                <w:rFonts w:hint="eastAsia" w:ascii="楷体" w:hAnsi="楷体" w:eastAsia="楷体" w:cs="楷体"/>
                <w:szCs w:val="21"/>
              </w:rPr>
              <w:t>问题与建议</w:t>
            </w:r>
          </w:p>
        </w:tc>
        <w:tc>
          <w:tcPr>
            <w:tcW w:w="8467" w:type="dxa"/>
            <w:gridSpan w:val="10"/>
            <w:noWrap w:val="0"/>
            <w:vAlign w:val="center"/>
          </w:tcPr>
          <w:p w14:paraId="3E0EB317">
            <w:pPr>
              <w:jc w:val="both"/>
              <w:rPr>
                <w:rFonts w:ascii="楷体" w:hAnsi="楷体" w:eastAsia="楷体" w:cs="楷体"/>
                <w:szCs w:val="21"/>
              </w:rPr>
            </w:pPr>
            <w:r>
              <w:rPr>
                <w:rFonts w:hint="eastAsia" w:ascii="楷体" w:hAnsi="楷体" w:eastAsia="楷体" w:cs="楷体"/>
                <w:szCs w:val="21"/>
              </w:rPr>
              <w:t>1、细化预算编制工作，认真做好预算的编制。2、加强财务管理，严格财务审核。3、完善资产管理，抓好“三公”经费控制。4、为有效解决我所乡镇中队站房租赁费、车辆运行和维修等经费缺口，建议县财政继续将我所罚款收入返回比例为90%。</w:t>
            </w:r>
          </w:p>
        </w:tc>
      </w:tr>
      <w:tr w14:paraId="1FB2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8" w:type="dxa"/>
          <w:trHeight w:val="1974" w:hRule="atLeast"/>
          <w:jc w:val="center"/>
        </w:trPr>
        <w:tc>
          <w:tcPr>
            <w:tcW w:w="533" w:type="dxa"/>
            <w:noWrap w:val="0"/>
            <w:vAlign w:val="top"/>
          </w:tcPr>
          <w:p w14:paraId="7571BC67">
            <w:pPr>
              <w:spacing w:line="320" w:lineRule="exact"/>
              <w:jc w:val="center"/>
              <w:rPr>
                <w:rFonts w:ascii="楷体" w:hAnsi="楷体" w:eastAsia="楷体" w:cs="楷体"/>
                <w:szCs w:val="21"/>
              </w:rPr>
            </w:pPr>
            <w:r>
              <w:rPr>
                <w:rFonts w:hint="eastAsia" w:ascii="楷体" w:hAnsi="楷体" w:eastAsia="楷体" w:cs="楷体"/>
                <w:szCs w:val="21"/>
              </w:rPr>
              <w:t>主管部门意见</w:t>
            </w:r>
          </w:p>
        </w:tc>
        <w:tc>
          <w:tcPr>
            <w:tcW w:w="8467" w:type="dxa"/>
            <w:gridSpan w:val="10"/>
            <w:noWrap w:val="0"/>
            <w:vAlign w:val="top"/>
          </w:tcPr>
          <w:p w14:paraId="404AB223">
            <w:pPr>
              <w:ind w:firstLine="3360" w:firstLineChars="1600"/>
              <w:rPr>
                <w:rFonts w:ascii="楷体" w:hAnsi="楷体" w:eastAsia="楷体" w:cs="楷体"/>
                <w:szCs w:val="21"/>
              </w:rPr>
            </w:pPr>
          </w:p>
          <w:p w14:paraId="14344284">
            <w:pPr>
              <w:ind w:firstLine="3360" w:firstLineChars="1600"/>
              <w:rPr>
                <w:rFonts w:ascii="楷体" w:hAnsi="楷体" w:eastAsia="楷体" w:cs="楷体"/>
                <w:szCs w:val="21"/>
              </w:rPr>
            </w:pPr>
          </w:p>
          <w:p w14:paraId="3FE389DC">
            <w:pPr>
              <w:ind w:firstLine="3360" w:firstLineChars="1600"/>
              <w:rPr>
                <w:rFonts w:ascii="楷体" w:hAnsi="楷体" w:eastAsia="楷体" w:cs="楷体"/>
                <w:szCs w:val="21"/>
              </w:rPr>
            </w:pPr>
          </w:p>
          <w:p w14:paraId="2DF0E15E">
            <w:pPr>
              <w:ind w:firstLine="3360" w:firstLineChars="1600"/>
              <w:rPr>
                <w:rFonts w:ascii="楷体" w:hAnsi="楷体" w:eastAsia="楷体" w:cs="楷体"/>
                <w:szCs w:val="21"/>
              </w:rPr>
            </w:pPr>
          </w:p>
          <w:p w14:paraId="0DBF4369">
            <w:pPr>
              <w:ind w:firstLine="3360" w:firstLineChars="1600"/>
              <w:rPr>
                <w:rFonts w:ascii="楷体" w:hAnsi="楷体" w:eastAsia="楷体" w:cs="楷体"/>
                <w:szCs w:val="21"/>
              </w:rPr>
            </w:pPr>
            <w:r>
              <w:rPr>
                <w:rFonts w:hint="eastAsia" w:ascii="楷体" w:hAnsi="楷体" w:eastAsia="楷体" w:cs="楷体"/>
                <w:szCs w:val="21"/>
              </w:rPr>
              <w:t>主管部门（盖章）：</w:t>
            </w:r>
          </w:p>
        </w:tc>
      </w:tr>
    </w:tbl>
    <w:p w14:paraId="3597366B">
      <w:pPr>
        <w:rPr>
          <w:rFonts w:ascii="宋体"/>
          <w:szCs w:val="21"/>
        </w:rPr>
      </w:pPr>
    </w:p>
    <w:p w14:paraId="252961BF">
      <w:pPr>
        <w:ind w:firstLine="420" w:firstLineChars="200"/>
        <w:rPr>
          <w:szCs w:val="21"/>
        </w:rPr>
      </w:pPr>
      <w:r>
        <w:rPr>
          <w:rFonts w:hint="eastAsia" w:ascii="宋体" w:hAnsi="宋体"/>
          <w:szCs w:val="21"/>
        </w:rPr>
        <w:t>填报人：</w:t>
      </w:r>
      <w:r>
        <w:rPr>
          <w:rFonts w:ascii="宋体" w:hAnsi="宋体"/>
          <w:szCs w:val="21"/>
        </w:rPr>
        <w:t xml:space="preserve">  </w:t>
      </w:r>
      <w:r>
        <w:rPr>
          <w:rFonts w:hint="eastAsia" w:ascii="宋体" w:hAnsi="宋体"/>
          <w:szCs w:val="21"/>
          <w:lang w:eastAsia="zh-CN"/>
        </w:rPr>
        <w:t>刘兰</w:t>
      </w:r>
      <w:r>
        <w:rPr>
          <w:rFonts w:ascii="宋体" w:hAnsi="宋体"/>
          <w:szCs w:val="21"/>
        </w:rPr>
        <w:t xml:space="preserve">      </w:t>
      </w:r>
      <w:r>
        <w:rPr>
          <w:rFonts w:hint="eastAsia" w:ascii="宋体" w:hAnsi="宋体"/>
          <w:szCs w:val="21"/>
        </w:rPr>
        <w:t>联系电话：</w:t>
      </w:r>
      <w:r>
        <w:rPr>
          <w:rFonts w:hint="eastAsia" w:ascii="宋体" w:hAnsi="宋体"/>
          <w:szCs w:val="21"/>
          <w:lang w:val="en-US" w:eastAsia="zh-CN"/>
        </w:rPr>
        <w:t>13973913906</w:t>
      </w:r>
      <w:r>
        <w:rPr>
          <w:rFonts w:ascii="宋体" w:hAnsi="宋体"/>
          <w:szCs w:val="21"/>
        </w:rPr>
        <w:t xml:space="preserve">      </w:t>
      </w:r>
      <w:r>
        <w:rPr>
          <w:rFonts w:hint="eastAsia" w:ascii="宋体" w:hAnsi="宋体"/>
          <w:szCs w:val="21"/>
        </w:rPr>
        <w:t>时间：</w:t>
      </w:r>
      <w:r>
        <w:rPr>
          <w:rFonts w:ascii="宋体" w:hAnsi="宋体"/>
          <w:szCs w:val="21"/>
        </w:rPr>
        <w:t xml:space="preserve"> </w:t>
      </w:r>
      <w:r>
        <w:rPr>
          <w:rFonts w:hint="eastAsia" w:ascii="宋体" w:hAnsi="宋体"/>
          <w:szCs w:val="21"/>
          <w:lang w:val="en-US" w:eastAsia="zh-CN"/>
        </w:rPr>
        <w:t>2022</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lang w:val="en-US" w:eastAsia="zh-CN"/>
        </w:rPr>
        <w:t>5</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lang w:val="en-US" w:eastAsia="zh-CN"/>
        </w:rPr>
        <w:t>6</w:t>
      </w:r>
      <w:r>
        <w:rPr>
          <w:rFonts w:ascii="宋体" w:hAnsi="宋体"/>
          <w:szCs w:val="21"/>
        </w:rPr>
        <w:t xml:space="preserve"> </w:t>
      </w:r>
      <w:r>
        <w:rPr>
          <w:rFonts w:hint="eastAsia" w:ascii="宋体" w:hAnsi="宋体"/>
          <w:szCs w:val="21"/>
        </w:rPr>
        <w:t>日</w:t>
      </w:r>
    </w:p>
    <w:p w14:paraId="64246653">
      <w:pPr>
        <w:spacing w:line="560" w:lineRule="exact"/>
        <w:rPr>
          <w:rFonts w:eastAsia="黑体"/>
          <w:kern w:val="0"/>
        </w:rPr>
      </w:pPr>
      <w:r>
        <w:rPr>
          <w:rFonts w:hint="eastAsia" w:eastAsia="黑体"/>
          <w:kern w:val="0"/>
        </w:rPr>
        <w:t>注：自评结论填“优、良、中、差”。</w:t>
      </w:r>
    </w:p>
    <w:p w14:paraId="7911FCEC">
      <w:pPr>
        <w:pStyle w:val="7"/>
        <w:widowControl/>
        <w:spacing w:before="0" w:beforeAutospacing="0" w:after="0" w:afterAutospacing="0" w:line="240" w:lineRule="atLeast"/>
        <w:ind w:firstLine="442" w:firstLineChars="100"/>
        <w:jc w:val="center"/>
        <w:rPr>
          <w:rFonts w:hint="eastAsia" w:ascii="宋体" w:hAnsi="宋体" w:eastAsia="宋体" w:cs="宋体"/>
          <w:b/>
          <w:bCs/>
          <w:sz w:val="32"/>
          <w:szCs w:val="32"/>
          <w:shd w:val="clear" w:color="auto" w:fill="FFFFFF"/>
        </w:rPr>
      </w:pPr>
      <w:r>
        <w:rPr>
          <w:rFonts w:hint="eastAsia" w:ascii="宋体" w:hAnsi="宋体" w:eastAsia="宋体" w:cs="宋体"/>
          <w:b/>
          <w:bCs/>
          <w:sz w:val="44"/>
          <w:szCs w:val="44"/>
          <w:shd w:val="clear" w:color="auto" w:fill="FFFFFF"/>
        </w:rPr>
        <w:t>20</w:t>
      </w:r>
      <w:r>
        <w:rPr>
          <w:rFonts w:hint="eastAsia" w:ascii="宋体" w:hAnsi="宋体" w:eastAsia="宋体" w:cs="宋体"/>
          <w:b/>
          <w:bCs/>
          <w:sz w:val="44"/>
          <w:szCs w:val="44"/>
          <w:shd w:val="clear" w:color="auto" w:fill="FFFFFF"/>
          <w:lang w:val="en-US" w:eastAsia="zh-CN"/>
        </w:rPr>
        <w:t>21</w:t>
      </w:r>
      <w:r>
        <w:rPr>
          <w:rFonts w:hint="eastAsia" w:ascii="宋体" w:hAnsi="宋体" w:eastAsia="宋体" w:cs="宋体"/>
          <w:b/>
          <w:bCs/>
          <w:sz w:val="44"/>
          <w:szCs w:val="44"/>
          <w:shd w:val="clear" w:color="auto" w:fill="FFFFFF"/>
        </w:rPr>
        <w:t>年</w:t>
      </w:r>
      <w:r>
        <w:rPr>
          <w:rFonts w:hint="eastAsia" w:ascii="宋体" w:hAnsi="宋体" w:eastAsia="宋体" w:cs="宋体"/>
          <w:b/>
          <w:bCs/>
          <w:sz w:val="44"/>
          <w:szCs w:val="44"/>
          <w:shd w:val="clear" w:color="auto" w:fill="FFFFFF"/>
          <w:lang w:eastAsia="zh-CN"/>
        </w:rPr>
        <w:t>部门整体支出</w:t>
      </w:r>
      <w:r>
        <w:rPr>
          <w:rFonts w:hint="eastAsia" w:ascii="宋体" w:hAnsi="宋体" w:eastAsia="宋体" w:cs="宋体"/>
          <w:b/>
          <w:bCs/>
          <w:sz w:val="44"/>
          <w:szCs w:val="44"/>
          <w:shd w:val="clear" w:color="auto" w:fill="FFFFFF"/>
        </w:rPr>
        <w:t>绩效自评报告</w:t>
      </w:r>
    </w:p>
    <w:p w14:paraId="05679372">
      <w:pPr>
        <w:keepNext w:val="0"/>
        <w:keepLines w:val="0"/>
        <w:pageBreakBefore w:val="0"/>
        <w:kinsoku/>
        <w:wordWrap/>
        <w:overflowPunct/>
        <w:topLinePunct w:val="0"/>
        <w:autoSpaceDE/>
        <w:autoSpaceDN/>
        <w:bidi w:val="0"/>
        <w:adjustRightInd/>
        <w:snapToGrid/>
        <w:spacing w:line="300" w:lineRule="atLeast"/>
        <w:ind w:firstLine="640" w:firstLineChars="200"/>
        <w:textAlignment w:val="auto"/>
        <w:rPr>
          <w:rFonts w:hint="eastAsia" w:ascii="仿宋_GB2312" w:hAnsi="仿宋_GB2312" w:eastAsia="仿宋_GB2312" w:cs="仿宋_GB2312"/>
          <w:sz w:val="32"/>
          <w:szCs w:val="32"/>
          <w:shd w:val="clear" w:color="auto" w:fill="FFFFFF"/>
        </w:rPr>
      </w:pPr>
    </w:p>
    <w:p w14:paraId="1D8D7BD2">
      <w:pPr>
        <w:keepNext w:val="0"/>
        <w:keepLines w:val="0"/>
        <w:pageBreakBefore w:val="0"/>
        <w:kinsoku/>
        <w:wordWrap/>
        <w:overflowPunct/>
        <w:topLinePunct w:val="0"/>
        <w:autoSpaceDE/>
        <w:autoSpaceDN/>
        <w:bidi w:val="0"/>
        <w:adjustRightInd/>
        <w:snapToGrid/>
        <w:spacing w:line="300" w:lineRule="atLeast"/>
        <w:ind w:firstLine="640"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shd w:val="clear" w:color="auto" w:fill="FFFFFF"/>
        </w:rPr>
        <w:t>为确实做好20</w:t>
      </w:r>
      <w:r>
        <w:rPr>
          <w:rFonts w:hint="eastAsia" w:ascii="仿宋_GB2312" w:hAnsi="仿宋_GB2312" w:eastAsia="仿宋_GB2312" w:cs="仿宋_GB2312"/>
          <w:sz w:val="32"/>
          <w:szCs w:val="32"/>
          <w:shd w:val="clear" w:color="auto" w:fill="FFFFFF"/>
          <w:lang w:val="en-US" w:eastAsia="zh-CN"/>
        </w:rPr>
        <w:t>21</w:t>
      </w:r>
      <w:r>
        <w:rPr>
          <w:rFonts w:hint="eastAsia" w:ascii="仿宋_GB2312" w:hAnsi="仿宋_GB2312" w:eastAsia="仿宋_GB2312" w:cs="仿宋_GB2312"/>
          <w:sz w:val="32"/>
          <w:szCs w:val="32"/>
          <w:shd w:val="clear" w:color="auto" w:fill="FFFFFF"/>
        </w:rPr>
        <w:t>年度部门整体支出绩效自评工作，提高财政资金使用效益，根据县财政局</w:t>
      </w:r>
      <w:r>
        <w:rPr>
          <w:rFonts w:hint="eastAsia" w:ascii="仿宋" w:hAnsi="仿宋" w:eastAsia="仿宋" w:cs="仿宋"/>
          <w:color w:val="auto"/>
          <w:sz w:val="32"/>
          <w:szCs w:val="32"/>
          <w:shd w:val="clear" w:color="auto" w:fill="FFFFFF"/>
        </w:rPr>
        <w:t>《关于开展20</w:t>
      </w:r>
      <w:r>
        <w:rPr>
          <w:rFonts w:hint="eastAsia" w:ascii="仿宋" w:hAnsi="仿宋" w:eastAsia="仿宋" w:cs="仿宋"/>
          <w:color w:val="auto"/>
          <w:sz w:val="32"/>
          <w:szCs w:val="32"/>
          <w:shd w:val="clear" w:color="auto" w:fill="FFFFFF"/>
          <w:lang w:val="en-US" w:eastAsia="zh-CN"/>
        </w:rPr>
        <w:t>21</w:t>
      </w:r>
      <w:r>
        <w:rPr>
          <w:rFonts w:hint="eastAsia" w:ascii="仿宋" w:hAnsi="仿宋" w:eastAsia="仿宋" w:cs="仿宋"/>
          <w:color w:val="auto"/>
          <w:sz w:val="32"/>
          <w:szCs w:val="32"/>
          <w:shd w:val="clear" w:color="auto" w:fill="FFFFFF"/>
        </w:rPr>
        <w:t>年</w:t>
      </w:r>
      <w:r>
        <w:rPr>
          <w:rFonts w:hint="eastAsia" w:ascii="仿宋" w:hAnsi="仿宋" w:eastAsia="仿宋" w:cs="仿宋"/>
          <w:color w:val="auto"/>
          <w:sz w:val="32"/>
          <w:szCs w:val="32"/>
          <w:shd w:val="clear" w:color="auto" w:fill="FFFFFF"/>
          <w:lang w:val="en-US" w:eastAsia="zh-CN"/>
        </w:rPr>
        <w:t>部门整体支出和</w:t>
      </w:r>
      <w:r>
        <w:rPr>
          <w:rFonts w:hint="eastAsia" w:ascii="仿宋" w:hAnsi="仿宋" w:eastAsia="仿宋" w:cs="仿宋"/>
          <w:color w:val="auto"/>
          <w:sz w:val="32"/>
          <w:szCs w:val="32"/>
          <w:shd w:val="clear" w:color="auto" w:fill="FFFFFF"/>
        </w:rPr>
        <w:t>县级财政资金</w:t>
      </w:r>
      <w:r>
        <w:rPr>
          <w:rFonts w:hint="eastAsia" w:ascii="仿宋" w:hAnsi="仿宋" w:eastAsia="仿宋" w:cs="仿宋"/>
          <w:color w:val="auto"/>
          <w:sz w:val="32"/>
          <w:szCs w:val="32"/>
          <w:shd w:val="clear" w:color="auto" w:fill="FFFFFF"/>
          <w:lang w:val="en-US" w:eastAsia="zh-CN"/>
        </w:rPr>
        <w:t>支出</w:t>
      </w:r>
      <w:r>
        <w:rPr>
          <w:rFonts w:hint="eastAsia" w:ascii="仿宋" w:hAnsi="仿宋" w:eastAsia="仿宋" w:cs="仿宋"/>
          <w:color w:val="auto"/>
          <w:sz w:val="32"/>
          <w:szCs w:val="32"/>
          <w:shd w:val="clear" w:color="auto" w:fill="FFFFFF"/>
        </w:rPr>
        <w:t>绩效评价工作的通知》（隆财绩[20</w:t>
      </w:r>
      <w:r>
        <w:rPr>
          <w:rFonts w:hint="eastAsia" w:ascii="仿宋" w:hAnsi="仿宋" w:eastAsia="仿宋" w:cs="仿宋"/>
          <w:color w:val="auto"/>
          <w:sz w:val="32"/>
          <w:szCs w:val="32"/>
          <w:shd w:val="clear" w:color="auto" w:fill="FFFFFF"/>
          <w:lang w:val="en-US" w:eastAsia="zh-CN"/>
        </w:rPr>
        <w:t>22</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2</w:t>
      </w:r>
      <w:r>
        <w:rPr>
          <w:rFonts w:hint="eastAsia" w:ascii="仿宋" w:hAnsi="仿宋" w:eastAsia="仿宋" w:cs="仿宋"/>
          <w:color w:val="auto"/>
          <w:sz w:val="32"/>
          <w:szCs w:val="32"/>
          <w:shd w:val="clear" w:color="auto" w:fill="FFFFFF"/>
        </w:rPr>
        <w:t>号）</w:t>
      </w:r>
      <w:r>
        <w:rPr>
          <w:rFonts w:hint="eastAsia" w:ascii="仿宋_GB2312" w:hAnsi="仿宋_GB2312" w:eastAsia="仿宋_GB2312" w:cs="仿宋_GB2312"/>
          <w:sz w:val="32"/>
          <w:szCs w:val="32"/>
          <w:shd w:val="clear" w:color="auto" w:fill="FFFFFF"/>
        </w:rPr>
        <w:t>文件精神，</w:t>
      </w:r>
      <w:r>
        <w:rPr>
          <w:rFonts w:hint="eastAsia" w:ascii="仿宋_GB2312" w:hAnsi="仿宋_GB2312" w:eastAsia="仿宋_GB2312" w:cs="仿宋_GB2312"/>
          <w:spacing w:val="-4"/>
          <w:sz w:val="32"/>
          <w:szCs w:val="32"/>
        </w:rPr>
        <w:t>经相关业务股室全面综合评价，我</w:t>
      </w:r>
      <w:r>
        <w:rPr>
          <w:rFonts w:hint="eastAsia" w:ascii="仿宋_GB2312" w:hAnsi="仿宋_GB2312" w:eastAsia="仿宋_GB2312" w:cs="仿宋_GB2312"/>
          <w:spacing w:val="-4"/>
          <w:sz w:val="32"/>
          <w:szCs w:val="32"/>
          <w:lang w:eastAsia="zh-CN"/>
        </w:rPr>
        <w:t>中心</w:t>
      </w:r>
      <w:r>
        <w:rPr>
          <w:rFonts w:hint="eastAsia" w:ascii="仿宋_GB2312" w:hAnsi="仿宋_GB2312" w:eastAsia="仿宋_GB2312" w:cs="仿宋_GB2312"/>
          <w:spacing w:val="-4"/>
          <w:sz w:val="32"/>
          <w:szCs w:val="32"/>
          <w:lang w:val="en-US" w:eastAsia="zh-CN"/>
        </w:rPr>
        <w:t>2021</w:t>
      </w:r>
      <w:r>
        <w:rPr>
          <w:rFonts w:hint="eastAsia" w:ascii="仿宋_GB2312" w:hAnsi="仿宋_GB2312" w:eastAsia="仿宋_GB2312" w:cs="仿宋_GB2312"/>
          <w:spacing w:val="-4"/>
          <w:sz w:val="32"/>
          <w:szCs w:val="32"/>
        </w:rPr>
        <w:t>年度部门整体支出绩效自评等级“良”。现将绩效自评情况报告如下：</w:t>
      </w:r>
    </w:p>
    <w:p w14:paraId="34E6CBFE">
      <w:pPr>
        <w:keepNext w:val="0"/>
        <w:keepLines w:val="0"/>
        <w:pageBreakBefore w:val="0"/>
        <w:widowControl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一、部门概况</w:t>
      </w:r>
    </w:p>
    <w:p w14:paraId="74079097">
      <w:pPr>
        <w:keepNext w:val="0"/>
        <w:keepLines w:val="0"/>
        <w:pageBreakBefore w:val="0"/>
        <w:widowControl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（一）部门基本情况</w:t>
      </w:r>
    </w:p>
    <w:p w14:paraId="1CCA3175">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tLeast"/>
        <w:ind w:firstLine="640" w:firstLineChars="20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eastAsia="zh-CN"/>
        </w:rPr>
        <w:t>我</w:t>
      </w:r>
      <w:r>
        <w:rPr>
          <w:rFonts w:hint="eastAsia" w:ascii="仿宋_GB2312" w:hAnsi="仿宋_GB2312" w:eastAsia="仿宋_GB2312" w:cs="仿宋_GB2312"/>
          <w:sz w:val="32"/>
          <w:szCs w:val="32"/>
          <w:shd w:val="clear" w:color="auto" w:fill="FFFFFF"/>
        </w:rPr>
        <w:t>单位</w:t>
      </w:r>
      <w:r>
        <w:rPr>
          <w:rFonts w:hint="eastAsia" w:ascii="仿宋_GB2312" w:hAnsi="仿宋_GB2312" w:eastAsia="仿宋_GB2312" w:cs="仿宋_GB2312"/>
          <w:sz w:val="32"/>
          <w:szCs w:val="32"/>
          <w:shd w:val="clear" w:color="auto" w:fill="FFFFFF"/>
          <w:lang w:eastAsia="zh-CN"/>
        </w:rPr>
        <w:t>隶属于隆回县交通运输局二级机构</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副科级全额拨款公益一类事业单位，</w:t>
      </w:r>
      <w:r>
        <w:rPr>
          <w:rFonts w:hint="eastAsia" w:ascii="仿宋_GB2312" w:hAnsi="仿宋_GB2312" w:eastAsia="仿宋_GB2312" w:cs="仿宋_GB2312"/>
          <w:sz w:val="32"/>
          <w:szCs w:val="32"/>
          <w:shd w:val="clear" w:color="auto" w:fill="FFFFFF"/>
          <w:lang w:val="en-US" w:eastAsia="zh-CN"/>
        </w:rPr>
        <w:t>单位编制人数49人，</w:t>
      </w:r>
      <w:r>
        <w:rPr>
          <w:rFonts w:hint="eastAsia" w:ascii="仿宋_GB2312" w:hAnsi="仿宋_GB2312" w:eastAsia="仿宋_GB2312" w:cs="仿宋_GB2312"/>
          <w:sz w:val="32"/>
          <w:szCs w:val="32"/>
          <w:shd w:val="clear" w:color="auto" w:fill="FFFFFF"/>
          <w:lang w:eastAsia="zh-CN"/>
        </w:rPr>
        <w:t>目前全所共有干部职工</w:t>
      </w:r>
      <w:r>
        <w:rPr>
          <w:rFonts w:hint="eastAsia" w:ascii="仿宋_GB2312" w:hAnsi="仿宋_GB2312" w:eastAsia="仿宋_GB2312" w:cs="仿宋_GB2312"/>
          <w:sz w:val="32"/>
          <w:szCs w:val="32"/>
          <w:shd w:val="clear" w:color="auto" w:fill="FFFFFF"/>
          <w:lang w:val="en-US" w:eastAsia="zh-CN"/>
        </w:rPr>
        <w:t>129人，其中在职人员114人，退休人员15人。单位内设办公室、计财股、运政股、货运股、法制教育股、驾培股、客运股、维修股、安全股等9个股室，下设全县25个乡镇运管中队。目前有执法车辆28台。我单位的主要职责是：</w:t>
      </w:r>
    </w:p>
    <w:p w14:paraId="054347BF">
      <w:pPr>
        <w:pStyle w:val="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00" w:lineRule="atLeas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1.贯彻执行国家和交通主管部门有关道路运输管理的方针政策，依据《中华人民共和国道路运输条例》和《湖南省道路运输条例》及主管部门授权，负责具体实施道路运输管理工作;</w:t>
      </w:r>
    </w:p>
    <w:p w14:paraId="6180F3CF">
      <w:pPr>
        <w:keepNext w:val="0"/>
        <w:keepLines w:val="0"/>
        <w:pageBreakBefore w:val="0"/>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2.拟定全县道路运输行业发展规划并组织实施;负责道路运输行业的统筹、协调、监督、服务工作。</w:t>
      </w:r>
    </w:p>
    <w:p w14:paraId="72363DB2">
      <w:pPr>
        <w:keepNext w:val="0"/>
        <w:keepLines w:val="0"/>
        <w:pageBreakBefore w:val="0"/>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3.负责管理全县道路旅客运输、货物运输、货运物流、道路运输辅助性业务如机动车维修、驾驶员培训业</w:t>
      </w:r>
      <w:r>
        <w:rPr>
          <w:rFonts w:hint="eastAsia" w:ascii="仿宋_GB2312" w:hAnsi="仿宋_GB2312" w:eastAsia="仿宋_GB2312" w:cs="仿宋_GB2312"/>
          <w:sz w:val="32"/>
          <w:szCs w:val="32"/>
          <w:lang w:eastAsia="zh-CN"/>
        </w:rPr>
        <w:t>、源头治超、</w:t>
      </w:r>
      <w:r>
        <w:rPr>
          <w:rFonts w:hint="eastAsia" w:ascii="仿宋_GB2312" w:hAnsi="仿宋_GB2312" w:eastAsia="仿宋_GB2312" w:cs="仿宋_GB2312"/>
          <w:sz w:val="32"/>
          <w:szCs w:val="32"/>
        </w:rPr>
        <w:t>并进行年度审验;负责机动车车辆技术管理。</w:t>
      </w:r>
    </w:p>
    <w:p w14:paraId="484E7B0C">
      <w:pPr>
        <w:keepNext w:val="0"/>
        <w:keepLines w:val="0"/>
        <w:pageBreakBefore w:val="0"/>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4.负责把好道路运输市场准入关、营运车辆技术状况关、从业人员资格关、搞好道路运输安全源头管理，监督道路运输经营者做好运输安全工作。</w:t>
      </w:r>
    </w:p>
    <w:p w14:paraId="3AF5D427">
      <w:pPr>
        <w:keepNext w:val="0"/>
        <w:keepLines w:val="0"/>
        <w:pageBreakBefore w:val="0"/>
        <w:numPr>
          <w:ilvl w:val="0"/>
          <w:numId w:val="0"/>
        </w:numPr>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负责监督检查道路运输经营者的经营活动和服务质量，对道路违法经营者依法进行处罚;对道路运输企业和其他道路运输经营户进行分类指导，调处道路运输纠纷，维护道路运输秩序，保障道路运输安全、维护道路运输有关各方当事人的合法权益。</w:t>
      </w:r>
    </w:p>
    <w:p w14:paraId="093D545E">
      <w:pPr>
        <w:keepNext w:val="0"/>
        <w:keepLines w:val="0"/>
        <w:pageBreakBefore w:val="0"/>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6.负责监督检查道路运输经营者的价格实施情况，提出价格调整意见，配合物价部门调处价格纠纷。</w:t>
      </w:r>
    </w:p>
    <w:p w14:paraId="1F88537E">
      <w:pPr>
        <w:keepNext w:val="0"/>
        <w:keepLines w:val="0"/>
        <w:pageBreakBefore w:val="0"/>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7.负责组织协调重点物资、大宗货物的运输工作，促进地区之间、运输企业之间的联营、联运，做好战备、防汛、抢险、救灾物资的运输组织工作。</w:t>
      </w:r>
    </w:p>
    <w:p w14:paraId="5482A514">
      <w:pPr>
        <w:keepNext w:val="0"/>
        <w:keepLines w:val="0"/>
        <w:pageBreakBefore w:val="0"/>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8.负责全县道路运输行业的生产经营等主要经济技术指标的统计和上报工作;负责道路运输行业节能减排工作。</w:t>
      </w:r>
    </w:p>
    <w:p w14:paraId="0E91C4B8">
      <w:pPr>
        <w:keepNext w:val="0"/>
        <w:keepLines w:val="0"/>
        <w:pageBreakBefore w:val="0"/>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9.会同有关部门拟定全县物流业发展战略和规划，对物流业进行规范化管理，促进现代物流的形成和发展。</w:t>
      </w:r>
    </w:p>
    <w:p w14:paraId="14BDABCE">
      <w:pPr>
        <w:keepNext w:val="0"/>
        <w:keepLines w:val="0"/>
        <w:pageBreakBefore w:val="0"/>
        <w:kinsoku/>
        <w:wordWrap/>
        <w:overflowPunct/>
        <w:topLinePunct w:val="0"/>
        <w:autoSpaceDE/>
        <w:autoSpaceDN/>
        <w:bidi w:val="0"/>
        <w:adjustRightInd/>
        <w:snapToGrid/>
        <w:spacing w:line="300" w:lineRule="atLeas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10.承办县人民政府和县交通运输局交办的其它工作。</w:t>
      </w:r>
    </w:p>
    <w:p w14:paraId="304155AF">
      <w:pPr>
        <w:keepNext w:val="0"/>
        <w:keepLines w:val="0"/>
        <w:pageBreakBefore w:val="0"/>
        <w:widowControl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（二）20</w:t>
      </w:r>
      <w:r>
        <w:rPr>
          <w:rFonts w:hint="eastAsia" w:ascii="宋体" w:hAnsi="宋体" w:eastAsia="宋体" w:cs="宋体"/>
          <w:b/>
          <w:bCs/>
          <w:sz w:val="32"/>
          <w:szCs w:val="32"/>
          <w:lang w:val="en-US" w:eastAsia="zh-CN"/>
        </w:rPr>
        <w:t>2</w:t>
      </w:r>
      <w:r>
        <w:rPr>
          <w:rFonts w:hint="eastAsia" w:ascii="宋体" w:hAnsi="宋体" w:cs="宋体"/>
          <w:b/>
          <w:bCs/>
          <w:sz w:val="32"/>
          <w:szCs w:val="32"/>
          <w:lang w:val="en-US" w:eastAsia="zh-CN"/>
        </w:rPr>
        <w:t>1</w:t>
      </w:r>
      <w:r>
        <w:rPr>
          <w:rFonts w:hint="eastAsia" w:ascii="宋体" w:hAnsi="宋体" w:eastAsia="宋体" w:cs="宋体"/>
          <w:b/>
          <w:bCs/>
          <w:sz w:val="32"/>
          <w:szCs w:val="32"/>
        </w:rPr>
        <w:t>年的重点工作</w:t>
      </w:r>
    </w:p>
    <w:p w14:paraId="7F0CA496">
      <w:pPr>
        <w:pStyle w:val="2"/>
        <w:keepNext w:val="0"/>
        <w:keepLines w:val="0"/>
        <w:pageBreakBefore w:val="0"/>
        <w:numPr>
          <w:ilvl w:val="0"/>
          <w:numId w:val="1"/>
        </w:numPr>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春运工作及疫情防控工作。</w:t>
      </w:r>
    </w:p>
    <w:p w14:paraId="67A7B5AA">
      <w:pPr>
        <w:pStyle w:val="2"/>
        <w:keepNext w:val="0"/>
        <w:keepLines w:val="0"/>
        <w:pageBreakBefore w:val="0"/>
        <w:numPr>
          <w:ilvl w:val="0"/>
          <w:numId w:val="1"/>
        </w:numPr>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安全生产工作。</w:t>
      </w:r>
    </w:p>
    <w:p w14:paraId="71DDE15B">
      <w:pPr>
        <w:pStyle w:val="2"/>
        <w:keepNext w:val="0"/>
        <w:keepLines w:val="0"/>
        <w:pageBreakBefore w:val="0"/>
        <w:numPr>
          <w:ilvl w:val="0"/>
          <w:numId w:val="1"/>
        </w:numPr>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党风廉政建设工作。</w:t>
      </w:r>
    </w:p>
    <w:p w14:paraId="608DB47A">
      <w:pPr>
        <w:pStyle w:val="2"/>
        <w:keepNext w:val="0"/>
        <w:keepLines w:val="0"/>
        <w:pageBreakBefore w:val="0"/>
        <w:numPr>
          <w:ilvl w:val="0"/>
          <w:numId w:val="1"/>
        </w:numPr>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扶贫工作。</w:t>
      </w:r>
    </w:p>
    <w:p w14:paraId="412A046F">
      <w:pPr>
        <w:pStyle w:val="2"/>
        <w:keepNext w:val="0"/>
        <w:keepLines w:val="0"/>
        <w:pageBreakBefore w:val="0"/>
        <w:numPr>
          <w:ilvl w:val="0"/>
          <w:numId w:val="1"/>
        </w:numPr>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客货运输及道路运输相关业务的管理工作。</w:t>
      </w:r>
    </w:p>
    <w:p w14:paraId="04A7698B">
      <w:pPr>
        <w:keepNext w:val="0"/>
        <w:keepLines w:val="0"/>
        <w:pageBreakBefore w:val="0"/>
        <w:widowControl w:val="0"/>
        <w:numPr>
          <w:ilvl w:val="0"/>
          <w:numId w:val="0"/>
        </w:numPr>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（三）</w:t>
      </w:r>
      <w:r>
        <w:rPr>
          <w:rFonts w:hint="eastAsia" w:ascii="宋体" w:hAnsi="宋体" w:eastAsia="宋体" w:cs="宋体"/>
          <w:b/>
          <w:bCs/>
          <w:sz w:val="32"/>
          <w:szCs w:val="32"/>
        </w:rPr>
        <w:t>部门整体支出情况</w:t>
      </w:r>
    </w:p>
    <w:p w14:paraId="4F9C778B">
      <w:pPr>
        <w:pStyle w:val="2"/>
        <w:keepNext w:val="0"/>
        <w:keepLines w:val="0"/>
        <w:pageBreakBefore w:val="0"/>
        <w:numPr>
          <w:ilvl w:val="0"/>
          <w:numId w:val="0"/>
        </w:numPr>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val="0"/>
          <w:bCs w:val="0"/>
          <w:sz w:val="32"/>
          <w:szCs w:val="32"/>
          <w:lang w:val="en-US" w:eastAsia="zh-CN"/>
        </w:rPr>
        <w:t>2021年度部门整体支出1718.36万元，其中基本支出1708.36万元，项目支出10万元。基本支出1708.36万元，其中工资福利支出1309.18万元，商品和服务支出394.80万元，对个人和家庭的补助支出12.38万元，资本性支出2万元。比2020年度减少42.61万元，减少的原因是我单位加强内务管理，建立健全各项管理制度，各项费用支出严格按省市有关文件执行。</w:t>
      </w:r>
    </w:p>
    <w:p w14:paraId="32BF78A1">
      <w:pPr>
        <w:keepNext w:val="0"/>
        <w:keepLines w:val="0"/>
        <w:pageBreakBefore w:val="0"/>
        <w:widowControl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二、部门整体支出管理及使用情况</w:t>
      </w:r>
    </w:p>
    <w:p w14:paraId="689BB5C8">
      <w:pPr>
        <w:keepNext w:val="0"/>
        <w:keepLines w:val="0"/>
        <w:pageBreakBefore w:val="0"/>
        <w:widowControl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（一）基本支出情况</w:t>
      </w:r>
    </w:p>
    <w:p w14:paraId="45C0F956">
      <w:pPr>
        <w:pStyle w:val="2"/>
        <w:keepNext w:val="0"/>
        <w:keepLines w:val="0"/>
        <w:pageBreakBefore w:val="0"/>
        <w:kinsoku/>
        <w:wordWrap/>
        <w:overflowPunct/>
        <w:topLinePunct w:val="0"/>
        <w:autoSpaceDE/>
        <w:autoSpaceDN/>
        <w:bidi w:val="0"/>
        <w:adjustRightInd/>
        <w:snapToGrid/>
        <w:spacing w:line="300" w:lineRule="atLeast"/>
        <w:ind w:firstLine="1280" w:firstLineChars="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度我单位基本支出1708.36万元。其中人员经费1321.56万元，日常公用经费386.8万元。主要是用于为了保障单位机构正常运转、完成日常工作而发生的各项支出，包括用于基本工资、绩效工资、津补贴、社会保障费等人员经费及办公用品、印刷费、水电费、物业管理费、及办公设备购置费等日常公用经费。</w:t>
      </w:r>
    </w:p>
    <w:p w14:paraId="093B1D84">
      <w:pPr>
        <w:keepNext w:val="0"/>
        <w:keepLines w:val="0"/>
        <w:pageBreakBefore w:val="0"/>
        <w:widowControl w:val="0"/>
        <w:numPr>
          <w:ilvl w:val="0"/>
          <w:numId w:val="0"/>
        </w:numPr>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（二）</w:t>
      </w:r>
      <w:r>
        <w:rPr>
          <w:rFonts w:hint="eastAsia" w:ascii="宋体" w:hAnsi="宋体" w:eastAsia="宋体" w:cs="宋体"/>
          <w:b/>
          <w:bCs/>
          <w:sz w:val="32"/>
          <w:szCs w:val="32"/>
        </w:rPr>
        <w:t>项目支出情况</w:t>
      </w:r>
    </w:p>
    <w:p w14:paraId="36298D0E">
      <w:pPr>
        <w:pStyle w:val="2"/>
        <w:keepNext w:val="0"/>
        <w:keepLines w:val="0"/>
        <w:pageBreakBefore w:val="0"/>
        <w:numPr>
          <w:ilvl w:val="0"/>
          <w:numId w:val="0"/>
        </w:numPr>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2021年我单位项目支出10万元。主要是全县社会车辆单证卡的印刷费及执法文书印刷费。</w:t>
      </w:r>
    </w:p>
    <w:p w14:paraId="7CCC7868">
      <w:pPr>
        <w:keepNext w:val="0"/>
        <w:keepLines w:val="0"/>
        <w:pageBreakBefore w:val="0"/>
        <w:widowControl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（三）“三公”经费情况</w:t>
      </w:r>
    </w:p>
    <w:p w14:paraId="3903D1AB">
      <w:pPr>
        <w:keepNext w:val="0"/>
        <w:keepLines w:val="0"/>
        <w:pageBreakBefore w:val="0"/>
        <w:widowControl w:val="0"/>
        <w:kinsoku/>
        <w:wordWrap/>
        <w:overflowPunct/>
        <w:topLinePunct w:val="0"/>
        <w:autoSpaceDE/>
        <w:autoSpaceDN/>
        <w:bidi w:val="0"/>
        <w:adjustRightInd/>
        <w:snapToGrid/>
        <w:spacing w:line="300"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1．因公出国（境）费用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lang w:eastAsia="zh-CN"/>
        </w:rPr>
        <w:t>我单位没有这项支出。</w:t>
      </w:r>
    </w:p>
    <w:p w14:paraId="7D4B593B">
      <w:pPr>
        <w:keepNext w:val="0"/>
        <w:keepLines w:val="0"/>
        <w:pageBreakBefore w:val="0"/>
        <w:widowControl w:val="0"/>
        <w:kinsoku/>
        <w:wordWrap/>
        <w:overflowPunct/>
        <w:topLinePunct w:val="0"/>
        <w:autoSpaceDE/>
        <w:autoSpaceDN/>
        <w:bidi w:val="0"/>
        <w:adjustRightInd/>
        <w:snapToGrid/>
        <w:spacing w:line="3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2．公务接待费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2021年度我单位公务接待费3.30万元。</w:t>
      </w:r>
    </w:p>
    <w:p w14:paraId="51C99F55">
      <w:pPr>
        <w:keepNext w:val="0"/>
        <w:keepLines w:val="0"/>
        <w:pageBreakBefore w:val="0"/>
        <w:widowControl w:val="0"/>
        <w:kinsoku/>
        <w:wordWrap/>
        <w:overflowPunct/>
        <w:topLinePunct w:val="0"/>
        <w:autoSpaceDE/>
        <w:autoSpaceDN/>
        <w:bidi w:val="0"/>
        <w:adjustRightInd/>
        <w:snapToGrid/>
        <w:spacing w:line="30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3．公务用车购置及运行费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2021年度我单位公务用车购置费0万元，车辆运行费90.78万元。</w:t>
      </w:r>
    </w:p>
    <w:p w14:paraId="4484127E">
      <w:pPr>
        <w:keepNext w:val="0"/>
        <w:keepLines w:val="0"/>
        <w:pageBreakBefore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sz w:val="32"/>
          <w:szCs w:val="32"/>
          <w:lang w:eastAsia="zh-CN"/>
        </w:rPr>
      </w:pPr>
      <w:r>
        <w:rPr>
          <w:rFonts w:hint="eastAsia" w:ascii="宋体" w:hAnsi="宋体" w:eastAsia="宋体" w:cs="宋体"/>
          <w:b/>
          <w:bCs/>
          <w:sz w:val="32"/>
          <w:szCs w:val="32"/>
        </w:rPr>
        <w:t>三、部门整体支出绩效情况</w:t>
      </w:r>
      <w:r>
        <w:rPr>
          <w:rFonts w:hint="eastAsia" w:ascii="宋体" w:hAnsi="宋体" w:eastAsia="宋体" w:cs="宋体"/>
          <w:b/>
          <w:bCs/>
          <w:sz w:val="32"/>
          <w:szCs w:val="32"/>
          <w:lang w:eastAsia="zh-CN"/>
        </w:rPr>
        <w:tab/>
      </w:r>
    </w:p>
    <w:p w14:paraId="21CCD0C4">
      <w:pPr>
        <w:keepNext w:val="0"/>
        <w:keepLines w:val="0"/>
        <w:pageBreakBefore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sz w:val="32"/>
          <w:szCs w:val="32"/>
        </w:rPr>
      </w:pPr>
      <w:r>
        <w:rPr>
          <w:rFonts w:hint="eastAsia" w:ascii="宋体" w:hAnsi="宋体" w:eastAsia="宋体" w:cs="宋体"/>
          <w:b/>
          <w:bCs/>
          <w:sz w:val="32"/>
          <w:szCs w:val="32"/>
          <w:lang w:eastAsia="zh-CN"/>
        </w:rPr>
        <w:t>（</w:t>
      </w:r>
      <w:r>
        <w:rPr>
          <w:rFonts w:hint="eastAsia" w:ascii="宋体" w:hAnsi="宋体" w:eastAsia="宋体" w:cs="宋体"/>
          <w:b/>
          <w:bCs/>
          <w:sz w:val="32"/>
          <w:szCs w:val="32"/>
        </w:rPr>
        <w:t>一</w:t>
      </w:r>
      <w:r>
        <w:rPr>
          <w:rFonts w:hint="eastAsia" w:ascii="宋体" w:hAnsi="宋体" w:eastAsia="宋体" w:cs="宋体"/>
          <w:b/>
          <w:bCs/>
          <w:sz w:val="32"/>
          <w:szCs w:val="32"/>
          <w:lang w:eastAsia="zh-CN"/>
        </w:rPr>
        <w:t>）</w:t>
      </w:r>
      <w:r>
        <w:rPr>
          <w:rFonts w:hint="eastAsia" w:ascii="宋体" w:hAnsi="宋体" w:eastAsia="宋体" w:cs="宋体"/>
          <w:b/>
          <w:bCs/>
          <w:sz w:val="32"/>
          <w:szCs w:val="32"/>
        </w:rPr>
        <w:t>春运工作及疫情防控工作</w:t>
      </w:r>
    </w:p>
    <w:p w14:paraId="4CA60CFD">
      <w:pPr>
        <w:keepNext w:val="0"/>
        <w:keepLines w:val="0"/>
        <w:pageBreakBefore w:val="0"/>
        <w:kinsoku/>
        <w:wordWrap/>
        <w:overflowPunct/>
        <w:topLinePunct w:val="0"/>
        <w:autoSpaceDE/>
        <w:autoSpaceDN/>
        <w:bidi w:val="0"/>
        <w:adjustRightInd/>
        <w:snapToGrid/>
        <w:spacing w:line="60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年春运从1月</w:t>
      </w:r>
      <w:r>
        <w:rPr>
          <w:rFonts w:hint="eastAsia" w:ascii="仿宋" w:hAnsi="仿宋" w:eastAsia="仿宋" w:cs="仿宋"/>
          <w:sz w:val="32"/>
          <w:szCs w:val="32"/>
          <w:lang w:val="en-US" w:eastAsia="zh-CN"/>
        </w:rPr>
        <w:t>18</w:t>
      </w:r>
      <w:r>
        <w:rPr>
          <w:rFonts w:hint="eastAsia" w:ascii="仿宋" w:hAnsi="仿宋" w:eastAsia="仿宋" w:cs="仿宋"/>
          <w:sz w:val="32"/>
          <w:szCs w:val="32"/>
        </w:rPr>
        <w:t>日起至</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8</w:t>
      </w:r>
      <w:r>
        <w:rPr>
          <w:rFonts w:hint="eastAsia" w:ascii="仿宋" w:hAnsi="仿宋" w:eastAsia="仿宋" w:cs="仿宋"/>
          <w:sz w:val="32"/>
          <w:szCs w:val="32"/>
        </w:rPr>
        <w:t>日，为期40天（即春节前15天，春节后25天）。隆回县道路运输服务中心在县春运办、县交通运输局的正确领导下，周密部署，扎实工作</w:t>
      </w:r>
      <w:r>
        <w:rPr>
          <w:rFonts w:hint="eastAsia" w:ascii="仿宋" w:hAnsi="仿宋" w:eastAsia="仿宋" w:cs="仿宋"/>
          <w:sz w:val="32"/>
          <w:szCs w:val="32"/>
          <w:lang w:eastAsia="zh-CN"/>
        </w:rPr>
        <w:t>。坚持热情服务，严格执法，我县春运工作在“平安、健康、便捷、温馨、诚信、绿色”中圆满结束。</w:t>
      </w:r>
      <w:r>
        <w:rPr>
          <w:rFonts w:hint="eastAsia" w:ascii="仿宋" w:hAnsi="仿宋" w:eastAsia="仿宋" w:cs="仿宋"/>
          <w:b w:val="0"/>
          <w:bCs w:val="0"/>
          <w:color w:val="333333"/>
          <w:sz w:val="32"/>
          <w:szCs w:val="32"/>
          <w:shd w:val="clear" w:color="auto" w:fill="FFFFFF"/>
          <w:lang w:val="en-US" w:eastAsia="zh-CN"/>
        </w:rPr>
        <w:t>2021年继续受</w:t>
      </w:r>
      <w:r>
        <w:rPr>
          <w:rFonts w:hint="eastAsia" w:ascii="仿宋" w:hAnsi="仿宋" w:eastAsia="仿宋" w:cs="仿宋"/>
          <w:b w:val="0"/>
          <w:bCs w:val="0"/>
          <w:color w:val="333333"/>
          <w:sz w:val="32"/>
          <w:szCs w:val="32"/>
          <w:shd w:val="clear" w:color="auto" w:fill="FFFFFF"/>
          <w:lang w:eastAsia="zh-CN"/>
        </w:rPr>
        <w:t>新冠肺炎疫情影响，在抓好春运工作的同时</w:t>
      </w:r>
      <w:r>
        <w:rPr>
          <w:rFonts w:hint="eastAsia" w:ascii="仿宋" w:hAnsi="仿宋" w:eastAsia="仿宋" w:cs="仿宋"/>
          <w:sz w:val="32"/>
          <w:szCs w:val="32"/>
        </w:rPr>
        <w:t>督促</w:t>
      </w:r>
      <w:r>
        <w:rPr>
          <w:rFonts w:hint="eastAsia" w:ascii="仿宋" w:hAnsi="仿宋" w:eastAsia="仿宋" w:cs="仿宋"/>
          <w:sz w:val="32"/>
          <w:szCs w:val="32"/>
          <w:lang w:eastAsia="zh-CN"/>
        </w:rPr>
        <w:t>客运站及客运企业按照交通运输部颁布的《</w:t>
      </w:r>
      <w:r>
        <w:rPr>
          <w:rFonts w:hint="eastAsia" w:ascii="仿宋" w:hAnsi="仿宋" w:eastAsia="仿宋" w:cs="仿宋"/>
          <w:sz w:val="32"/>
          <w:szCs w:val="32"/>
        </w:rPr>
        <w:t>客运场站和交通运输工具新冠肺炎疫情分区分级防控指南</w:t>
      </w:r>
      <w:r>
        <w:rPr>
          <w:rFonts w:hint="eastAsia" w:ascii="仿宋" w:hAnsi="仿宋" w:eastAsia="仿宋" w:cs="仿宋"/>
          <w:sz w:val="32"/>
          <w:szCs w:val="32"/>
          <w:lang w:eastAsia="zh-CN"/>
        </w:rPr>
        <w:t>》的要求落实</w:t>
      </w:r>
      <w:r>
        <w:rPr>
          <w:rFonts w:hint="eastAsia" w:ascii="仿宋" w:hAnsi="仿宋" w:eastAsia="仿宋" w:cs="仿宋"/>
          <w:sz w:val="32"/>
          <w:szCs w:val="32"/>
        </w:rPr>
        <w:t>。</w:t>
      </w:r>
      <w:r>
        <w:rPr>
          <w:rFonts w:hint="eastAsia" w:ascii="仿宋" w:hAnsi="仿宋" w:eastAsia="仿宋" w:cs="仿宋"/>
          <w:sz w:val="32"/>
          <w:szCs w:val="32"/>
          <w:lang w:eastAsia="zh-CN"/>
        </w:rPr>
        <w:t>优先安排一线从事客运经营的从业人员共计</w:t>
      </w:r>
      <w:r>
        <w:rPr>
          <w:rFonts w:hint="eastAsia" w:ascii="仿宋" w:hAnsi="仿宋" w:eastAsia="仿宋" w:cs="仿宋"/>
          <w:sz w:val="32"/>
          <w:szCs w:val="32"/>
          <w:lang w:val="en-US" w:eastAsia="zh-CN"/>
        </w:rPr>
        <w:t>950人</w:t>
      </w:r>
      <w:r>
        <w:rPr>
          <w:rFonts w:hint="eastAsia" w:ascii="仿宋" w:hAnsi="仿宋" w:eastAsia="仿宋" w:cs="仿宋"/>
          <w:sz w:val="32"/>
          <w:szCs w:val="32"/>
          <w:lang w:eastAsia="zh-CN"/>
        </w:rPr>
        <w:t>接种新冠疫苗，为道路运输疫情防控工作打下了坚实的基础。至目前为止，道路运输疫情防控工作取得了零感染的良好成绩。</w:t>
      </w:r>
    </w:p>
    <w:p w14:paraId="0290A363">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atLeas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据统计，20</w:t>
      </w:r>
      <w:r>
        <w:rPr>
          <w:rFonts w:hint="eastAsia" w:ascii="仿宋" w:hAnsi="仿宋" w:eastAsia="仿宋" w:cs="仿宋"/>
          <w:sz w:val="32"/>
          <w:szCs w:val="32"/>
          <w:lang w:val="en-US" w:eastAsia="zh-CN"/>
        </w:rPr>
        <w:t>21</w:t>
      </w:r>
      <w:r>
        <w:rPr>
          <w:rFonts w:hint="eastAsia" w:ascii="仿宋" w:hAnsi="仿宋" w:eastAsia="仿宋" w:cs="仿宋"/>
          <w:sz w:val="32"/>
          <w:szCs w:val="32"/>
        </w:rPr>
        <w:t>年春运</w:t>
      </w:r>
      <w:r>
        <w:rPr>
          <w:rFonts w:hint="eastAsia" w:ascii="仿宋" w:hAnsi="仿宋" w:eastAsia="仿宋" w:cs="仿宋"/>
          <w:sz w:val="32"/>
          <w:szCs w:val="32"/>
          <w:lang w:eastAsia="zh-CN"/>
        </w:rPr>
        <w:t>期间，我</w:t>
      </w:r>
      <w:r>
        <w:rPr>
          <w:rFonts w:hint="eastAsia" w:ascii="仿宋" w:hAnsi="仿宋" w:eastAsia="仿宋" w:cs="仿宋"/>
          <w:sz w:val="32"/>
          <w:szCs w:val="32"/>
        </w:rPr>
        <w:t>县共发送旅客</w:t>
      </w:r>
      <w:r>
        <w:rPr>
          <w:rFonts w:hint="eastAsia" w:ascii="仿宋" w:hAnsi="仿宋" w:eastAsia="仿宋" w:cs="仿宋"/>
          <w:sz w:val="32"/>
          <w:szCs w:val="32"/>
          <w:lang w:val="en-US" w:eastAsia="zh-CN"/>
        </w:rPr>
        <w:t>18余</w:t>
      </w:r>
      <w:r>
        <w:rPr>
          <w:rFonts w:hint="eastAsia" w:ascii="仿宋" w:hAnsi="仿宋" w:eastAsia="仿宋" w:cs="仿宋"/>
          <w:sz w:val="32"/>
          <w:szCs w:val="32"/>
        </w:rPr>
        <w:t>万人次</w:t>
      </w:r>
      <w:r>
        <w:rPr>
          <w:rFonts w:hint="eastAsia" w:ascii="仿宋" w:hAnsi="仿宋" w:eastAsia="仿宋" w:cs="仿宋"/>
          <w:sz w:val="32"/>
          <w:szCs w:val="32"/>
          <w:lang w:eastAsia="zh-CN"/>
        </w:rPr>
        <w:t>；同比</w:t>
      </w:r>
      <w:r>
        <w:rPr>
          <w:rFonts w:hint="eastAsia" w:ascii="仿宋" w:hAnsi="仿宋" w:eastAsia="仿宋" w:cs="仿宋"/>
          <w:sz w:val="32"/>
          <w:szCs w:val="32"/>
          <w:lang w:val="en-US" w:eastAsia="zh-CN"/>
        </w:rPr>
        <w:t>2020年春运有了大幅度的提高。</w:t>
      </w:r>
      <w:r>
        <w:rPr>
          <w:rFonts w:hint="eastAsia" w:ascii="仿宋" w:hAnsi="仿宋" w:eastAsia="仿宋" w:cs="仿宋"/>
          <w:sz w:val="32"/>
          <w:szCs w:val="32"/>
        </w:rPr>
        <w:t>纠正各类违法违章行为</w:t>
      </w:r>
      <w:r>
        <w:rPr>
          <w:rFonts w:hint="eastAsia" w:ascii="仿宋" w:hAnsi="仿宋" w:eastAsia="仿宋" w:cs="仿宋"/>
          <w:sz w:val="32"/>
          <w:szCs w:val="32"/>
          <w:lang w:val="en-US" w:eastAsia="zh-CN"/>
        </w:rPr>
        <w:t>160</w:t>
      </w:r>
      <w:r>
        <w:rPr>
          <w:rFonts w:hint="eastAsia" w:ascii="仿宋" w:hAnsi="仿宋" w:eastAsia="仿宋" w:cs="仿宋"/>
          <w:sz w:val="32"/>
          <w:szCs w:val="32"/>
        </w:rPr>
        <w:t>余起，查获非法营运车辆</w:t>
      </w:r>
      <w:r>
        <w:rPr>
          <w:rFonts w:hint="eastAsia" w:ascii="仿宋" w:hAnsi="仿宋" w:eastAsia="仿宋" w:cs="仿宋"/>
          <w:sz w:val="32"/>
          <w:szCs w:val="32"/>
          <w:lang w:val="en-US" w:eastAsia="zh-CN"/>
        </w:rPr>
        <w:t>35</w:t>
      </w:r>
      <w:r>
        <w:rPr>
          <w:rFonts w:hint="eastAsia" w:ascii="仿宋" w:hAnsi="仿宋" w:eastAsia="仿宋" w:cs="仿宋"/>
          <w:sz w:val="32"/>
          <w:szCs w:val="32"/>
        </w:rPr>
        <w:t>台，处罚金额</w:t>
      </w:r>
      <w:r>
        <w:rPr>
          <w:rFonts w:hint="eastAsia" w:ascii="仿宋" w:hAnsi="仿宋" w:eastAsia="仿宋" w:cs="仿宋"/>
          <w:sz w:val="32"/>
          <w:szCs w:val="32"/>
          <w:lang w:val="en-US" w:eastAsia="zh-CN"/>
        </w:rPr>
        <w:t>85.2</w:t>
      </w:r>
      <w:r>
        <w:rPr>
          <w:rFonts w:hint="eastAsia" w:ascii="仿宋" w:hAnsi="仿宋" w:eastAsia="仿宋" w:cs="仿宋"/>
          <w:sz w:val="32"/>
          <w:szCs w:val="32"/>
        </w:rPr>
        <w:t>万元</w:t>
      </w:r>
      <w:r>
        <w:rPr>
          <w:rFonts w:hint="eastAsia" w:ascii="仿宋" w:hAnsi="仿宋" w:eastAsia="仿宋" w:cs="仿宋"/>
          <w:sz w:val="32"/>
          <w:szCs w:val="32"/>
          <w:lang w:eastAsia="zh-CN"/>
        </w:rPr>
        <w:t>；购买发放疫情防控物资共计</w:t>
      </w:r>
      <w:r>
        <w:rPr>
          <w:rFonts w:hint="eastAsia" w:ascii="仿宋" w:hAnsi="仿宋" w:eastAsia="仿宋" w:cs="仿宋"/>
          <w:sz w:val="32"/>
          <w:szCs w:val="32"/>
          <w:lang w:val="en-US" w:eastAsia="zh-CN"/>
        </w:rPr>
        <w:t>10余万元。</w:t>
      </w:r>
    </w:p>
    <w:p w14:paraId="08FB91A7">
      <w:pPr>
        <w:keepNext w:val="0"/>
        <w:keepLines w:val="0"/>
        <w:pageBreakBefore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lang w:eastAsia="zh-CN"/>
        </w:rPr>
        <w:t>（</w:t>
      </w:r>
      <w:r>
        <w:rPr>
          <w:rFonts w:hint="eastAsia" w:ascii="宋体" w:hAnsi="宋体" w:eastAsia="宋体" w:cs="宋体"/>
          <w:b/>
          <w:sz w:val="32"/>
          <w:szCs w:val="32"/>
        </w:rPr>
        <w:t>二</w:t>
      </w:r>
      <w:r>
        <w:rPr>
          <w:rFonts w:hint="eastAsia" w:ascii="宋体" w:hAnsi="宋体" w:eastAsia="宋体" w:cs="宋体"/>
          <w:b/>
          <w:sz w:val="32"/>
          <w:szCs w:val="32"/>
          <w:lang w:eastAsia="zh-CN"/>
        </w:rPr>
        <w:t>）</w:t>
      </w:r>
      <w:r>
        <w:rPr>
          <w:rFonts w:hint="eastAsia" w:ascii="宋体" w:hAnsi="宋体" w:eastAsia="宋体" w:cs="宋体"/>
          <w:b/>
          <w:sz w:val="32"/>
          <w:szCs w:val="32"/>
        </w:rPr>
        <w:t>安全生产工作</w:t>
      </w:r>
    </w:p>
    <w:p w14:paraId="2D9EF395">
      <w:pPr>
        <w:keepNext w:val="0"/>
        <w:keepLines w:val="0"/>
        <w:pageBreakBefore w:val="0"/>
        <w:kinsoku/>
        <w:wordWrap/>
        <w:overflowPunct/>
        <w:topLinePunct w:val="0"/>
        <w:autoSpaceDE/>
        <w:autoSpaceDN/>
        <w:bidi w:val="0"/>
        <w:adjustRightInd/>
        <w:snapToGrid/>
        <w:spacing w:line="300" w:lineRule="atLeast"/>
        <w:ind w:firstLine="643" w:firstLineChars="200"/>
        <w:textAlignment w:val="auto"/>
        <w:rPr>
          <w:rFonts w:hint="eastAsia" w:ascii="仿宋_GB2312" w:hAnsi="仿宋_GB2312" w:eastAsia="仿宋_GB2312" w:cs="仿宋_GB2312"/>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、开展培训检查促安全责任落实。</w:t>
      </w:r>
      <w:r>
        <w:rPr>
          <w:rFonts w:hint="eastAsia" w:ascii="仿宋_GB2312" w:hAnsi="仿宋_GB2312" w:eastAsia="仿宋_GB2312" w:cs="仿宋_GB2312"/>
          <w:sz w:val="32"/>
          <w:szCs w:val="32"/>
        </w:rPr>
        <w:t>开展了全县客运企业安全管理人员培训活动，培训率达到100%； 成立了相应的领导小组，制定了各项安全生产工作方案，做到中心主任亲自抓，分管领导具体抓，逢会必讲，按照监管职责实行“谁检查、谁签字、谁负责”的原则，深入重点领域和重点场所进行地毯式排查，利用安全生产月，对全县客运驾驶员发放安全行车宣传册1500份，督促各道路运输企业、站场召开了每月1次的驾</w:t>
      </w:r>
      <w:r>
        <w:rPr>
          <w:rFonts w:hint="eastAsia" w:ascii="仿宋_GB2312" w:hAnsi="仿宋_GB2312" w:eastAsia="仿宋_GB2312" w:cs="仿宋_GB2312"/>
          <w:color w:val="000000"/>
          <w:sz w:val="32"/>
          <w:szCs w:val="32"/>
        </w:rPr>
        <w:t>驶员安全例会，组织了15次安全生产大检查，查处安全隐患3个，并按照“一单四制”工作要求全力抓好督促整改落实，消除安</w:t>
      </w:r>
      <w:r>
        <w:rPr>
          <w:rFonts w:hint="eastAsia" w:ascii="仿宋_GB2312" w:hAnsi="仿宋_GB2312" w:eastAsia="仿宋_GB2312" w:cs="仿宋_GB2312"/>
          <w:sz w:val="32"/>
          <w:szCs w:val="32"/>
        </w:rPr>
        <w:t>全隐患，全年未发生较大以上安全生产事故。</w:t>
      </w:r>
    </w:p>
    <w:p w14:paraId="560D5C70">
      <w:pPr>
        <w:keepNext w:val="0"/>
        <w:keepLines w:val="0"/>
        <w:pageBreakBefore w:val="0"/>
        <w:kinsoku/>
        <w:wordWrap/>
        <w:overflowPunct/>
        <w:topLinePunct w:val="0"/>
        <w:autoSpaceDE/>
        <w:autoSpaceDN/>
        <w:bidi w:val="0"/>
        <w:adjustRightInd/>
        <w:snapToGrid/>
        <w:spacing w:line="300" w:lineRule="atLeast"/>
        <w:ind w:firstLine="643" w:firstLineChars="200"/>
        <w:textAlignment w:val="auto"/>
        <w:rPr>
          <w:rFonts w:hint="eastAsia" w:ascii="仿宋" w:hAnsi="仿宋" w:eastAsia="仿宋" w:cs="仿宋"/>
          <w:sz w:val="32"/>
          <w:szCs w:val="32"/>
        </w:rPr>
      </w:pPr>
      <w:r>
        <w:rPr>
          <w:rFonts w:hint="eastAsia" w:ascii="仿宋" w:hAnsi="仿宋" w:eastAsia="仿宋" w:cs="仿宋"/>
          <w:b/>
          <w:bCs/>
          <w:color w:val="333333"/>
          <w:sz w:val="32"/>
          <w:szCs w:val="32"/>
          <w:lang w:val="en-US" w:eastAsia="zh-CN"/>
        </w:rPr>
        <w:t>2</w:t>
      </w:r>
      <w:r>
        <w:rPr>
          <w:rFonts w:hint="eastAsia" w:ascii="仿宋" w:hAnsi="仿宋" w:eastAsia="仿宋" w:cs="仿宋"/>
          <w:b/>
          <w:bCs/>
          <w:color w:val="333333"/>
          <w:sz w:val="32"/>
          <w:szCs w:val="32"/>
        </w:rPr>
        <w:t>、</w:t>
      </w:r>
      <w:r>
        <w:rPr>
          <w:rFonts w:hint="eastAsia" w:ascii="仿宋" w:hAnsi="仿宋" w:eastAsia="仿宋" w:cs="仿宋"/>
          <w:b/>
          <w:sz w:val="32"/>
          <w:szCs w:val="32"/>
        </w:rPr>
        <w:t>禁毒与社会综合治理工作</w:t>
      </w:r>
    </w:p>
    <w:p w14:paraId="691ED8E8">
      <w:pPr>
        <w:keepNext w:val="0"/>
        <w:keepLines w:val="0"/>
        <w:pageBreakBefore w:val="0"/>
        <w:kinsoku/>
        <w:wordWrap/>
        <w:overflowPunct/>
        <w:topLinePunct w:val="0"/>
        <w:autoSpaceDE/>
        <w:autoSpaceDN/>
        <w:bidi w:val="0"/>
        <w:adjustRightInd/>
        <w:snapToGrid/>
        <w:spacing w:line="3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w:t>
      </w:r>
      <w:r>
        <w:rPr>
          <w:rFonts w:hint="eastAsia" w:ascii="仿宋_GB2312" w:hAnsi="仿宋_GB2312" w:eastAsia="仿宋_GB2312" w:cs="仿宋_GB2312"/>
          <w:color w:val="000000"/>
          <w:sz w:val="32"/>
          <w:szCs w:val="32"/>
          <w:shd w:val="clear" w:color="auto" w:fill="FFFFFF"/>
        </w:rPr>
        <w:t>以来，为深入贯彻落实上级关于开展</w:t>
      </w:r>
      <w:r>
        <w:rPr>
          <w:rFonts w:hint="eastAsia" w:ascii="仿宋_GB2312" w:hAnsi="仿宋_GB2312" w:eastAsia="仿宋_GB2312" w:cs="仿宋_GB2312"/>
          <w:color w:val="000000"/>
          <w:sz w:val="32"/>
          <w:szCs w:val="32"/>
          <w:shd w:val="clear" w:color="auto" w:fill="FFFFFF"/>
          <w:lang w:eastAsia="zh-CN"/>
        </w:rPr>
        <w:t>扫黑除恶</w:t>
      </w:r>
      <w:r>
        <w:rPr>
          <w:rFonts w:hint="eastAsia" w:ascii="仿宋_GB2312" w:hAnsi="仿宋_GB2312" w:eastAsia="仿宋_GB2312" w:cs="仿宋_GB2312"/>
          <w:color w:val="000000"/>
          <w:sz w:val="32"/>
          <w:szCs w:val="32"/>
          <w:shd w:val="clear" w:color="auto" w:fill="FFFFFF"/>
        </w:rPr>
        <w:t>专项斗争和禁毒工作会议精神，我中心将</w:t>
      </w:r>
      <w:r>
        <w:rPr>
          <w:rFonts w:hint="eastAsia" w:ascii="仿宋_GB2312" w:hAnsi="仿宋_GB2312" w:eastAsia="仿宋_GB2312" w:cs="仿宋_GB2312"/>
          <w:color w:val="000000"/>
          <w:sz w:val="32"/>
          <w:szCs w:val="32"/>
          <w:shd w:val="clear" w:color="auto" w:fill="FFFFFF"/>
          <w:lang w:eastAsia="zh-CN"/>
        </w:rPr>
        <w:t>扫黑除恶</w:t>
      </w:r>
      <w:r>
        <w:rPr>
          <w:rFonts w:hint="eastAsia" w:ascii="仿宋_GB2312" w:hAnsi="仿宋_GB2312" w:eastAsia="仿宋_GB2312" w:cs="仿宋_GB2312"/>
          <w:color w:val="000000"/>
          <w:sz w:val="32"/>
          <w:szCs w:val="32"/>
          <w:shd w:val="clear" w:color="auto" w:fill="FFFFFF"/>
        </w:rPr>
        <w:t>和禁毒工作作为一项重要常规工作来抓。</w:t>
      </w:r>
      <w:r>
        <w:rPr>
          <w:rFonts w:hint="eastAsia" w:ascii="仿宋_GB2312" w:hAnsi="仿宋_GB2312" w:eastAsia="仿宋_GB2312" w:cs="仿宋_GB2312"/>
          <w:b/>
          <w:bCs/>
          <w:color w:val="000000"/>
          <w:sz w:val="32"/>
          <w:szCs w:val="32"/>
          <w:shd w:val="clear" w:color="auto" w:fill="FFFFFF"/>
        </w:rPr>
        <w:t>一</w:t>
      </w:r>
      <w:r>
        <w:rPr>
          <w:rFonts w:hint="eastAsia" w:ascii="仿宋_GB2312" w:hAnsi="仿宋_GB2312" w:eastAsia="仿宋_GB2312" w:cs="仿宋_GB2312"/>
          <w:b w:val="0"/>
          <w:bCs w:val="0"/>
          <w:color w:val="000000"/>
          <w:sz w:val="32"/>
          <w:szCs w:val="32"/>
          <w:shd w:val="clear" w:color="auto" w:fill="FFFFFF"/>
        </w:rPr>
        <w:t>是及时做好了宣传发动。二是做好安全教育培训</w:t>
      </w:r>
      <w:r>
        <w:rPr>
          <w:rFonts w:hint="eastAsia" w:ascii="仿宋_GB2312" w:hAnsi="仿宋_GB2312" w:eastAsia="仿宋_GB2312" w:cs="仿宋_GB2312"/>
          <w:color w:val="000000"/>
          <w:sz w:val="32"/>
          <w:szCs w:val="32"/>
          <w:shd w:val="clear" w:color="auto" w:fill="FFFFFF"/>
        </w:rPr>
        <w:t>。截止到目前，共打击</w:t>
      </w:r>
      <w:r>
        <w:rPr>
          <w:rFonts w:hint="eastAsia" w:ascii="仿宋_GB2312" w:hAnsi="仿宋_GB2312" w:eastAsia="仿宋_GB2312" w:cs="仿宋_GB2312"/>
          <w:sz w:val="32"/>
          <w:szCs w:val="32"/>
        </w:rPr>
        <w:t>陶光华、叶仁桂非法营运且恶性盗抢暂扣车辆案件一起；阳某响、何某检、何某柱扰乱运输市场秩序案件一起。扫黑除恶和禁毒工作在全县运输行业起到了震慑作用。</w:t>
      </w:r>
    </w:p>
    <w:p w14:paraId="56E6BE55">
      <w:pPr>
        <w:keepNext w:val="0"/>
        <w:keepLines w:val="0"/>
        <w:pageBreakBefore w:val="0"/>
        <w:kinsoku/>
        <w:wordWrap/>
        <w:overflowPunct/>
        <w:topLinePunct w:val="0"/>
        <w:autoSpaceDE/>
        <w:autoSpaceDN/>
        <w:bidi w:val="0"/>
        <w:adjustRightInd/>
        <w:snapToGrid/>
        <w:spacing w:line="300"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今年以来，我中心始终坚持把综治工作纳入重要议事日程来抓紧抓实。在县综治办年度考核中，运输服务中心成绩突出，综治工作跨入全县先进单位行列。</w:t>
      </w:r>
    </w:p>
    <w:p w14:paraId="609898BA">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atLeast"/>
        <w:ind w:firstLine="643" w:firstLineChars="200"/>
        <w:jc w:val="both"/>
        <w:textAlignment w:val="auto"/>
        <w:rPr>
          <w:rFonts w:hint="eastAsia" w:ascii="仿宋_GB2312" w:hAnsi="仿宋_GB2312" w:eastAsia="仿宋_GB2312" w:cs="仿宋_GB2312"/>
          <w:color w:val="333333"/>
          <w:sz w:val="32"/>
          <w:szCs w:val="32"/>
          <w:shd w:val="clear" w:color="auto" w:fill="FFFFFF"/>
        </w:rPr>
      </w:pPr>
      <w:r>
        <w:rPr>
          <w:rFonts w:hint="eastAsia" w:ascii="仿宋" w:hAnsi="仿宋" w:eastAsia="仿宋" w:cs="仿宋"/>
          <w:b/>
          <w:bCs/>
          <w:color w:val="333333"/>
          <w:sz w:val="32"/>
          <w:szCs w:val="32"/>
          <w:shd w:val="clear" w:color="auto" w:fill="FFFFFF"/>
          <w:lang w:val="en-US" w:eastAsia="zh-CN"/>
        </w:rPr>
        <w:t>3</w:t>
      </w:r>
      <w:r>
        <w:rPr>
          <w:rFonts w:hint="eastAsia" w:ascii="仿宋" w:hAnsi="仿宋" w:eastAsia="仿宋" w:cs="仿宋"/>
          <w:b/>
          <w:bCs/>
          <w:color w:val="333333"/>
          <w:sz w:val="32"/>
          <w:szCs w:val="32"/>
          <w:shd w:val="clear" w:color="auto" w:fill="FFFFFF"/>
        </w:rPr>
        <w:t>、狠抓安全“隐患清零”工作落实</w:t>
      </w:r>
      <w:r>
        <w:rPr>
          <w:rFonts w:hint="eastAsia" w:ascii="仿宋" w:hAnsi="仿宋" w:eastAsia="仿宋" w:cs="仿宋"/>
          <w:color w:val="333333"/>
          <w:sz w:val="32"/>
          <w:szCs w:val="32"/>
          <w:shd w:val="clear" w:color="auto" w:fill="FFFFFF"/>
        </w:rPr>
        <w:t>。</w:t>
      </w:r>
      <w:r>
        <w:rPr>
          <w:rFonts w:hint="eastAsia" w:ascii="仿宋_GB2312" w:hAnsi="仿宋_GB2312" w:eastAsia="仿宋_GB2312" w:cs="仿宋_GB2312"/>
          <w:color w:val="333333"/>
          <w:sz w:val="32"/>
          <w:szCs w:val="32"/>
          <w:shd w:val="clear" w:color="auto" w:fill="FFFFFF"/>
        </w:rPr>
        <w:t>安全“隐患清零”工作在省、市、县三级高压态势监管下，“两客”车辆违章呈直线下降趋势。截止到目前</w:t>
      </w:r>
      <w:r>
        <w:rPr>
          <w:rFonts w:hint="eastAsia" w:ascii="仿宋_GB2312" w:hAnsi="仿宋_GB2312" w:eastAsia="仿宋_GB2312" w:cs="仿宋_GB2312"/>
          <w:color w:val="333333"/>
          <w:sz w:val="32"/>
          <w:szCs w:val="32"/>
          <w:shd w:val="clear" w:color="auto" w:fill="FFFFFF"/>
          <w:lang w:eastAsia="zh-CN"/>
        </w:rPr>
        <w:t>，</w:t>
      </w:r>
      <w:r>
        <w:rPr>
          <w:rFonts w:hint="eastAsia" w:ascii="仿宋_GB2312" w:hAnsi="仿宋_GB2312" w:eastAsia="仿宋_GB2312" w:cs="仿宋_GB2312"/>
          <w:color w:val="333333"/>
          <w:sz w:val="32"/>
          <w:szCs w:val="32"/>
          <w:shd w:val="clear" w:color="auto" w:fill="FFFFFF"/>
        </w:rPr>
        <w:t>“隐患清零”通过严管重罚，违章率与同期相比下降99%，在今年下半年全省安全“隐患清零”考评中，我县考核成绩在全市排名靠前，有望进入</w:t>
      </w:r>
      <w:r>
        <w:rPr>
          <w:rFonts w:hint="eastAsia" w:ascii="仿宋_GB2312" w:hAnsi="仿宋_GB2312" w:eastAsia="仿宋_GB2312" w:cs="仿宋_GB2312"/>
          <w:color w:val="333333"/>
          <w:sz w:val="32"/>
          <w:szCs w:val="32"/>
          <w:shd w:val="clear" w:color="auto" w:fill="FFFFFF"/>
          <w:lang w:eastAsia="zh-CN"/>
        </w:rPr>
        <w:t>全</w:t>
      </w:r>
      <w:r>
        <w:rPr>
          <w:rFonts w:hint="eastAsia" w:ascii="仿宋_GB2312" w:hAnsi="仿宋_GB2312" w:eastAsia="仿宋_GB2312" w:cs="仿宋_GB2312"/>
          <w:color w:val="333333"/>
          <w:sz w:val="32"/>
          <w:szCs w:val="32"/>
          <w:shd w:val="clear" w:color="auto" w:fill="FFFFFF"/>
        </w:rPr>
        <w:t>省前40名，“隐患清零”工作正朝着安全、正规轨道方向发展。</w:t>
      </w:r>
    </w:p>
    <w:p w14:paraId="082BD577">
      <w:pPr>
        <w:keepNext w:val="0"/>
        <w:keepLines w:val="0"/>
        <w:pageBreakBefore w:val="0"/>
        <w:kinsoku/>
        <w:wordWrap/>
        <w:overflowPunct/>
        <w:topLinePunct w:val="0"/>
        <w:autoSpaceDE/>
        <w:autoSpaceDN/>
        <w:bidi w:val="0"/>
        <w:adjustRightInd/>
        <w:snapToGrid/>
        <w:spacing w:line="300" w:lineRule="atLeast"/>
        <w:ind w:firstLine="643" w:firstLineChars="200"/>
        <w:textAlignment w:val="auto"/>
        <w:rPr>
          <w:rFonts w:hint="eastAsia" w:ascii="仿宋" w:hAnsi="仿宋" w:eastAsia="仿宋" w:cs="仿宋"/>
          <w:b/>
          <w:bCs/>
          <w:color w:val="333333"/>
          <w:sz w:val="32"/>
          <w:szCs w:val="32"/>
          <w:shd w:val="clear" w:color="auto" w:fill="FFFFFF"/>
        </w:rPr>
      </w:pPr>
      <w:r>
        <w:rPr>
          <w:rFonts w:hint="eastAsia" w:ascii="仿宋" w:hAnsi="仿宋" w:eastAsia="仿宋" w:cs="仿宋"/>
          <w:b/>
          <w:bCs/>
          <w:color w:val="333333"/>
          <w:sz w:val="32"/>
          <w:szCs w:val="32"/>
          <w:shd w:val="clear" w:color="auto" w:fill="FFFFFF"/>
          <w:lang w:val="en-US" w:eastAsia="zh-CN"/>
        </w:rPr>
        <w:t>4、</w:t>
      </w:r>
      <w:r>
        <w:rPr>
          <w:rFonts w:hint="eastAsia" w:ascii="仿宋" w:hAnsi="仿宋" w:eastAsia="仿宋" w:cs="仿宋"/>
          <w:b/>
          <w:bCs/>
          <w:color w:val="333333"/>
          <w:sz w:val="32"/>
          <w:szCs w:val="32"/>
          <w:shd w:val="clear" w:color="auto" w:fill="FFFFFF"/>
        </w:rPr>
        <w:t>狠抓了交通问题“顽瘴痼疾”及打非治违工作落实。</w:t>
      </w:r>
    </w:p>
    <w:p w14:paraId="477AB2F0">
      <w:pPr>
        <w:keepNext w:val="0"/>
        <w:keepLines w:val="0"/>
        <w:pageBreakBefore w:val="0"/>
        <w:kinsoku/>
        <w:wordWrap/>
        <w:overflowPunct/>
        <w:topLinePunct w:val="0"/>
        <w:autoSpaceDE/>
        <w:autoSpaceDN/>
        <w:bidi w:val="0"/>
        <w:adjustRightInd/>
        <w:snapToGrid/>
        <w:spacing w:line="300" w:lineRule="atLeast"/>
        <w:ind w:firstLine="640" w:firstLineChars="200"/>
        <w:jc w:val="left"/>
        <w:textAlignment w:val="auto"/>
        <w:rPr>
          <w:rFonts w:hint="eastAsia"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bCs/>
          <w:sz w:val="32"/>
          <w:szCs w:val="32"/>
        </w:rPr>
        <w:t>自交通问题顽瘴痼疾集中整治行动开展以来，我中心根据省、市、县有关交通问题顽瘴痼疾集中整治行动统一安排，召开了专项部署会，制定了行动实施方案，在运输企业、客运站场等重要场所进行了宣传发动。截止到目前，交通顽瘴痼疾集中整治领导小组对运输企业、客运站场发放宣传册1500余份，在电视媒体、网络媒体发表关于交通问题顽瘴痼疾集中整治行动的宣传报导共6篇。通过交通问题顽瘴痼疾及“打非治违”集中整治，我县道路运输违法违规现象明显减少，源头治超得到有效控制，</w:t>
      </w:r>
      <w:r>
        <w:rPr>
          <w:rFonts w:hint="eastAsia" w:ascii="仿宋_GB2312" w:hAnsi="仿宋_GB2312" w:eastAsia="仿宋_GB2312" w:cs="仿宋_GB2312"/>
          <w:sz w:val="32"/>
          <w:szCs w:val="32"/>
        </w:rPr>
        <w:t>有力地维护了我县道路运输市场稳定。</w:t>
      </w:r>
    </w:p>
    <w:p w14:paraId="28A899B5">
      <w:pPr>
        <w:keepNext w:val="0"/>
        <w:keepLines w:val="0"/>
        <w:pageBreakBefore w:val="0"/>
        <w:kinsoku/>
        <w:wordWrap/>
        <w:overflowPunct/>
        <w:topLinePunct w:val="0"/>
        <w:autoSpaceDE/>
        <w:autoSpaceDN/>
        <w:bidi w:val="0"/>
        <w:adjustRightInd/>
        <w:snapToGrid/>
        <w:spacing w:line="300" w:lineRule="atLeast"/>
        <w:ind w:left="420" w:leftChars="200"/>
        <w:textAlignment w:val="auto"/>
        <w:rPr>
          <w:rFonts w:hint="eastAsia" w:ascii="宋体" w:hAnsi="宋体" w:eastAsia="宋体" w:cs="宋体"/>
          <w:b/>
          <w:bCs/>
          <w:sz w:val="32"/>
          <w:szCs w:val="32"/>
        </w:rPr>
      </w:pPr>
      <w:r>
        <w:rPr>
          <w:rFonts w:hint="eastAsia" w:ascii="宋体" w:hAnsi="宋体" w:eastAsia="宋体" w:cs="宋体"/>
          <w:color w:val="333333"/>
          <w:sz w:val="32"/>
          <w:szCs w:val="32"/>
          <w:lang w:eastAsia="zh-CN"/>
        </w:rPr>
        <w:t>（</w:t>
      </w:r>
      <w:r>
        <w:rPr>
          <w:rFonts w:hint="eastAsia" w:ascii="宋体" w:hAnsi="宋体" w:eastAsia="宋体" w:cs="宋体"/>
          <w:color w:val="333333"/>
          <w:sz w:val="32"/>
          <w:szCs w:val="32"/>
        </w:rPr>
        <w:t>三</w:t>
      </w:r>
      <w:r>
        <w:rPr>
          <w:rFonts w:hint="eastAsia" w:ascii="宋体" w:hAnsi="宋体" w:eastAsia="宋体" w:cs="宋体"/>
          <w:color w:val="333333"/>
          <w:sz w:val="32"/>
          <w:szCs w:val="32"/>
          <w:lang w:eastAsia="zh-CN"/>
        </w:rPr>
        <w:t>）</w:t>
      </w:r>
      <w:r>
        <w:rPr>
          <w:rFonts w:hint="eastAsia" w:ascii="宋体" w:hAnsi="宋体" w:eastAsia="宋体" w:cs="宋体"/>
          <w:b/>
          <w:bCs/>
          <w:sz w:val="32"/>
          <w:szCs w:val="32"/>
        </w:rPr>
        <w:t>党风廉政建设工作</w:t>
      </w:r>
    </w:p>
    <w:p w14:paraId="15EB1F58">
      <w:pPr>
        <w:keepNext w:val="0"/>
        <w:keepLines w:val="0"/>
        <w:pageBreakBefore w:val="0"/>
        <w:kinsoku/>
        <w:wordWrap/>
        <w:overflowPunct/>
        <w:topLinePunct w:val="0"/>
        <w:autoSpaceDE/>
        <w:autoSpaceDN/>
        <w:bidi w:val="0"/>
        <w:adjustRightInd/>
        <w:snapToGrid/>
        <w:spacing w:line="300" w:lineRule="atLeast"/>
        <w:ind w:firstLine="640" w:firstLineChars="200"/>
        <w:jc w:val="lef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000000"/>
          <w:sz w:val="32"/>
          <w:szCs w:val="32"/>
        </w:rPr>
        <w:t>县道路运输服务中心党支部始终把党风廉政建设和反腐败工作纳入中心工作的总体规划之中，坚持与道路运输服务工作紧密结合，做到同部署，同落实，同检查，同考核，形成反腐倡廉工作合力。</w:t>
      </w:r>
      <w:r>
        <w:rPr>
          <w:rFonts w:hint="eastAsia" w:ascii="仿宋_GB2312" w:hAnsi="仿宋_GB2312" w:eastAsia="仿宋_GB2312" w:cs="仿宋_GB2312"/>
          <w:sz w:val="32"/>
          <w:szCs w:val="32"/>
        </w:rPr>
        <w:t>坚持开展领导干部廉政谈话、诫勉谈话制度，</w:t>
      </w:r>
      <w:r>
        <w:rPr>
          <w:rFonts w:hint="eastAsia" w:ascii="仿宋_GB2312" w:hAnsi="仿宋_GB2312" w:eastAsia="仿宋_GB2312" w:cs="仿宋_GB2312"/>
          <w:color w:val="333333"/>
          <w:sz w:val="32"/>
          <w:szCs w:val="32"/>
        </w:rPr>
        <w:t>公开办事程序，简化办事环节。同时，对一些比较繁琐的办事程序，在规定允许范围内，能简化的要尽量简化，以方便服务对象，提高办事效率；在执法工作中，做到了持证上岗，亮证执法，态度和气，坚持有法必依、执法必严、违法必究;杜绝随意执法、粗暴执法、以言代法、以罚代管等问题;严禁“乱收费、乱罚款、乱摊派、乱检查”和以工作之便向执法对象“吃、</w:t>
      </w:r>
    </w:p>
    <w:p w14:paraId="57406E58">
      <w:pPr>
        <w:keepNext w:val="0"/>
        <w:keepLines w:val="0"/>
        <w:pageBreakBefore w:val="0"/>
        <w:kinsoku/>
        <w:wordWrap/>
        <w:overflowPunct/>
        <w:topLinePunct w:val="0"/>
        <w:autoSpaceDE/>
        <w:autoSpaceDN/>
        <w:bidi w:val="0"/>
        <w:adjustRightInd/>
        <w:snapToGrid/>
        <w:spacing w:line="30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拿、卡、要”等现象的发生。</w:t>
      </w:r>
    </w:p>
    <w:p w14:paraId="0540BB53">
      <w:pPr>
        <w:keepNext w:val="0"/>
        <w:keepLines w:val="0"/>
        <w:pageBreakBefore w:val="0"/>
        <w:numPr>
          <w:ilvl w:val="0"/>
          <w:numId w:val="0"/>
        </w:numPr>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color w:val="333333"/>
          <w:sz w:val="32"/>
          <w:szCs w:val="32"/>
        </w:rPr>
      </w:pPr>
      <w:r>
        <w:rPr>
          <w:rFonts w:hint="eastAsia" w:ascii="宋体" w:hAnsi="宋体" w:eastAsia="宋体" w:cs="宋体"/>
          <w:b/>
          <w:bCs/>
          <w:color w:val="333333"/>
          <w:sz w:val="32"/>
          <w:szCs w:val="32"/>
          <w:lang w:eastAsia="zh-CN"/>
        </w:rPr>
        <w:t>（四）</w:t>
      </w:r>
      <w:r>
        <w:rPr>
          <w:rFonts w:hint="eastAsia" w:ascii="宋体" w:hAnsi="宋体" w:eastAsia="宋体" w:cs="宋体"/>
          <w:b/>
          <w:bCs/>
          <w:color w:val="333333"/>
          <w:sz w:val="32"/>
          <w:szCs w:val="32"/>
        </w:rPr>
        <w:t>扶贫工作</w:t>
      </w:r>
    </w:p>
    <w:p w14:paraId="7F3D5A0D">
      <w:pPr>
        <w:pStyle w:val="2"/>
        <w:ind w:left="0" w:leftChars="0" w:firstLine="640" w:firstLineChars="0"/>
        <w:rPr>
          <w:rFonts w:hint="eastAsia" w:ascii="仿宋" w:hAnsi="仿宋" w:eastAsia="仿宋" w:cs="仿宋"/>
          <w:b w:val="0"/>
          <w:i w:val="0"/>
          <w:caps w:val="0"/>
          <w:spacing w:val="0"/>
          <w:w w:val="100"/>
          <w:sz w:val="32"/>
          <w:szCs w:val="32"/>
          <w:lang w:eastAsia="zh-CN"/>
        </w:rPr>
      </w:pPr>
      <w:r>
        <w:rPr>
          <w:rFonts w:hint="eastAsia" w:ascii="仿宋" w:hAnsi="仿宋" w:eastAsia="仿宋" w:cs="仿宋"/>
          <w:b w:val="0"/>
          <w:i w:val="0"/>
          <w:caps w:val="0"/>
          <w:spacing w:val="0"/>
          <w:w w:val="100"/>
          <w:sz w:val="32"/>
          <w:szCs w:val="32"/>
          <w:lang w:val="en-US" w:eastAsia="zh-CN"/>
        </w:rPr>
        <w:t>为</w:t>
      </w:r>
      <w:r>
        <w:rPr>
          <w:rFonts w:hint="eastAsia" w:ascii="仿宋" w:hAnsi="仿宋" w:eastAsia="仿宋" w:cs="仿宋"/>
          <w:b w:val="0"/>
          <w:i w:val="0"/>
          <w:caps w:val="0"/>
          <w:spacing w:val="0"/>
          <w:w w:val="100"/>
          <w:sz w:val="32"/>
          <w:szCs w:val="32"/>
        </w:rPr>
        <w:t>全面推进乡村振兴，按照隆回县乡村振兴工作统一安排部署，</w:t>
      </w:r>
      <w:r>
        <w:rPr>
          <w:rFonts w:hint="eastAsia" w:ascii="仿宋" w:hAnsi="仿宋" w:eastAsia="仿宋" w:cs="仿宋"/>
          <w:b w:val="0"/>
          <w:i w:val="0"/>
          <w:caps w:val="0"/>
          <w:spacing w:val="0"/>
          <w:w w:val="100"/>
          <w:sz w:val="32"/>
          <w:szCs w:val="32"/>
          <w:lang w:eastAsia="zh-CN"/>
        </w:rPr>
        <w:t>我</w:t>
      </w:r>
      <w:r>
        <w:rPr>
          <w:rFonts w:hint="eastAsia" w:ascii="仿宋" w:hAnsi="仿宋" w:eastAsia="仿宋" w:cs="仿宋"/>
          <w:b w:val="0"/>
          <w:i w:val="0"/>
          <w:caps w:val="0"/>
          <w:spacing w:val="0"/>
          <w:w w:val="100"/>
          <w:sz w:val="32"/>
          <w:szCs w:val="32"/>
        </w:rPr>
        <w:t>中心</w:t>
      </w:r>
      <w:r>
        <w:rPr>
          <w:rFonts w:hint="eastAsia" w:ascii="仿宋" w:hAnsi="仿宋" w:eastAsia="仿宋" w:cs="仿宋"/>
          <w:b w:val="0"/>
          <w:i w:val="0"/>
          <w:caps w:val="0"/>
          <w:spacing w:val="0"/>
          <w:w w:val="100"/>
          <w:sz w:val="32"/>
          <w:szCs w:val="32"/>
          <w:lang w:eastAsia="zh-CN"/>
        </w:rPr>
        <w:t>选派工作队进</w:t>
      </w:r>
      <w:r>
        <w:rPr>
          <w:rFonts w:hint="eastAsia" w:ascii="仿宋" w:hAnsi="仿宋" w:eastAsia="仿宋" w:cs="仿宋"/>
          <w:b w:val="0"/>
          <w:i w:val="0"/>
          <w:caps w:val="0"/>
          <w:spacing w:val="0"/>
          <w:w w:val="100"/>
          <w:sz w:val="32"/>
          <w:szCs w:val="32"/>
        </w:rPr>
        <w:t>驻</w:t>
      </w:r>
      <w:r>
        <w:rPr>
          <w:rFonts w:hint="eastAsia" w:ascii="仿宋" w:hAnsi="仿宋" w:eastAsia="仿宋" w:cs="仿宋"/>
          <w:b w:val="0"/>
          <w:i w:val="0"/>
          <w:caps w:val="0"/>
          <w:spacing w:val="0"/>
          <w:w w:val="100"/>
          <w:sz w:val="32"/>
          <w:szCs w:val="32"/>
          <w:lang w:eastAsia="zh-CN"/>
        </w:rPr>
        <w:t>荷香桥镇</w:t>
      </w:r>
      <w:r>
        <w:rPr>
          <w:rFonts w:hint="eastAsia" w:ascii="仿宋" w:hAnsi="仿宋" w:eastAsia="仿宋" w:cs="仿宋"/>
          <w:b w:val="0"/>
          <w:i w:val="0"/>
          <w:caps w:val="0"/>
          <w:spacing w:val="0"/>
          <w:w w:val="100"/>
          <w:sz w:val="32"/>
          <w:szCs w:val="32"/>
        </w:rPr>
        <w:t>开智村</w:t>
      </w:r>
      <w:r>
        <w:rPr>
          <w:rFonts w:hint="eastAsia" w:ascii="仿宋" w:hAnsi="仿宋" w:eastAsia="仿宋" w:cs="仿宋"/>
          <w:b w:val="0"/>
          <w:i w:val="0"/>
          <w:caps w:val="0"/>
          <w:spacing w:val="0"/>
          <w:w w:val="100"/>
          <w:sz w:val="32"/>
          <w:szCs w:val="32"/>
          <w:lang w:eastAsia="zh-CN"/>
        </w:rPr>
        <w:t>、清水村。工作队进驻后，我中心主要领导带领工作队对两个村进行了调研并帮助制定帮扶措施，</w:t>
      </w:r>
      <w:r>
        <w:rPr>
          <w:rFonts w:hint="eastAsia" w:ascii="仿宋" w:hAnsi="仿宋" w:eastAsia="仿宋" w:cs="仿宋"/>
          <w:b w:val="0"/>
          <w:i w:val="0"/>
          <w:caps w:val="0"/>
          <w:spacing w:val="0"/>
          <w:w w:val="100"/>
          <w:sz w:val="32"/>
          <w:szCs w:val="32"/>
        </w:rPr>
        <w:t>按照乡村振兴驻村帮扶要求，乡村振兴工作队严格落实驻村制度。</w:t>
      </w:r>
    </w:p>
    <w:p w14:paraId="23E1111E">
      <w:pPr>
        <w:snapToGrid/>
        <w:spacing w:before="0" w:beforeAutospacing="0" w:after="0" w:afterAutospacing="0" w:line="240" w:lineRule="auto"/>
        <w:jc w:val="both"/>
        <w:textAlignment w:val="baseline"/>
        <w:rPr>
          <w:rFonts w:ascii="仿宋" w:hAnsi="仿宋" w:eastAsia="仿宋" w:cs="仿宋"/>
        </w:rPr>
      </w:pPr>
      <w:r>
        <w:rPr>
          <w:rFonts w:hint="eastAsia" w:ascii="宋体" w:hAnsi="宋体" w:eastAsia="宋体" w:cs="宋体"/>
          <w:b w:val="0"/>
          <w:i w:val="0"/>
          <w:caps w:val="0"/>
          <w:spacing w:val="0"/>
          <w:w w:val="100"/>
          <w:sz w:val="32"/>
          <w:szCs w:val="32"/>
          <w:lang w:val="en-US" w:eastAsia="zh-CN"/>
        </w:rPr>
        <w:t xml:space="preserve">    </w:t>
      </w:r>
      <w:r>
        <w:rPr>
          <w:rFonts w:hint="eastAsia" w:ascii="仿宋" w:hAnsi="仿宋" w:eastAsia="仿宋" w:cs="仿宋"/>
          <w:b w:val="0"/>
          <w:i w:val="0"/>
          <w:caps w:val="0"/>
          <w:spacing w:val="0"/>
          <w:w w:val="100"/>
          <w:sz w:val="32"/>
          <w:szCs w:val="32"/>
        </w:rPr>
        <w:t>经工作队和村支两委多次与荷香桥</w:t>
      </w:r>
      <w:r>
        <w:rPr>
          <w:rFonts w:hint="eastAsia" w:ascii="仿宋" w:hAnsi="仿宋" w:eastAsia="仿宋" w:cs="仿宋"/>
          <w:b w:val="0"/>
          <w:i w:val="0"/>
          <w:caps w:val="0"/>
          <w:spacing w:val="0"/>
          <w:w w:val="100"/>
          <w:sz w:val="32"/>
          <w:szCs w:val="32"/>
          <w:lang w:eastAsia="zh-CN"/>
        </w:rPr>
        <w:t>镇</w:t>
      </w:r>
      <w:r>
        <w:rPr>
          <w:rFonts w:hint="eastAsia" w:ascii="仿宋" w:hAnsi="仿宋" w:eastAsia="仿宋" w:cs="仿宋"/>
          <w:b w:val="0"/>
          <w:i w:val="0"/>
          <w:caps w:val="0"/>
          <w:spacing w:val="0"/>
          <w:w w:val="100"/>
          <w:sz w:val="32"/>
          <w:szCs w:val="32"/>
        </w:rPr>
        <w:t>农业银行沟通联系，成功为开智村10余人办理了农业银行乡村振兴带头人低息贷款共200余万元，解决了致富带头人创业资金难筹问题。根据在村走访排查了解，开智村还有几个组网络信号弱，工作队与隆回移动公司已取得联系正申报移动信号发射塔安装。</w:t>
      </w:r>
      <w:r>
        <w:rPr>
          <w:rFonts w:hint="eastAsia" w:ascii="仿宋" w:hAnsi="仿宋" w:eastAsia="仿宋" w:cs="仿宋"/>
          <w:b w:val="0"/>
          <w:i w:val="0"/>
          <w:caps w:val="0"/>
          <w:spacing w:val="0"/>
          <w:w w:val="100"/>
          <w:sz w:val="32"/>
          <w:szCs w:val="32"/>
          <w:lang w:eastAsia="zh-CN"/>
        </w:rPr>
        <w:t>工作队在当地党委政府的领导下，正</w:t>
      </w:r>
      <w:r>
        <w:rPr>
          <w:rFonts w:hint="eastAsia" w:ascii="仿宋" w:hAnsi="仿宋" w:eastAsia="仿宋" w:cs="仿宋"/>
          <w:b w:val="0"/>
          <w:i w:val="0"/>
          <w:caps w:val="0"/>
          <w:spacing w:val="0"/>
          <w:w w:val="100"/>
          <w:sz w:val="32"/>
          <w:szCs w:val="32"/>
        </w:rPr>
        <w:t>开足马力，砥砺前行，用心用情开展驻村帮扶工作，努力建设好美丽新</w:t>
      </w:r>
      <w:r>
        <w:rPr>
          <w:rFonts w:hint="eastAsia" w:ascii="仿宋" w:hAnsi="仿宋" w:eastAsia="仿宋" w:cs="仿宋"/>
          <w:b w:val="0"/>
          <w:i w:val="0"/>
          <w:caps w:val="0"/>
          <w:spacing w:val="0"/>
          <w:w w:val="100"/>
          <w:sz w:val="32"/>
          <w:szCs w:val="32"/>
          <w:lang w:eastAsia="zh-CN"/>
        </w:rPr>
        <w:t>农村</w:t>
      </w:r>
      <w:r>
        <w:rPr>
          <w:rFonts w:hint="eastAsia" w:ascii="仿宋" w:hAnsi="仿宋" w:eastAsia="仿宋" w:cs="仿宋"/>
          <w:b w:val="0"/>
          <w:i w:val="0"/>
          <w:caps w:val="0"/>
          <w:spacing w:val="0"/>
          <w:w w:val="100"/>
          <w:sz w:val="32"/>
          <w:szCs w:val="32"/>
        </w:rPr>
        <w:t>。</w:t>
      </w:r>
    </w:p>
    <w:p w14:paraId="3B49B58C">
      <w:pPr>
        <w:keepNext w:val="0"/>
        <w:keepLines w:val="0"/>
        <w:pageBreakBefore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color w:val="333333"/>
          <w:sz w:val="32"/>
          <w:szCs w:val="32"/>
        </w:rPr>
      </w:pPr>
      <w:r>
        <w:rPr>
          <w:rFonts w:hint="eastAsia" w:ascii="宋体" w:hAnsi="宋体" w:eastAsia="宋体" w:cs="宋体"/>
          <w:b/>
          <w:bCs/>
          <w:color w:val="333333"/>
          <w:sz w:val="32"/>
          <w:szCs w:val="32"/>
          <w:lang w:eastAsia="zh-CN"/>
        </w:rPr>
        <w:t>（</w:t>
      </w:r>
      <w:r>
        <w:rPr>
          <w:rFonts w:hint="eastAsia" w:ascii="宋体" w:hAnsi="宋体" w:cs="宋体"/>
          <w:b/>
          <w:bCs/>
          <w:color w:val="333333"/>
          <w:sz w:val="32"/>
          <w:szCs w:val="32"/>
          <w:lang w:eastAsia="zh-CN"/>
        </w:rPr>
        <w:t>五</w:t>
      </w:r>
      <w:r>
        <w:rPr>
          <w:rFonts w:hint="eastAsia" w:ascii="宋体" w:hAnsi="宋体" w:eastAsia="宋体" w:cs="宋体"/>
          <w:b/>
          <w:bCs/>
          <w:color w:val="333333"/>
          <w:sz w:val="32"/>
          <w:szCs w:val="32"/>
          <w:lang w:eastAsia="zh-CN"/>
        </w:rPr>
        <w:t>）</w:t>
      </w:r>
      <w:r>
        <w:rPr>
          <w:rFonts w:hint="eastAsia" w:ascii="宋体" w:hAnsi="宋体" w:eastAsia="宋体" w:cs="宋体"/>
          <w:b/>
          <w:bCs/>
          <w:color w:val="333333"/>
          <w:sz w:val="32"/>
          <w:szCs w:val="32"/>
        </w:rPr>
        <w:t>客货运输及道路运输相关业务的管理工作</w:t>
      </w:r>
    </w:p>
    <w:p w14:paraId="1BE2E26E">
      <w:pPr>
        <w:pStyle w:val="7"/>
        <w:numPr>
          <w:ilvl w:val="0"/>
          <w:numId w:val="0"/>
        </w:numPr>
        <w:spacing w:before="0" w:beforeAutospacing="0" w:after="0" w:afterAutospacing="0" w:line="560"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rPr>
        <w:t>（</w:t>
      </w:r>
      <w:r>
        <w:rPr>
          <w:rFonts w:hint="eastAsia" w:ascii="仿宋_GB2312" w:hAnsi="仿宋_GB2312" w:eastAsia="仿宋_GB2312" w:cs="仿宋_GB2312"/>
          <w:b/>
          <w:sz w:val="32"/>
          <w:lang w:val="en-US" w:eastAsia="zh-CN"/>
        </w:rPr>
        <w:t>1</w:t>
      </w:r>
      <w:r>
        <w:rPr>
          <w:rFonts w:hint="eastAsia" w:ascii="仿宋_GB2312" w:hAnsi="仿宋_GB2312" w:eastAsia="仿宋_GB2312" w:cs="仿宋_GB2312"/>
          <w:b/>
          <w:sz w:val="32"/>
        </w:rPr>
        <w:t>）、</w:t>
      </w:r>
      <w:r>
        <w:rPr>
          <w:rFonts w:hint="eastAsia" w:ascii="仿宋_GB2312" w:hAnsi="仿宋_GB2312" w:eastAsia="仿宋_GB2312" w:cs="仿宋_GB2312"/>
          <w:b/>
          <w:sz w:val="32"/>
          <w:szCs w:val="32"/>
        </w:rPr>
        <w:t>客</w:t>
      </w:r>
      <w:r>
        <w:rPr>
          <w:rFonts w:hint="eastAsia" w:ascii="仿宋_GB2312" w:hAnsi="仿宋_GB2312" w:eastAsia="仿宋_GB2312" w:cs="仿宋_GB2312"/>
          <w:b/>
          <w:sz w:val="32"/>
          <w:szCs w:val="32"/>
          <w:lang w:eastAsia="zh-CN"/>
        </w:rPr>
        <w:t>、货运</w:t>
      </w:r>
      <w:r>
        <w:rPr>
          <w:rFonts w:hint="eastAsia" w:ascii="仿宋_GB2312" w:hAnsi="仿宋_GB2312" w:eastAsia="仿宋_GB2312" w:cs="仿宋_GB2312"/>
          <w:b/>
          <w:sz w:val="32"/>
          <w:szCs w:val="32"/>
        </w:rPr>
        <w:t>管理工作：</w:t>
      </w:r>
      <w:r>
        <w:rPr>
          <w:rFonts w:hint="eastAsia" w:ascii="仿宋_GB2312" w:hAnsi="仿宋_GB2312" w:eastAsia="仿宋_GB2312" w:cs="仿宋_GB2312"/>
          <w:bCs/>
          <w:sz w:val="32"/>
          <w:szCs w:val="32"/>
        </w:rPr>
        <w:t>一是</w:t>
      </w:r>
      <w:r>
        <w:rPr>
          <w:rFonts w:hint="eastAsia" w:ascii="仿宋_GB2312" w:hAnsi="仿宋_GB2312" w:eastAsia="仿宋_GB2312" w:cs="仿宋_GB2312"/>
          <w:sz w:val="32"/>
          <w:szCs w:val="32"/>
        </w:rPr>
        <w:t>对县辖区的</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家客运企业和1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家客运站场完成了20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年度质量信誉的考核工作；二是</w:t>
      </w:r>
      <w:r>
        <w:rPr>
          <w:rFonts w:hint="eastAsia" w:ascii="仿宋_GB2312" w:hAnsi="仿宋_GB2312" w:eastAsia="仿宋_GB2312" w:cs="仿宋_GB2312"/>
          <w:sz w:val="32"/>
          <w:szCs w:val="32"/>
          <w:lang w:eastAsia="zh-CN"/>
        </w:rPr>
        <w:t>及时办理</w:t>
      </w:r>
      <w:r>
        <w:rPr>
          <w:rFonts w:hint="eastAsia" w:ascii="仿宋_GB2312" w:hAnsi="仿宋_GB2312" w:eastAsia="仿宋_GB2312" w:cs="仿宋_GB2312"/>
          <w:color w:val="000000"/>
          <w:kern w:val="0"/>
          <w:sz w:val="32"/>
          <w:szCs w:val="32"/>
          <w:shd w:val="clear" w:color="auto" w:fill="FFFFFF"/>
        </w:rPr>
        <w:t>政协委员提案</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bCs/>
          <w:color w:val="000000"/>
          <w:kern w:val="0"/>
          <w:sz w:val="32"/>
          <w:szCs w:val="32"/>
          <w:shd w:val="clear" w:color="auto" w:fill="FFFFFF"/>
        </w:rPr>
        <w:t>运输矛盾</w:t>
      </w:r>
      <w:r>
        <w:rPr>
          <w:rFonts w:hint="eastAsia" w:ascii="仿宋_GB2312" w:hAnsi="仿宋_GB2312" w:eastAsia="仿宋_GB2312" w:cs="仿宋_GB2312"/>
          <w:bCs/>
          <w:color w:val="000000"/>
          <w:kern w:val="0"/>
          <w:sz w:val="32"/>
          <w:szCs w:val="32"/>
          <w:shd w:val="clear" w:color="auto" w:fill="FFFFFF"/>
          <w:lang w:eastAsia="zh-CN"/>
        </w:rPr>
        <w:t>调处</w:t>
      </w:r>
      <w:r>
        <w:rPr>
          <w:rFonts w:hint="eastAsia" w:ascii="仿宋_GB2312" w:hAnsi="仿宋_GB2312" w:eastAsia="仿宋_GB2312" w:cs="仿宋_GB2312"/>
          <w:bCs/>
          <w:color w:val="000000"/>
          <w:kern w:val="0"/>
          <w:sz w:val="32"/>
          <w:szCs w:val="32"/>
          <w:shd w:val="clear" w:color="auto" w:fill="FFFFFF"/>
        </w:rPr>
        <w:t>和信访案件：20</w:t>
      </w:r>
      <w:r>
        <w:rPr>
          <w:rFonts w:hint="eastAsia" w:ascii="仿宋_GB2312" w:hAnsi="仿宋_GB2312" w:eastAsia="仿宋_GB2312" w:cs="仿宋_GB2312"/>
          <w:bCs/>
          <w:color w:val="000000"/>
          <w:kern w:val="0"/>
          <w:sz w:val="32"/>
          <w:szCs w:val="32"/>
          <w:shd w:val="clear" w:color="auto" w:fill="FFFFFF"/>
          <w:lang w:val="en-US" w:eastAsia="zh-CN"/>
        </w:rPr>
        <w:t>21</w:t>
      </w:r>
      <w:r>
        <w:rPr>
          <w:rFonts w:hint="eastAsia" w:ascii="仿宋_GB2312" w:hAnsi="仿宋_GB2312" w:eastAsia="仿宋_GB2312" w:cs="仿宋_GB2312"/>
          <w:bCs/>
          <w:color w:val="000000"/>
          <w:kern w:val="0"/>
          <w:sz w:val="32"/>
          <w:szCs w:val="32"/>
          <w:shd w:val="clear" w:color="auto" w:fill="FFFFFF"/>
        </w:rPr>
        <w:t>年</w:t>
      </w:r>
      <w:r>
        <w:rPr>
          <w:rFonts w:hint="eastAsia" w:ascii="仿宋_GB2312" w:hAnsi="仿宋_GB2312" w:eastAsia="仿宋_GB2312" w:cs="仿宋_GB2312"/>
          <w:color w:val="000000"/>
          <w:kern w:val="0"/>
          <w:sz w:val="32"/>
          <w:szCs w:val="32"/>
          <w:shd w:val="clear" w:color="auto" w:fill="FFFFFF"/>
        </w:rPr>
        <w:t>县交通运输局转办的政协委员提案共有</w:t>
      </w:r>
      <w:r>
        <w:rPr>
          <w:rFonts w:hint="eastAsia" w:ascii="仿宋_GB2312" w:hAnsi="仿宋_GB2312" w:eastAsia="仿宋_GB2312" w:cs="仿宋_GB2312"/>
          <w:color w:val="000000"/>
          <w:kern w:val="0"/>
          <w:sz w:val="32"/>
          <w:szCs w:val="32"/>
          <w:shd w:val="clear" w:color="auto" w:fill="FFFFFF"/>
          <w:lang w:val="en-US" w:eastAsia="zh-CN"/>
        </w:rPr>
        <w:t>1</w:t>
      </w:r>
      <w:r>
        <w:rPr>
          <w:rFonts w:hint="eastAsia" w:ascii="仿宋_GB2312" w:hAnsi="仿宋_GB2312" w:eastAsia="仿宋_GB2312" w:cs="仿宋_GB2312"/>
          <w:color w:val="000000"/>
          <w:kern w:val="0"/>
          <w:sz w:val="32"/>
          <w:szCs w:val="32"/>
          <w:shd w:val="clear" w:color="auto" w:fill="FFFFFF"/>
        </w:rPr>
        <w:t>件，处理客运市场矛盾</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rPr>
        <w:t>起，处理1234政府热线</w:t>
      </w:r>
      <w:r>
        <w:rPr>
          <w:rFonts w:hint="eastAsia" w:ascii="仿宋_GB2312" w:hAnsi="仿宋_GB2312" w:eastAsia="仿宋_GB2312" w:cs="仿宋_GB2312"/>
          <w:color w:val="000000"/>
          <w:kern w:val="0"/>
          <w:sz w:val="32"/>
          <w:szCs w:val="32"/>
          <w:shd w:val="clear" w:color="auto" w:fill="FFFFFF"/>
          <w:lang w:eastAsia="zh-CN"/>
        </w:rPr>
        <w:t>及</w:t>
      </w:r>
      <w:r>
        <w:rPr>
          <w:rFonts w:hint="eastAsia" w:ascii="仿宋_GB2312" w:hAnsi="仿宋_GB2312" w:eastAsia="仿宋_GB2312" w:cs="仿宋_GB2312"/>
          <w:color w:val="000000"/>
          <w:kern w:val="0"/>
          <w:sz w:val="32"/>
          <w:szCs w:val="32"/>
          <w:shd w:val="clear" w:color="auto" w:fill="FFFFFF"/>
          <w:lang w:val="en-US" w:eastAsia="zh-CN"/>
        </w:rPr>
        <w:t>12328热线</w:t>
      </w:r>
      <w:r>
        <w:rPr>
          <w:rFonts w:hint="eastAsia" w:ascii="仿宋_GB2312" w:hAnsi="仿宋_GB2312" w:eastAsia="仿宋_GB2312" w:cs="仿宋_GB2312"/>
          <w:color w:val="000000"/>
          <w:kern w:val="0"/>
          <w:sz w:val="32"/>
          <w:szCs w:val="32"/>
          <w:shd w:val="clear" w:color="auto" w:fill="FFFFFF"/>
        </w:rPr>
        <w:t>投诉</w:t>
      </w:r>
      <w:r>
        <w:rPr>
          <w:rFonts w:hint="eastAsia" w:ascii="仿宋_GB2312" w:hAnsi="仿宋_GB2312" w:eastAsia="仿宋_GB2312" w:cs="仿宋_GB2312"/>
          <w:color w:val="000000"/>
          <w:kern w:val="0"/>
          <w:sz w:val="32"/>
          <w:szCs w:val="32"/>
          <w:shd w:val="clear" w:color="auto" w:fill="FFFFFF"/>
          <w:lang w:val="en-US" w:eastAsia="zh-CN"/>
        </w:rPr>
        <w:t>50</w:t>
      </w:r>
      <w:r>
        <w:rPr>
          <w:rFonts w:hint="eastAsia" w:ascii="仿宋_GB2312" w:hAnsi="仿宋_GB2312" w:eastAsia="仿宋_GB2312" w:cs="仿宋_GB2312"/>
          <w:color w:val="000000"/>
          <w:kern w:val="0"/>
          <w:sz w:val="32"/>
          <w:szCs w:val="32"/>
          <w:shd w:val="clear" w:color="auto" w:fill="FFFFFF"/>
        </w:rPr>
        <w:t>余起；</w:t>
      </w:r>
      <w:r>
        <w:rPr>
          <w:rFonts w:hint="eastAsia" w:ascii="仿宋_GB2312" w:hAnsi="仿宋_GB2312" w:eastAsia="仿宋_GB2312" w:cs="仿宋_GB2312"/>
          <w:sz w:val="32"/>
          <w:szCs w:val="32"/>
        </w:rPr>
        <w:t>三是</w:t>
      </w:r>
      <w:r>
        <w:rPr>
          <w:rFonts w:hint="eastAsia" w:ascii="仿宋_GB2312" w:hAnsi="仿宋_GB2312" w:eastAsia="仿宋_GB2312" w:cs="仿宋_GB2312"/>
          <w:sz w:val="32"/>
          <w:szCs w:val="32"/>
          <w:lang w:eastAsia="zh-CN"/>
        </w:rPr>
        <w:t>做好行政许可工作，严格按照程序进行许可，无行政复议和行政诉讼案件。</w:t>
      </w:r>
      <w:r>
        <w:rPr>
          <w:rFonts w:hint="eastAsia" w:ascii="仿宋_GB2312" w:hAnsi="仿宋_GB2312" w:eastAsia="仿宋_GB2312" w:cs="仿宋_GB2312"/>
          <w:b w:val="0"/>
          <w:bCs w:val="0"/>
          <w:sz w:val="32"/>
          <w:szCs w:val="32"/>
          <w:lang w:eastAsia="zh-CN"/>
        </w:rPr>
        <w:t>四是货运</w:t>
      </w:r>
      <w:r>
        <w:rPr>
          <w:rFonts w:hint="eastAsia" w:ascii="仿宋_GB2312" w:hAnsi="仿宋_GB2312" w:eastAsia="仿宋_GB2312" w:cs="仿宋_GB2312"/>
          <w:b w:val="0"/>
          <w:bCs w:val="0"/>
          <w:sz w:val="32"/>
          <w:szCs w:val="32"/>
          <w:lang w:val="en-US" w:eastAsia="zh-CN"/>
        </w:rPr>
        <w:t>源</w:t>
      </w:r>
      <w:r>
        <w:rPr>
          <w:rFonts w:hint="eastAsia" w:ascii="仿宋_GB2312" w:hAnsi="仿宋_GB2312" w:eastAsia="仿宋_GB2312" w:cs="仿宋_GB2312"/>
          <w:sz w:val="32"/>
          <w:szCs w:val="32"/>
          <w:lang w:val="en-US" w:eastAsia="zh-CN"/>
        </w:rPr>
        <w:t>头治超工作，以“保畅通、为人民、安全隐患清零、四个一律、一超四究”为工作宗旨，及时报送相关信息，在实干、实际效果上面下功夫，求突破，求进步。</w:t>
      </w:r>
    </w:p>
    <w:p w14:paraId="2035EB27">
      <w:pPr>
        <w:pStyle w:val="7"/>
        <w:spacing w:line="390" w:lineRule="atLeast"/>
        <w:ind w:firstLine="642"/>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维修</w:t>
      </w:r>
      <w:r>
        <w:rPr>
          <w:rFonts w:hint="eastAsia" w:ascii="仿宋_GB2312" w:hAnsi="仿宋_GB2312" w:eastAsia="仿宋_GB2312" w:cs="仿宋_GB2312"/>
          <w:b/>
          <w:sz w:val="32"/>
          <w:szCs w:val="32"/>
          <w:lang w:eastAsia="zh-CN"/>
        </w:rPr>
        <w:t>、驾培</w:t>
      </w:r>
      <w:r>
        <w:rPr>
          <w:rFonts w:hint="eastAsia" w:ascii="仿宋_GB2312" w:hAnsi="仿宋_GB2312" w:eastAsia="仿宋_GB2312" w:cs="仿宋_GB2312"/>
          <w:b/>
          <w:sz w:val="32"/>
          <w:szCs w:val="32"/>
        </w:rPr>
        <w:t>工作：</w:t>
      </w:r>
      <w:r>
        <w:rPr>
          <w:rFonts w:hint="eastAsia" w:ascii="仿宋" w:hAnsi="仿宋" w:eastAsia="仿宋" w:cs="仿宋"/>
          <w:bCs/>
          <w:sz w:val="32"/>
          <w:szCs w:val="32"/>
          <w:lang w:eastAsia="zh-CN"/>
        </w:rPr>
        <w:t>一是</w:t>
      </w:r>
      <w:r>
        <w:rPr>
          <w:rFonts w:hint="eastAsia" w:ascii="仿宋" w:hAnsi="仿宋" w:eastAsia="仿宋" w:cs="仿宋"/>
          <w:sz w:val="32"/>
          <w:szCs w:val="32"/>
        </w:rPr>
        <w:t>严把市场准入关</w:t>
      </w:r>
      <w:r>
        <w:rPr>
          <w:rFonts w:hint="eastAsia" w:ascii="仿宋" w:hAnsi="仿宋" w:eastAsia="仿宋" w:cs="仿宋"/>
          <w:sz w:val="32"/>
          <w:szCs w:val="32"/>
          <w:lang w:eastAsia="zh-CN"/>
        </w:rPr>
        <w:t>，</w:t>
      </w:r>
      <w:r>
        <w:rPr>
          <w:rFonts w:hint="eastAsia" w:ascii="仿宋" w:hAnsi="仿宋" w:eastAsia="仿宋" w:cs="仿宋"/>
          <w:sz w:val="32"/>
          <w:szCs w:val="32"/>
        </w:rPr>
        <w:t>今年</w:t>
      </w:r>
      <w:r>
        <w:rPr>
          <w:rFonts w:hint="eastAsia" w:ascii="仿宋" w:hAnsi="仿宋" w:eastAsia="仿宋" w:cs="仿宋"/>
          <w:sz w:val="32"/>
          <w:szCs w:val="32"/>
          <w:lang w:eastAsia="zh-CN"/>
        </w:rPr>
        <w:t>以来</w:t>
      </w:r>
      <w:r>
        <w:rPr>
          <w:rFonts w:hint="eastAsia" w:ascii="仿宋" w:hAnsi="仿宋" w:eastAsia="仿宋" w:cs="仿宋"/>
          <w:sz w:val="32"/>
          <w:szCs w:val="32"/>
        </w:rPr>
        <w:t>共受</w:t>
      </w:r>
      <w:r>
        <w:rPr>
          <w:rFonts w:hint="eastAsia" w:ascii="仿宋" w:hAnsi="仿宋" w:eastAsia="仿宋" w:cs="仿宋"/>
          <w:sz w:val="32"/>
          <w:szCs w:val="32"/>
          <w:lang w:eastAsia="zh-CN"/>
        </w:rPr>
        <w:t>理</w:t>
      </w:r>
      <w:r>
        <w:rPr>
          <w:rFonts w:hint="eastAsia" w:ascii="仿宋" w:hAnsi="仿宋" w:eastAsia="仿宋" w:cs="仿宋"/>
          <w:sz w:val="32"/>
          <w:szCs w:val="32"/>
        </w:rPr>
        <w:t>了2家汽车维修企业备案申请。目前我县共有维修企业123家，其中一类8家，二类16家，三类专项修理企业99家。</w:t>
      </w:r>
      <w:r>
        <w:rPr>
          <w:rFonts w:hint="eastAsia" w:ascii="仿宋" w:hAnsi="仿宋" w:eastAsia="仿宋" w:cs="仿宋"/>
          <w:sz w:val="32"/>
          <w:szCs w:val="32"/>
          <w:lang w:eastAsia="zh-CN"/>
        </w:rPr>
        <w:t>二是</w:t>
      </w:r>
      <w:r>
        <w:rPr>
          <w:rFonts w:hint="eastAsia" w:ascii="仿宋" w:hAnsi="仿宋" w:eastAsia="仿宋" w:cs="仿宋"/>
          <w:sz w:val="32"/>
          <w:szCs w:val="32"/>
        </w:rPr>
        <w:t>开展检测质量大检查。重点对</w:t>
      </w:r>
      <w:r>
        <w:rPr>
          <w:rFonts w:hint="eastAsia" w:ascii="仿宋" w:hAnsi="仿宋" w:eastAsia="仿宋" w:cs="仿宋"/>
          <w:sz w:val="32"/>
          <w:szCs w:val="32"/>
          <w:lang w:eastAsia="zh-CN"/>
        </w:rPr>
        <w:t>检</w:t>
      </w:r>
      <w:r>
        <w:rPr>
          <w:rFonts w:hint="eastAsia" w:ascii="仿宋" w:hAnsi="仿宋" w:eastAsia="仿宋" w:cs="仿宋"/>
          <w:sz w:val="32"/>
          <w:szCs w:val="32"/>
        </w:rPr>
        <w:t>测站的检测设备、联网情况、检测报告签发、档案管理及检测站经营行为4个方面进行检查，有效地保障了检测站的日常检测质量。</w:t>
      </w:r>
      <w:r>
        <w:rPr>
          <w:rFonts w:hint="eastAsia" w:ascii="仿宋_GB2312" w:hAnsi="仿宋_GB2312" w:eastAsia="仿宋_GB2312" w:cs="仿宋_GB2312"/>
          <w:color w:val="595959"/>
          <w:sz w:val="32"/>
          <w:szCs w:val="32"/>
          <w:lang w:eastAsia="zh-CN"/>
        </w:rPr>
        <w:t>三</w:t>
      </w:r>
      <w:r>
        <w:rPr>
          <w:rFonts w:hint="eastAsia" w:ascii="仿宋_GB2312" w:hAnsi="仿宋_GB2312" w:eastAsia="仿宋_GB2312" w:cs="仿宋_GB2312"/>
          <w:color w:val="595959"/>
          <w:sz w:val="32"/>
          <w:szCs w:val="32"/>
        </w:rPr>
        <w:t>是</w:t>
      </w:r>
      <w:r>
        <w:rPr>
          <w:rFonts w:hint="eastAsia" w:ascii="仿宋_GB2312" w:hAnsi="仿宋_GB2312" w:eastAsia="仿宋_GB2312" w:cs="仿宋_GB2312"/>
          <w:sz w:val="32"/>
          <w:szCs w:val="32"/>
        </w:rPr>
        <w:t>狠抓教练员队伍</w:t>
      </w:r>
      <w:r>
        <w:rPr>
          <w:rFonts w:hint="eastAsia" w:ascii="仿宋_GB2312" w:hAnsi="仿宋_GB2312" w:eastAsia="仿宋_GB2312" w:cs="仿宋_GB2312"/>
          <w:sz w:val="32"/>
          <w:szCs w:val="32"/>
          <w:lang w:eastAsia="zh-CN"/>
        </w:rPr>
        <w:t>监管</w:t>
      </w:r>
      <w:r>
        <w:rPr>
          <w:rFonts w:hint="eastAsia" w:ascii="仿宋_GB2312" w:hAnsi="仿宋_GB2312" w:eastAsia="仿宋_GB2312" w:cs="仿宋_GB2312"/>
          <w:sz w:val="32"/>
          <w:szCs w:val="32"/>
        </w:rPr>
        <w:t>。对脱岗离岗的教练员进行脱产继续教育并培训。对严重违规的严格按程序处理，大大提高了教练员的自身技能及综合素质，有力促进了我县驾培行业文明诚信经营</w:t>
      </w:r>
      <w:r>
        <w:rPr>
          <w:rFonts w:hint="eastAsia" w:ascii="仿宋_GB2312" w:hAnsi="仿宋_GB2312" w:eastAsia="仿宋_GB2312" w:cs="仿宋_GB2312"/>
          <w:sz w:val="32"/>
          <w:szCs w:val="32"/>
          <w:lang w:eastAsia="zh-CN"/>
        </w:rPr>
        <w:t>。</w:t>
      </w:r>
    </w:p>
    <w:p w14:paraId="72F648A8">
      <w:pPr>
        <w:pStyle w:val="7"/>
        <w:spacing w:line="390" w:lineRule="atLeast"/>
        <w:ind w:firstLine="642"/>
        <w:rPr>
          <w:rFonts w:hint="eastAsia" w:ascii="仿宋_GB2312" w:hAnsi="仿宋_GB2312" w:eastAsia="仿宋_GB2312" w:cs="仿宋_GB2312"/>
          <w:color w:val="000000"/>
          <w:spacing w:val="-10"/>
          <w:sz w:val="32"/>
          <w:szCs w:val="32"/>
        </w:rPr>
      </w:pPr>
      <w:r>
        <w:rPr>
          <w:rFonts w:hint="eastAsia" w:ascii="仿宋_GB2312" w:hAnsi="仿宋_GB2312" w:eastAsia="仿宋_GB2312"/>
          <w:b/>
          <w:bCs/>
        </w:rPr>
        <w:t>（</w:t>
      </w:r>
      <w:r>
        <w:rPr>
          <w:rFonts w:hint="eastAsia" w:ascii="仿宋_GB2312" w:hAnsi="仿宋_GB2312" w:eastAsia="仿宋_GB2312"/>
          <w:b/>
          <w:bCs/>
          <w:lang w:val="en-US" w:eastAsia="zh-CN"/>
        </w:rPr>
        <w:t>3</w:t>
      </w:r>
      <w:r>
        <w:rPr>
          <w:rFonts w:hint="eastAsia" w:ascii="仿宋_GB2312" w:hAnsi="仿宋_GB2312" w:eastAsia="仿宋_GB2312"/>
          <w:b/>
          <w:bCs/>
        </w:rPr>
        <w:t>）、</w:t>
      </w:r>
      <w:r>
        <w:rPr>
          <w:rFonts w:hint="eastAsia" w:ascii="仿宋_GB2312" w:hAnsi="仿宋_GB2312" w:eastAsia="仿宋_GB2312" w:cs="仿宋_GB2312"/>
          <w:b/>
          <w:bCs/>
          <w:sz w:val="32"/>
          <w:szCs w:val="32"/>
          <w:lang w:eastAsia="zh-CN"/>
        </w:rPr>
        <w:t>政务</w:t>
      </w:r>
      <w:r>
        <w:rPr>
          <w:rFonts w:hint="eastAsia" w:ascii="仿宋_GB2312" w:hAnsi="仿宋_GB2312" w:eastAsia="仿宋_GB2312" w:cs="仿宋_GB2312"/>
          <w:b/>
          <w:bCs/>
          <w:sz w:val="32"/>
          <w:szCs w:val="32"/>
        </w:rPr>
        <w:t>服务工作：</w:t>
      </w:r>
      <w:r>
        <w:rPr>
          <w:rFonts w:hint="eastAsia" w:ascii="仿宋" w:hAnsi="仿宋" w:eastAsia="仿宋"/>
          <w:spacing w:val="-10"/>
          <w:sz w:val="32"/>
          <w:szCs w:val="32"/>
        </w:rPr>
        <w:t>202</w:t>
      </w:r>
      <w:r>
        <w:rPr>
          <w:rFonts w:hint="eastAsia" w:ascii="仿宋" w:hAnsi="仿宋" w:eastAsia="仿宋"/>
          <w:spacing w:val="-10"/>
          <w:sz w:val="32"/>
          <w:szCs w:val="32"/>
          <w:lang w:val="en-US" w:eastAsia="zh-CN"/>
        </w:rPr>
        <w:t>1年年</w:t>
      </w:r>
      <w:r>
        <w:rPr>
          <w:rFonts w:hint="eastAsia" w:ascii="仿宋" w:hAnsi="仿宋" w:eastAsia="仿宋"/>
          <w:spacing w:val="-10"/>
          <w:sz w:val="32"/>
          <w:szCs w:val="32"/>
        </w:rPr>
        <w:t>审验客车4</w:t>
      </w:r>
      <w:r>
        <w:rPr>
          <w:rFonts w:hint="eastAsia" w:ascii="仿宋" w:hAnsi="仿宋" w:eastAsia="仿宋"/>
          <w:spacing w:val="-10"/>
          <w:sz w:val="32"/>
          <w:szCs w:val="32"/>
          <w:lang w:val="en-US" w:eastAsia="zh-CN"/>
        </w:rPr>
        <w:t>23</w:t>
      </w:r>
      <w:r>
        <w:rPr>
          <w:rFonts w:hint="eastAsia" w:ascii="仿宋" w:hAnsi="仿宋" w:eastAsia="仿宋"/>
          <w:spacing w:val="-10"/>
          <w:sz w:val="32"/>
          <w:szCs w:val="32"/>
        </w:rPr>
        <w:t>台次，货车667台次，参加从业资格证诚信考核的</w:t>
      </w:r>
      <w:r>
        <w:rPr>
          <w:rFonts w:hint="eastAsia" w:ascii="仿宋" w:hAnsi="仿宋" w:eastAsia="仿宋"/>
          <w:spacing w:val="-10"/>
          <w:sz w:val="32"/>
          <w:szCs w:val="32"/>
          <w:lang w:val="en-US" w:eastAsia="zh-CN"/>
        </w:rPr>
        <w:t>1280</w:t>
      </w:r>
      <w:r>
        <w:rPr>
          <w:rFonts w:hint="eastAsia" w:ascii="仿宋" w:hAnsi="仿宋" w:eastAsia="仿宋"/>
          <w:spacing w:val="-10"/>
          <w:sz w:val="32"/>
          <w:szCs w:val="32"/>
        </w:rPr>
        <w:t>人，换发客、货道路运输经营许可证和道路运输证200余（本），报废注销客、货运车辆100余台</w:t>
      </w:r>
      <w:r>
        <w:rPr>
          <w:rFonts w:hint="eastAsia" w:ascii="仿宋_GB2312" w:hAnsi="仿宋_GB2312" w:eastAsia="仿宋_GB2312" w:cs="仿宋_GB2312"/>
          <w:color w:val="000000"/>
          <w:spacing w:val="-10"/>
          <w:sz w:val="32"/>
          <w:szCs w:val="32"/>
        </w:rPr>
        <w:t>。</w:t>
      </w:r>
    </w:p>
    <w:p w14:paraId="2ECEFE11">
      <w:pPr>
        <w:widowControl/>
        <w:spacing w:line="560" w:lineRule="exact"/>
        <w:ind w:firstLine="643" w:firstLineChars="200"/>
        <w:rPr>
          <w:rFonts w:hint="eastAsia" w:ascii="仿宋" w:hAnsi="仿宋" w:eastAsia="仿宋" w:cs="仿宋"/>
          <w:color w:val="333333"/>
          <w:kern w:val="0"/>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行政执法工作</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：一是</w:t>
      </w:r>
      <w:r>
        <w:rPr>
          <w:rFonts w:hint="eastAsia" w:ascii="仿宋" w:hAnsi="仿宋" w:eastAsia="仿宋" w:cs="仿宋"/>
          <w:sz w:val="32"/>
          <w:szCs w:val="32"/>
          <w:lang w:eastAsia="zh-CN"/>
        </w:rPr>
        <w:t>我中心年初制定了《规范道路运输行政执法工作》的文件，对行政执法行为进一步规范。二是对我县道路交通运输执法领域突出问题开展了专项整治行动，提高了执法队伍的政治素质、业务本领、纪律作风、服务意识、执法权威。至目前为止，共</w:t>
      </w:r>
      <w:r>
        <w:rPr>
          <w:rFonts w:hint="eastAsia" w:ascii="仿宋" w:hAnsi="仿宋" w:eastAsia="仿宋" w:cs="仿宋"/>
          <w:color w:val="333333"/>
          <w:kern w:val="0"/>
          <w:sz w:val="32"/>
          <w:szCs w:val="32"/>
          <w:lang w:eastAsia="zh-CN"/>
        </w:rPr>
        <w:t>查处</w:t>
      </w:r>
      <w:r>
        <w:rPr>
          <w:rFonts w:hint="eastAsia" w:ascii="仿宋" w:hAnsi="仿宋" w:eastAsia="仿宋" w:cs="仿宋"/>
          <w:color w:val="333333"/>
          <w:kern w:val="0"/>
          <w:sz w:val="32"/>
          <w:szCs w:val="32"/>
        </w:rPr>
        <w:t>案件</w:t>
      </w:r>
      <w:r>
        <w:rPr>
          <w:rFonts w:hint="eastAsia" w:ascii="方正仿宋_GBK" w:hAnsi="方正仿宋_GBK" w:eastAsia="方正仿宋_GBK" w:cs="方正仿宋_GBK"/>
          <w:color w:val="333333"/>
          <w:kern w:val="0"/>
          <w:sz w:val="32"/>
          <w:szCs w:val="32"/>
          <w:lang w:val="en-US" w:eastAsia="zh-CN"/>
        </w:rPr>
        <w:t>1280余起，行政处罚金额400余万元</w:t>
      </w:r>
      <w:r>
        <w:rPr>
          <w:rFonts w:hint="eastAsia" w:ascii="仿宋" w:hAnsi="仿宋" w:eastAsia="仿宋" w:cs="仿宋"/>
          <w:color w:val="333333"/>
          <w:kern w:val="0"/>
          <w:sz w:val="32"/>
          <w:szCs w:val="32"/>
        </w:rPr>
        <w:t>。</w:t>
      </w:r>
    </w:p>
    <w:p w14:paraId="7481A781">
      <w:pPr>
        <w:keepNext w:val="0"/>
        <w:keepLines w:val="0"/>
        <w:pageBreakBefore w:val="0"/>
        <w:widowControl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b/>
          <w:bCs/>
          <w:sz w:val="32"/>
          <w:szCs w:val="32"/>
        </w:rPr>
      </w:pPr>
      <w:r>
        <w:rPr>
          <w:rFonts w:hint="eastAsia" w:ascii="宋体" w:hAnsi="宋体" w:eastAsia="宋体" w:cs="宋体"/>
          <w:b/>
          <w:bCs/>
          <w:sz w:val="32"/>
          <w:szCs w:val="32"/>
        </w:rPr>
        <w:t>四、存在的问题</w:t>
      </w:r>
    </w:p>
    <w:p w14:paraId="03BEE63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1、预算编制工作有待细化。预算编制不够明确和细化，预算编制的合理性需要提高，预算执行力度还要进一步加强。</w:t>
      </w:r>
    </w:p>
    <w:p w14:paraId="2CE15830">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42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rPr>
        <w:t>2、</w:t>
      </w:r>
      <w:r>
        <w:rPr>
          <w:rFonts w:hint="eastAsia" w:ascii="仿宋_GB2312" w:hAnsi="仿宋_GB2312" w:eastAsia="仿宋_GB2312" w:cs="仿宋_GB2312"/>
          <w:sz w:val="32"/>
          <w:szCs w:val="32"/>
          <w:shd w:val="clear" w:color="auto" w:fill="FFFFFF"/>
          <w:lang w:val="en-US" w:eastAsia="zh-CN"/>
        </w:rPr>
        <w:t>2017年按县政府要求在</w:t>
      </w:r>
      <w:r>
        <w:rPr>
          <w:rFonts w:hint="eastAsia" w:ascii="仿宋_GB2312" w:hAnsi="仿宋_GB2312" w:eastAsia="仿宋_GB2312" w:cs="仿宋_GB2312"/>
          <w:sz w:val="32"/>
          <w:szCs w:val="32"/>
          <w:shd w:val="clear" w:color="auto" w:fill="FFFFFF"/>
          <w:lang w:eastAsia="zh-CN"/>
        </w:rPr>
        <w:t>各乡镇都设运管中队，点多面宽，特别是</w:t>
      </w:r>
      <w:r>
        <w:rPr>
          <w:rFonts w:hint="eastAsia" w:ascii="仿宋_GB2312" w:hAnsi="仿宋_GB2312" w:eastAsia="仿宋_GB2312" w:cs="仿宋_GB2312"/>
          <w:sz w:val="32"/>
          <w:szCs w:val="32"/>
          <w:shd w:val="clear" w:color="auto" w:fill="FFFFFF"/>
          <w:lang w:val="en-US" w:eastAsia="zh-CN"/>
        </w:rPr>
        <w:t>2017年政府无偿调拨的22台执法车辆车龄严重老化，车辆维修费及耗油量都非常高，导致各项公用经费开支增加过快，另现在执法难度越来越大，由此执法成本也越来越高，以上两方面都加速了资金的紧缺。</w:t>
      </w:r>
    </w:p>
    <w:p w14:paraId="041EA7D1">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42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3、为充实乡镇中队，近三年进人30多人， 由于“3+2”财政未纳入预算，导致人员经费严重不足，与年初预算相差比较大。</w:t>
      </w:r>
    </w:p>
    <w:p w14:paraId="1FB18677">
      <w:pPr>
        <w:keepNext w:val="0"/>
        <w:keepLines w:val="0"/>
        <w:pageBreakBefore w:val="0"/>
        <w:widowControl w:val="0"/>
        <w:kinsoku/>
        <w:wordWrap/>
        <w:overflowPunct/>
        <w:topLinePunct w:val="0"/>
        <w:autoSpaceDE/>
        <w:autoSpaceDN/>
        <w:bidi w:val="0"/>
        <w:adjustRightInd/>
        <w:snapToGrid/>
        <w:spacing w:line="300" w:lineRule="atLeast"/>
        <w:ind w:firstLine="643" w:firstLineChars="200"/>
        <w:textAlignment w:val="auto"/>
        <w:rPr>
          <w:rFonts w:hint="eastAsia" w:ascii="宋体" w:hAnsi="宋体" w:eastAsia="宋体" w:cs="宋体"/>
          <w:sz w:val="32"/>
          <w:szCs w:val="32"/>
        </w:rPr>
      </w:pPr>
      <w:r>
        <w:rPr>
          <w:rFonts w:hint="eastAsia" w:ascii="宋体" w:hAnsi="宋体" w:eastAsia="宋体" w:cs="宋体"/>
          <w:b/>
          <w:bCs/>
          <w:sz w:val="32"/>
          <w:szCs w:val="32"/>
        </w:rPr>
        <w:t>五、改进措施和有关建议</w:t>
      </w:r>
    </w:p>
    <w:p w14:paraId="5C3C19EF">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42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细化预算编制工作，认真做好预算的编制。进一步加强单位内部机构各股室的预算管理意识，严格按照预算编制的相关制度和要求进行预算编制，尽量压缩变动性的、有控制空间的费用项目，进一步提高预算编制的科学性、严谨性和可控性。</w:t>
      </w:r>
    </w:p>
    <w:p w14:paraId="197EFC0D">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4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12E2AB97">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42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完善资产管理，抓好“三公”经费控制。严格控制“三公”经费的规模和比例，把关“三公”经费支出的审核、审批，杜绝挪用和挤占其他预算资金行为；进一步细化“三公”经费的管理，合理压缩“三公”经费支出。</w:t>
      </w:r>
    </w:p>
    <w:p w14:paraId="7AD0630B">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42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4、为有效解决我所乡镇中队站房租赁费、车辆运行和维修等经费缺口，建议县财政继续将我所罚款收入返回比例为90%。</w:t>
      </w:r>
    </w:p>
    <w:p w14:paraId="305DE069">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300" w:lineRule="atLeast"/>
        <w:ind w:firstLine="420"/>
        <w:jc w:val="both"/>
        <w:textAlignment w:val="auto"/>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5、建议县财政安排资金更换5台执法执勤用车，2017年政府无偿调拨的22台执法车辆车龄严重老化，车辆维修费相当高，一些车辆已经达到甚至超出了报废年限。</w:t>
      </w:r>
    </w:p>
    <w:p w14:paraId="78C49F4C">
      <w:pPr>
        <w:pStyle w:val="2"/>
        <w:keepNext w:val="0"/>
        <w:keepLines w:val="0"/>
        <w:pageBreakBefore w:val="0"/>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rPr>
      </w:pPr>
    </w:p>
    <w:p w14:paraId="29748CDB">
      <w:pPr>
        <w:keepNext w:val="0"/>
        <w:keepLines w:val="0"/>
        <w:pageBreakBefore w:val="0"/>
        <w:widowControl w:val="0"/>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rPr>
      </w:pPr>
    </w:p>
    <w:p w14:paraId="6DAEF4E7">
      <w:pPr>
        <w:pStyle w:val="2"/>
        <w:keepNext w:val="0"/>
        <w:keepLines w:val="0"/>
        <w:pageBreakBefore w:val="0"/>
        <w:kinsoku/>
        <w:wordWrap/>
        <w:overflowPunct/>
        <w:topLinePunct w:val="0"/>
        <w:autoSpaceDE/>
        <w:autoSpaceDN/>
        <w:bidi w:val="0"/>
        <w:adjustRightInd/>
        <w:snapToGrid/>
        <w:spacing w:line="300" w:lineRule="atLeast"/>
        <w:textAlignment w:val="auto"/>
        <w:rPr>
          <w:rFonts w:hint="eastAsia" w:ascii="仿宋_GB2312" w:hAnsi="仿宋_GB2312" w:eastAsia="仿宋_GB2312" w:cs="仿宋_GB2312"/>
          <w:sz w:val="32"/>
          <w:szCs w:val="32"/>
        </w:rPr>
      </w:pPr>
    </w:p>
    <w:p w14:paraId="3ACF88A8">
      <w:pPr>
        <w:pStyle w:val="2"/>
        <w:keepNext w:val="0"/>
        <w:keepLines w:val="0"/>
        <w:pageBreakBefore w:val="0"/>
        <w:kinsoku/>
        <w:wordWrap/>
        <w:overflowPunct/>
        <w:topLinePunct w:val="0"/>
        <w:autoSpaceDE/>
        <w:autoSpaceDN/>
        <w:bidi w:val="0"/>
        <w:adjustRightInd/>
        <w:snapToGrid/>
        <w:spacing w:line="300" w:lineRule="atLeast"/>
        <w:ind w:firstLine="4480" w:firstLineChars="14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隆回县道路运输服务中心</w:t>
      </w:r>
    </w:p>
    <w:p w14:paraId="32263872">
      <w:pPr>
        <w:keepNext w:val="0"/>
        <w:keepLines w:val="0"/>
        <w:pageBreakBefore w:val="0"/>
        <w:kinsoku/>
        <w:wordWrap/>
        <w:overflowPunct/>
        <w:topLinePunct w:val="0"/>
        <w:autoSpaceDE/>
        <w:autoSpaceDN/>
        <w:bidi w:val="0"/>
        <w:adjustRightInd/>
        <w:snapToGrid/>
        <w:spacing w:line="300" w:lineRule="atLeast"/>
        <w:ind w:firstLine="5120" w:firstLineChars="16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2022年5月6日</w:t>
      </w:r>
    </w:p>
    <w:p w14:paraId="537C556B">
      <w:pPr>
        <w:spacing w:line="560" w:lineRule="exact"/>
        <w:rPr>
          <w:rFonts w:hint="eastAsia" w:ascii="宋体" w:hAnsi="宋体" w:eastAsia="宋体" w:cs="宋体"/>
          <w:kern w:val="0"/>
          <w:sz w:val="32"/>
          <w:szCs w:val="32"/>
        </w:rPr>
      </w:pPr>
    </w:p>
    <w:p w14:paraId="2F5F8E27">
      <w:pPr>
        <w:rPr>
          <w:rFonts w:hint="eastAsia" w:ascii="宋体" w:hAnsi="宋体" w:eastAsia="宋体" w:cs="宋体"/>
          <w:sz w:val="32"/>
          <w:szCs w:val="32"/>
        </w:rPr>
      </w:pPr>
    </w:p>
    <w:p w14:paraId="49C18E56">
      <w:pPr>
        <w:rPr>
          <w:rFonts w:hint="eastAsia" w:ascii="宋体" w:hAnsi="宋体" w:eastAsia="宋体" w:cs="宋体"/>
          <w:sz w:val="32"/>
          <w:szCs w:val="32"/>
        </w:rPr>
      </w:pPr>
    </w:p>
    <w:p w14:paraId="5A1B1234">
      <w:pPr>
        <w:rPr>
          <w:rFonts w:hint="eastAsia" w:ascii="宋体" w:hAnsi="宋体" w:eastAsia="宋体" w:cs="宋体"/>
          <w:sz w:val="32"/>
          <w:szCs w:val="32"/>
        </w:rPr>
      </w:pPr>
    </w:p>
    <w:p w14:paraId="77F117A0">
      <w:pPr>
        <w:spacing w:line="560" w:lineRule="exact"/>
        <w:rPr>
          <w:rFonts w:hint="eastAsia" w:ascii="黑体" w:hAnsi="宋体" w:eastAsia="黑体" w:cs="宋体"/>
          <w:kern w:val="0"/>
          <w:sz w:val="32"/>
          <w:szCs w:val="32"/>
        </w:rPr>
      </w:pPr>
    </w:p>
    <w:sectPr>
      <w:headerReference r:id="rId3" w:type="default"/>
      <w:footerReference r:id="rId4" w:type="default"/>
      <w:footerReference r:id="rId5" w:type="even"/>
      <w:pgSz w:w="11905" w:h="16837"/>
      <w:pgMar w:top="1418" w:right="1588" w:bottom="1418" w:left="1588"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KSOFABDC8F89">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F987">
    <w:pPr>
      <w:pStyle w:val="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E4F8B9">
                          <w:pPr>
                            <w:pStyle w:val="5"/>
                            <w:jc w:val="right"/>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E4F8B9">
                    <w:pPr>
                      <w:pStyle w:val="5"/>
                      <w:jc w:val="right"/>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E51C0">
    <w:pPr>
      <w:pStyle w:val="5"/>
      <w:framePr w:wrap="around" w:vAnchor="text" w:hAnchor="margin" w:xAlign="outside" w:y="1"/>
      <w:rPr>
        <w:rStyle w:val="10"/>
      </w:rPr>
    </w:pPr>
    <w:r>
      <w:fldChar w:fldCharType="begin"/>
    </w:r>
    <w:r>
      <w:rPr>
        <w:rStyle w:val="10"/>
      </w:rPr>
      <w:instrText xml:space="preserve">PAGE  </w:instrText>
    </w:r>
    <w:r>
      <w:fldChar w:fldCharType="separate"/>
    </w:r>
    <w:r>
      <w:fldChar w:fldCharType="end"/>
    </w:r>
  </w:p>
  <w:p w14:paraId="6E74FCF8">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DD95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A9D13"/>
    <w:multiLevelType w:val="singleLevel"/>
    <w:tmpl w:val="6F2A9D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hYmY2NDU3MTU4MjE4MGMwOTA0ZGYwMGRjNWJlNTIifQ=="/>
  </w:docVars>
  <w:rsids>
    <w:rsidRoot w:val="18D538B0"/>
    <w:rsid w:val="009514A8"/>
    <w:rsid w:val="01600BAC"/>
    <w:rsid w:val="018E17F6"/>
    <w:rsid w:val="02BA3BA0"/>
    <w:rsid w:val="0385634A"/>
    <w:rsid w:val="05923A21"/>
    <w:rsid w:val="07AC28E9"/>
    <w:rsid w:val="09D347BB"/>
    <w:rsid w:val="0A686BF6"/>
    <w:rsid w:val="0AFB3396"/>
    <w:rsid w:val="0F311310"/>
    <w:rsid w:val="0F836C3B"/>
    <w:rsid w:val="117C2E73"/>
    <w:rsid w:val="11E9622E"/>
    <w:rsid w:val="12607728"/>
    <w:rsid w:val="13113C31"/>
    <w:rsid w:val="13C57FC2"/>
    <w:rsid w:val="13EB2DF0"/>
    <w:rsid w:val="1767588B"/>
    <w:rsid w:val="18161D05"/>
    <w:rsid w:val="18D538B0"/>
    <w:rsid w:val="18E032C2"/>
    <w:rsid w:val="1CCF110C"/>
    <w:rsid w:val="21B552CB"/>
    <w:rsid w:val="2483632E"/>
    <w:rsid w:val="25B05D49"/>
    <w:rsid w:val="2A706BB3"/>
    <w:rsid w:val="2C2B5641"/>
    <w:rsid w:val="2E2B5E45"/>
    <w:rsid w:val="2E515D05"/>
    <w:rsid w:val="2FC02FA6"/>
    <w:rsid w:val="2FF745A3"/>
    <w:rsid w:val="316450AF"/>
    <w:rsid w:val="316B4522"/>
    <w:rsid w:val="335115F0"/>
    <w:rsid w:val="3546366F"/>
    <w:rsid w:val="357070B5"/>
    <w:rsid w:val="3578720D"/>
    <w:rsid w:val="36541889"/>
    <w:rsid w:val="38FC7F68"/>
    <w:rsid w:val="3A754CC9"/>
    <w:rsid w:val="3AC21CE9"/>
    <w:rsid w:val="3BEA370A"/>
    <w:rsid w:val="3D0030B3"/>
    <w:rsid w:val="3E261EFC"/>
    <w:rsid w:val="3ECD3124"/>
    <w:rsid w:val="3F0264C5"/>
    <w:rsid w:val="3F9A003D"/>
    <w:rsid w:val="402723F6"/>
    <w:rsid w:val="40F164D7"/>
    <w:rsid w:val="41555AE9"/>
    <w:rsid w:val="44D901EE"/>
    <w:rsid w:val="475F4422"/>
    <w:rsid w:val="47F0219E"/>
    <w:rsid w:val="4874505C"/>
    <w:rsid w:val="49136AFE"/>
    <w:rsid w:val="49201968"/>
    <w:rsid w:val="4BB905DA"/>
    <w:rsid w:val="4CCC15A8"/>
    <w:rsid w:val="4E0B709E"/>
    <w:rsid w:val="4EAF1A9A"/>
    <w:rsid w:val="507C62DD"/>
    <w:rsid w:val="563C6D66"/>
    <w:rsid w:val="565C4B5A"/>
    <w:rsid w:val="578E37A1"/>
    <w:rsid w:val="58C76ABA"/>
    <w:rsid w:val="5E7F4FE5"/>
    <w:rsid w:val="61E430BB"/>
    <w:rsid w:val="635B32B1"/>
    <w:rsid w:val="63AD5DD7"/>
    <w:rsid w:val="65ED7F30"/>
    <w:rsid w:val="6685505C"/>
    <w:rsid w:val="669D51E8"/>
    <w:rsid w:val="6A522671"/>
    <w:rsid w:val="6ACB22C2"/>
    <w:rsid w:val="6C1A7FF5"/>
    <w:rsid w:val="6C6A0E2B"/>
    <w:rsid w:val="6C801864"/>
    <w:rsid w:val="6E615BFD"/>
    <w:rsid w:val="6E670E63"/>
    <w:rsid w:val="6F7C2392"/>
    <w:rsid w:val="767C2482"/>
    <w:rsid w:val="78853E63"/>
    <w:rsid w:val="7A3613CA"/>
    <w:rsid w:val="7C455D77"/>
    <w:rsid w:val="7D2A54B9"/>
    <w:rsid w:val="7F976208"/>
    <w:rsid w:val="7FA61257"/>
    <w:rsid w:val="7FC36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5442</Words>
  <Characters>5714</Characters>
  <Lines>0</Lines>
  <Paragraphs>0</Paragraphs>
  <TotalTime>3</TotalTime>
  <ScaleCrop>false</ScaleCrop>
  <LinksUpToDate>false</LinksUpToDate>
  <CharactersWithSpaces>5862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随风而起</cp:lastModifiedBy>
  <cp:lastPrinted>2022-04-20T08:14:00Z</cp:lastPrinted>
  <dcterms:modified xsi:type="dcterms:W3CDTF">2025-12-17T03:49:21Z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DCA0B7756E2647E8B6EE3EA03B5DA940</vt:lpwstr>
  </property>
  <property fmtid="{D5CDD505-2E9C-101B-9397-08002B2CF9AE}" pid="4" name="KSOTemplateDocerSaveRecord">
    <vt:lpwstr>eyJoZGlkIjoiMzUyMGJjZGJkYTMxNmM2MGVkODM5NTNmZjk2YzllNDIiLCJ1c2VySWQiOiIyNzg1MzQ3NzgifQ==</vt:lpwstr>
  </property>
</Properties>
</file>