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57AA6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val="en-US" w:eastAsia="zh-CN"/>
        </w:rPr>
        <w:t>隆回县荷香桥镇人民政府2024年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部门整体支出绩效自评报告</w:t>
      </w:r>
    </w:p>
    <w:p w14:paraId="630CB8C8">
      <w:pPr>
        <w:ind w:firstLine="420" w:firstLineChars="200"/>
        <w:rPr>
          <w:rFonts w:hint="eastAsia" w:ascii="仿宋" w:hAnsi="仿宋" w:eastAsia="仿宋" w:cs="仿宋"/>
        </w:rPr>
      </w:pPr>
    </w:p>
    <w:p w14:paraId="644E6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一、部门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、单位基本情况</w:t>
      </w:r>
    </w:p>
    <w:p w14:paraId="78579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（一）部门基本情况</w:t>
      </w:r>
    </w:p>
    <w:p w14:paraId="04EBC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1、机构设置及人员情况</w:t>
      </w:r>
    </w:p>
    <w:p w14:paraId="6A46AF57"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隆回县荷香桥镇人民政府设置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个内设机构，内设机构包括：党政办公室、党建办公室、经济发展办公室、平安法治和应急管理办公室；1个执法机构：综合行政执法大队；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个直属事业单位：社会事务综合服务中心、农业综合服务中心、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生态事务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中心、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自然资源和村镇建设事务中心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1个财政所。</w:t>
      </w:r>
    </w:p>
    <w:p w14:paraId="159ED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隆回县</w:t>
      </w:r>
      <w:r>
        <w:rPr>
          <w:rFonts w:hint="eastAsia" w:ascii="仿宋_GB2312" w:eastAsia="仿宋_GB2312"/>
          <w:sz w:val="32"/>
          <w:szCs w:val="32"/>
        </w:rPr>
        <w:t>荷香桥镇人民政府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编制人数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130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人，实际人数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235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 xml:space="preserve">人（其中，在职 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147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人，经营服务性岗位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6人，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离退休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67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人），遗属补助人数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人，小车编制数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台，实际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台。配消防车1台，下辖村（居）委会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个。</w:t>
      </w:r>
    </w:p>
    <w:p w14:paraId="79D8B090"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2、部门主要职能职责</w:t>
      </w:r>
    </w:p>
    <w:p w14:paraId="4D57E13E"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宣传和贯彻执行党的路线方针政策和法律法规；落实基层管党治党工作责任制；规范经济管理，组织指导经济发展和经济结构调整；加强社会管理和基础设施建设，创造良好环境；发展公益事业，强化公共服务；加强综合治理，维护社会稳定；按照管理权限，负责机关和事业单位工作人员的教育、培养、选拔和监督工作，协助管理好派驻单位人员；依法依规承担下放的经济社会管理权限和行政执法事项；行使《中华人民共和国地方各级人民代表大会和地方各级人民政府组织法》等法律法规赋予的职权；完成县委、县政府交办的其它事项。</w:t>
      </w:r>
    </w:p>
    <w:p w14:paraId="3364FB0F"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年的重点工作</w:t>
      </w:r>
    </w:p>
    <w:p w14:paraId="721AFE92"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Hans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（1）抓生产、稳增长，经济发展稳中有升。经济指标稳步提升；粮食安全保障有力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；畜牧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Hans"/>
        </w:rPr>
        <w:t>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林量扩质升；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水利工作坚实发展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Hans"/>
        </w:rPr>
        <w:t>。</w:t>
      </w:r>
    </w:p>
    <w:p w14:paraId="3F685BA1"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（2）抓城乡、促统筹，区域发展协同推进。常态开展防返贫监测，兜底保障到位；项目建设“联农带农”，助推产业帮扶；大力推动稳岗就业，增加群众收入。</w:t>
      </w:r>
    </w:p>
    <w:p w14:paraId="1DBAAA32"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（3）抓治理、护生态，蓝天碧水成为常态。人居环境整治卓有成效；坚决打赢蓝天保卫战；打好禁渔禁捕持续仗；守牢耕地保护红线。</w:t>
      </w:r>
    </w:p>
    <w:p w14:paraId="58D0C273"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（4）抓安全、防风险，社会大局和谐稳定。风险防范安全可控社会治理持续加强；安全形势稳定向好；基层治理卓有成效。</w:t>
      </w:r>
    </w:p>
    <w:p w14:paraId="443A98E5"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（5）抓民生、补短板，群众福祉持续增进。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社会保障提标扩面；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窗口服务提质增效；文体事业发展进步；基础教育扩优提质。</w:t>
      </w:r>
    </w:p>
    <w:p w14:paraId="495026B9"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（6）抓作风、重落实，政府效能不断提高。政治建设不断增强；依法行政不断推进；行政效能全面提升。</w:t>
      </w:r>
    </w:p>
    <w:p w14:paraId="728DF5C9"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）完成县委、县政府交办的其它事项。</w:t>
      </w:r>
    </w:p>
    <w:p w14:paraId="2E56E034"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4、绩效目标设定情况</w:t>
      </w:r>
    </w:p>
    <w:p w14:paraId="04743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（1）贯彻执行上级的各项方针政策，确保各项工作目标任务圆满完成。</w:t>
      </w:r>
    </w:p>
    <w:p w14:paraId="43F84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（2）妥善处理突发性、群体性事件，调节和处理好各种利益矛盾和纠纷。</w:t>
      </w:r>
    </w:p>
    <w:p w14:paraId="1D137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（3）财务方面严格按照“三公”经费预算管理的规定实施。</w:t>
      </w:r>
    </w:p>
    <w:p w14:paraId="365FE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（4）贯彻落实社会治安综合治理、安全生产、“乡村振兴”推进工作，人民生活水平不断提高，社会公众满意程度普遍提升。</w:t>
      </w:r>
    </w:p>
    <w:p w14:paraId="783FD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（二）部门整体支出情况</w:t>
      </w:r>
    </w:p>
    <w:p w14:paraId="2BFCB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2024年度决算支出为3511.23万元,其中：基本支出2563.21万元，项目支出为948.02万元。</w:t>
      </w:r>
    </w:p>
    <w:p w14:paraId="57149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二、部门整体支出管理及使用情况</w:t>
      </w:r>
    </w:p>
    <w:p w14:paraId="3D4DD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（一）基本支出情况</w:t>
      </w:r>
    </w:p>
    <w:p w14:paraId="15650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年度决算数为2563.21万元，其中：人员经费2125.97万元，日常公用经费437.24万元。是指为保障单位机构正常运转、完成日常工作任务而发生的各项支出，包括用于基本工资、津贴补贴等人员经费以及办公费、印刷费、水电费及办公设备购置等日常公用经费。</w:t>
      </w:r>
    </w:p>
    <w:p w14:paraId="20FA1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（二）项目资金情况</w:t>
      </w:r>
    </w:p>
    <w:p w14:paraId="5C0BE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2024年年度决算数为948.02万元，是指单位为完成选定行政工作或事业发展目标而发生的支出，包括有关事业发展专项、专项业务费、基本建设支出等。</w:t>
      </w:r>
    </w:p>
    <w:p w14:paraId="02EDF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（三）“三公”经费情况</w:t>
      </w:r>
    </w:p>
    <w:p w14:paraId="16BE5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1.因公出国（境）费用0万元；</w:t>
      </w:r>
    </w:p>
    <w:p w14:paraId="30609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2.公务接待费4.8万元；</w:t>
      </w:r>
    </w:p>
    <w:p w14:paraId="61EF5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3.公务用车购置及运行费5.2万元。（全部为公务用车运行维护费）</w:t>
      </w:r>
    </w:p>
    <w:p w14:paraId="7D5AFC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三、政府性基金预算支出情况</w:t>
      </w:r>
    </w:p>
    <w:p w14:paraId="0071E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</w:t>
      </w:r>
    </w:p>
    <w:p w14:paraId="6C6C90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国有资本经营预算支出情况</w:t>
      </w:r>
    </w:p>
    <w:p w14:paraId="37EC6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</w:t>
      </w:r>
    </w:p>
    <w:p w14:paraId="0675CB46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社会保险基金预算支出情况</w:t>
      </w:r>
    </w:p>
    <w:p w14:paraId="73C90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</w:t>
      </w:r>
    </w:p>
    <w:p w14:paraId="52322A6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、部门整体支出绩效情况</w:t>
      </w:r>
    </w:p>
    <w:p w14:paraId="0D3B14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年，荷香桥镇坚持以习近平新时代中国特色社会主义思想为指导，深入学习贯彻党的二十大精神，聚焦县委“生态秀县、工业强县、农业富县、教育兴县”战略目标，大力弘扬“讲强树”精神，主动作为，真抓实干，攻坚克难，持续推动荷香桥镇经济社会各项事业高质量发展。粮食播种面积稳定在5.31万亩以上，粮食总产量稳定在2.4万吨以上，油料面积稳定在0.95万亩以上。大力发展集中育秧设施，建设12620平方米的钢架大棚，推广大田面积2300亩，打造2个双季稻千亩示范片。畜牧渔林展现新常态。出栏生猪5.1万头、肉牛6800头、肉羊6400头，出笼家禽22万羽，水产品产量32吨。调运马尾松苗3万株，在毛坪村、桐木桥村义务植树2000余棵。水利工作实现新发展。清淤山塘38口，维修、硬化水渠3000余米，桃树冲水库、磨石水库、茶泥冲水库、换江水库除险加固项目已竣工，贺家水库除险加固项目纳入2025年计划。</w:t>
      </w:r>
    </w:p>
    <w:p w14:paraId="0F3F7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存在的问题</w:t>
      </w:r>
    </w:p>
    <w:p w14:paraId="6E489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近些年来，县对街道（乡镇）这实行了新的财政体制，对街道（乡镇）的财政投入越来越大，但乡镇各项公共事业等工作开支日益增大，各种突发工作增多，而县拨公用经费有限，乡镇无其他收入来源，财政非常困难，保运转的资金压力较大。</w:t>
      </w:r>
    </w:p>
    <w:p w14:paraId="3BA02307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改进措施及有关建议</w:t>
      </w:r>
    </w:p>
    <w:p w14:paraId="0A745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规范财政管理，严格执行预算。一是在预算编制上要严格按照“零基预算、部门预算”的编制方法，本着透明、公开的原则进行详细、具体的编制。二是在预算执行过程中，加强管理，严格监督。三是增强支出透明度，实行政务公开。堵塞漏洞，减少支出随意性，发挥财政支出的效益。</w:t>
      </w:r>
    </w:p>
    <w:p w14:paraId="52131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2、县财政应加大对乡镇（街道）财力投入，应保尽保。</w:t>
      </w:r>
    </w:p>
    <w:p w14:paraId="695FAD19"/>
    <w:p w14:paraId="563368E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EFB2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A1D81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A1D81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94471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0771F"/>
    <w:multiLevelType w:val="singleLevel"/>
    <w:tmpl w:val="67F0771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30056"/>
    <w:rsid w:val="24530056"/>
    <w:rsid w:val="4F173A27"/>
    <w:rsid w:val="7CF9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toa heading"/>
    <w:basedOn w:val="1"/>
    <w:next w:val="1"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4">
    <w:name w:val="Body Text Indent"/>
    <w:basedOn w:val="1"/>
    <w:next w:val="2"/>
    <w:qFormat/>
    <w:uiPriority w:val="0"/>
    <w:pPr>
      <w:ind w:firstLine="640" w:firstLineChars="200"/>
    </w:pPr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next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2064</Words>
  <Characters>2172</Characters>
  <Lines>0</Lines>
  <Paragraphs>0</Paragraphs>
  <TotalTime>3</TotalTime>
  <ScaleCrop>false</ScaleCrop>
  <LinksUpToDate>false</LinksUpToDate>
  <CharactersWithSpaces>2173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2025-04-21T06:41:00Z</dcterms:created>
  <dc:creator>不一样的小仙</dc:creator>
  <cp:lastModifiedBy>随风而起</cp:lastModifiedBy>
  <dcterms:modified xsi:type="dcterms:W3CDTF">2025-12-19T07:18:31Z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2C6200AD645343A3880B3F1BC449C2C3_11</vt:lpwstr>
  </property>
  <property fmtid="{D5CDD505-2E9C-101B-9397-08002B2CF9AE}" pid="4" name="KSOTemplateDocerSaveRecord">
    <vt:lpwstr>eyJoZGlkIjoiMzUyMGJjZGJkYTMxNmM2MGVkODM5NTNmZjk2YzllNDIiLCJ1c2VySWQiOiIyNzg1MzQ3NzgifQ==</vt:lpwstr>
  </property>
</Properties>
</file>