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107"/>
        <w:gridCol w:w="870"/>
        <w:gridCol w:w="255"/>
        <w:gridCol w:w="1304"/>
        <w:gridCol w:w="61"/>
        <w:gridCol w:w="1155"/>
        <w:gridCol w:w="570"/>
        <w:gridCol w:w="940"/>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555" w:hRule="atLeast"/>
          <w:jc w:val="center"/>
        </w:trPr>
        <w:tc>
          <w:tcPr>
            <w:tcW w:w="9071" w:type="dxa"/>
            <w:gridSpan w:val="11"/>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661"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center"/>
              <w:rPr>
                <w:rFonts w:hint="eastAsia" w:ascii="楷体" w:hAnsi="楷体" w:eastAsia="楷体" w:cs="楷体"/>
                <w:szCs w:val="21"/>
                <w:lang w:val="en-US" w:eastAsia="zh-CN"/>
              </w:rPr>
            </w:pPr>
            <w:r>
              <w:rPr>
                <w:rFonts w:hint="eastAsia" w:ascii="楷体" w:hAnsi="楷体" w:eastAsia="楷体" w:cs="楷体"/>
                <w:szCs w:val="21"/>
                <w:lang w:val="en-US" w:eastAsia="zh-CN"/>
              </w:rPr>
              <w:t>隆回县麻塘山乡人民政府</w:t>
            </w:r>
          </w:p>
          <w:p>
            <w:pPr>
              <w:spacing w:line="5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2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64</w:t>
            </w:r>
          </w:p>
        </w:tc>
        <w:tc>
          <w:tcPr>
            <w:tcW w:w="1559" w:type="dxa"/>
            <w:gridSpan w:val="2"/>
            <w:noWrap w:val="0"/>
            <w:vAlign w:val="center"/>
          </w:tcPr>
          <w:p>
            <w:pPr>
              <w:jc w:val="center"/>
              <w:rPr>
                <w:rFonts w:hint="eastAsia" w:ascii="楷体" w:hAnsi="楷体" w:eastAsia="楷体" w:cs="楷体"/>
                <w:szCs w:val="21"/>
              </w:rPr>
            </w:pPr>
            <w:r>
              <w:rPr>
                <w:rFonts w:hint="eastAsia" w:ascii="楷体" w:hAnsi="楷体" w:eastAsia="楷体" w:cs="楷体"/>
                <w:szCs w:val="21"/>
              </w:rPr>
              <w:t>实有人数</w:t>
            </w:r>
          </w:p>
        </w:tc>
        <w:tc>
          <w:tcPr>
            <w:tcW w:w="2763" w:type="dxa"/>
            <w:gridSpan w:val="5"/>
            <w:noWrap w:val="0"/>
            <w:vAlign w:val="top"/>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90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 w:val="13"/>
                <w:szCs w:val="13"/>
              </w:rPr>
            </w:pPr>
            <w:r>
              <w:rPr>
                <w:rFonts w:hint="eastAsia" w:ascii="楷体" w:hAnsi="楷体" w:eastAsia="楷体" w:cs="楷体"/>
                <w:sz w:val="21"/>
                <w:szCs w:val="21"/>
              </w:rPr>
              <w:t>部门职能概述</w:t>
            </w:r>
          </w:p>
        </w:tc>
        <w:tc>
          <w:tcPr>
            <w:tcW w:w="7299" w:type="dxa"/>
            <w:gridSpan w:val="9"/>
            <w:noWrap w:val="0"/>
            <w:vAlign w:val="top"/>
          </w:tcPr>
          <w:p>
            <w:pPr>
              <w:ind w:firstLine="420" w:firstLineChars="200"/>
              <w:jc w:val="left"/>
              <w:rPr>
                <w:rFonts w:hint="eastAsia" w:ascii="楷体" w:hAnsi="楷体" w:eastAsia="楷体" w:cs="楷体"/>
                <w:sz w:val="21"/>
                <w:szCs w:val="21"/>
                <w:lang w:eastAsia="zh-CN"/>
              </w:rPr>
            </w:pPr>
            <w:r>
              <w:rPr>
                <w:rFonts w:hint="eastAsia" w:ascii="楷体" w:hAnsi="楷体" w:eastAsia="楷体" w:cs="楷体"/>
                <w:sz w:val="21"/>
                <w:szCs w:val="21"/>
                <w:lang w:val="en-US" w:eastAsia="zh-CN"/>
              </w:rPr>
              <w:t>麻塘山乡</w:t>
            </w:r>
            <w:r>
              <w:rPr>
                <w:rFonts w:hint="eastAsia" w:ascii="楷体" w:hAnsi="楷体" w:eastAsia="楷体" w:cs="楷体"/>
                <w:sz w:val="21"/>
                <w:szCs w:val="21"/>
                <w:lang w:eastAsia="zh-CN"/>
              </w:rPr>
              <w:t>人民政府下设六个内设机构：党政综合办公室、基层党建办公室、经济发展办公室、社会事务办公室、社会治安和应急管理办公室、自然资源和生态环境办公室，一个执法机构：行政综合执法大队，四个直属事业单位：社会事务综合服务中心、农业综合服务中心、政务服务中心、退役军人服务站。</w:t>
            </w:r>
          </w:p>
          <w:p>
            <w:pPr>
              <w:jc w:val="left"/>
              <w:rPr>
                <w:rFonts w:ascii="楷体" w:hAnsi="楷体" w:eastAsia="楷体" w:cs="楷体"/>
                <w:sz w:val="13"/>
                <w:szCs w:val="13"/>
              </w:rPr>
            </w:pPr>
            <w:r>
              <w:rPr>
                <w:rFonts w:hint="eastAsia" w:ascii="楷体" w:hAnsi="楷体" w:eastAsia="楷体" w:cs="楷体"/>
                <w:sz w:val="21"/>
                <w:szCs w:val="21"/>
                <w:lang w:val="en-US" w:eastAsia="zh-CN"/>
              </w:rPr>
              <w:t>主要职能职责是：（一）宣传和贯彻执行党的路线方针政策和法律法规；（二）落实基层管党治党工作责任制；（三）规范经济管理，组织指导经济发展和经济结构调整；（四）加强社会管理和基础设施建设，创造良好环境。（五）抓好精神文明建设，丰富群众文化生活，提倡移风易俗，反对封建迷信，破除陈规陋习，树立社会主义新风尚。（六）加强综合治理，维护社会稳定。（七）按照管理权限，负责机关和事业单位工作人员的教育、培养、选拔和监督工作。协助管理好派驻单位人员。（八）依法依规承担下放的经济社会管理权限和行政执法事项。（九）</w:t>
            </w:r>
            <w:r>
              <w:rPr>
                <w:rFonts w:hint="default" w:ascii="楷体" w:hAnsi="楷体" w:eastAsia="楷体" w:cs="楷体"/>
                <w:sz w:val="21"/>
                <w:szCs w:val="21"/>
                <w:lang w:val="en-US" w:eastAsia="zh-CN"/>
              </w:rPr>
              <w:t>协助和支持设置在本行政区域内不隶属于镇的国家机关和企事业单位工作，监督其遵守和执行国家的法律、法规和政策。</w:t>
            </w:r>
            <w:r>
              <w:rPr>
                <w:rFonts w:hint="eastAsia" w:ascii="楷体" w:hAnsi="楷体" w:eastAsia="楷体" w:cs="楷体"/>
                <w:sz w:val="21"/>
                <w:szCs w:val="21"/>
                <w:lang w:val="en-US" w:eastAsia="zh-CN"/>
              </w:rPr>
              <w:t>（十）完成县委、县政府交办的其它事项。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107"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25"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1251.52</w:t>
            </w:r>
          </w:p>
        </w:tc>
        <w:tc>
          <w:tcPr>
            <w:tcW w:w="1365"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155" w:type="dxa"/>
            <w:noWrap w:val="0"/>
            <w:vAlign w:val="top"/>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52.63</w:t>
            </w:r>
          </w:p>
        </w:tc>
        <w:tc>
          <w:tcPr>
            <w:tcW w:w="570"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977"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1304.</w:t>
            </w:r>
            <w:bookmarkStart w:id="0" w:name="_GoBack"/>
            <w:bookmarkEnd w:id="0"/>
            <w:r>
              <w:rPr>
                <w:rFonts w:hint="eastAsia" w:ascii="楷体" w:hAnsi="楷体" w:eastAsia="楷体" w:cs="楷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107"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25" w:type="dxa"/>
            <w:gridSpan w:val="2"/>
            <w:noWrap w:val="0"/>
            <w:vAlign w:val="center"/>
          </w:tcPr>
          <w:p>
            <w:pPr>
              <w:jc w:val="center"/>
              <w:rPr>
                <w:rFonts w:ascii="楷体" w:hAnsi="楷体" w:eastAsia="楷体" w:cs="楷体"/>
                <w:szCs w:val="21"/>
              </w:rPr>
            </w:pPr>
          </w:p>
        </w:tc>
        <w:tc>
          <w:tcPr>
            <w:tcW w:w="1365"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其他收入</w:t>
            </w:r>
          </w:p>
        </w:tc>
        <w:tc>
          <w:tcPr>
            <w:tcW w:w="1155" w:type="dxa"/>
            <w:noWrap w:val="0"/>
            <w:vAlign w:val="top"/>
          </w:tcPr>
          <w:p>
            <w:pPr>
              <w:spacing w:line="560" w:lineRule="exact"/>
              <w:jc w:val="left"/>
              <w:rPr>
                <w:rFonts w:hint="default" w:ascii="楷体" w:hAnsi="楷体" w:eastAsia="楷体" w:cs="楷体"/>
                <w:szCs w:val="21"/>
                <w:lang w:val="en-US" w:eastAsia="zh-CN"/>
              </w:rPr>
            </w:pPr>
          </w:p>
        </w:tc>
        <w:tc>
          <w:tcPr>
            <w:tcW w:w="570" w:type="dxa"/>
            <w:vMerge w:val="continue"/>
            <w:noWrap w:val="0"/>
            <w:vAlign w:val="center"/>
          </w:tcPr>
          <w:p>
            <w:pPr>
              <w:spacing w:line="560" w:lineRule="exact"/>
              <w:jc w:val="center"/>
              <w:rPr>
                <w:rFonts w:ascii="楷体" w:hAnsi="楷体" w:eastAsia="楷体" w:cs="楷体"/>
                <w:szCs w:val="21"/>
              </w:rPr>
            </w:pPr>
          </w:p>
        </w:tc>
        <w:tc>
          <w:tcPr>
            <w:tcW w:w="977"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107"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25"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812.96</w:t>
            </w:r>
          </w:p>
        </w:tc>
        <w:tc>
          <w:tcPr>
            <w:tcW w:w="1365"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1155"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491.19</w:t>
            </w:r>
          </w:p>
        </w:tc>
        <w:tc>
          <w:tcPr>
            <w:tcW w:w="570"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977"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1304.15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107"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25"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10.59</w:t>
            </w:r>
          </w:p>
        </w:tc>
        <w:tc>
          <w:tcPr>
            <w:tcW w:w="1365" w:type="dxa"/>
            <w:gridSpan w:val="2"/>
            <w:vMerge w:val="continue"/>
            <w:noWrap w:val="0"/>
            <w:vAlign w:val="top"/>
          </w:tcPr>
          <w:p>
            <w:pPr>
              <w:jc w:val="center"/>
              <w:rPr>
                <w:rFonts w:ascii="楷体" w:hAnsi="楷体" w:eastAsia="楷体" w:cs="楷体"/>
                <w:szCs w:val="21"/>
              </w:rPr>
            </w:pPr>
          </w:p>
        </w:tc>
        <w:tc>
          <w:tcPr>
            <w:tcW w:w="1155" w:type="dxa"/>
            <w:vMerge w:val="continue"/>
            <w:noWrap w:val="0"/>
            <w:vAlign w:val="top"/>
          </w:tcPr>
          <w:p>
            <w:pPr>
              <w:jc w:val="center"/>
              <w:rPr>
                <w:rFonts w:ascii="楷体" w:hAnsi="楷体" w:eastAsia="楷体" w:cs="楷体"/>
                <w:szCs w:val="21"/>
              </w:rPr>
            </w:pPr>
          </w:p>
        </w:tc>
        <w:tc>
          <w:tcPr>
            <w:tcW w:w="570" w:type="dxa"/>
            <w:vMerge w:val="continue"/>
            <w:noWrap w:val="0"/>
            <w:vAlign w:val="center"/>
          </w:tcPr>
          <w:p>
            <w:pPr>
              <w:jc w:val="center"/>
              <w:rPr>
                <w:rFonts w:ascii="楷体" w:hAnsi="楷体" w:eastAsia="楷体" w:cs="楷体"/>
                <w:szCs w:val="21"/>
              </w:rPr>
            </w:pPr>
          </w:p>
        </w:tc>
        <w:tc>
          <w:tcPr>
            <w:tcW w:w="977"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35.69</w:t>
            </w:r>
            <w:r>
              <w:rPr>
                <w:rFonts w:hint="eastAsia" w:ascii="楷体" w:hAnsi="楷体" w:eastAsia="楷体" w:cs="楷体"/>
                <w:szCs w:val="21"/>
              </w:rPr>
              <w:t>万元，实际采购金额</w:t>
            </w:r>
            <w:r>
              <w:rPr>
                <w:rFonts w:hint="eastAsia" w:ascii="楷体" w:hAnsi="楷体" w:eastAsia="楷体" w:cs="楷体"/>
                <w:szCs w:val="21"/>
                <w:lang w:val="en-US" w:eastAsia="zh-CN"/>
              </w:rPr>
              <w:t>41.26</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5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hint="eastAsia" w:ascii="楷体" w:hAnsi="楷体" w:eastAsia="楷体" w:cs="楷体"/>
                <w:szCs w:val="21"/>
                <w:lang w:val="en-US" w:eastAsia="zh-CN"/>
              </w:rPr>
              <w:t>102.94</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1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3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1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A3"/>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360" w:lineRule="exact"/>
              <w:jc w:val="left"/>
              <w:rPr>
                <w:rFonts w:hint="eastAsia" w:ascii="楷体" w:hAnsi="楷体" w:eastAsia="楷体" w:cs="楷体"/>
                <w:szCs w:val="21"/>
              </w:rPr>
            </w:pPr>
            <w:r>
              <w:rPr>
                <w:rFonts w:hint="eastAsia" w:ascii="楷体" w:hAnsi="楷体" w:eastAsia="楷体" w:cs="楷体"/>
                <w:szCs w:val="21"/>
              </w:rPr>
              <w:t>重点工作是否全部完成且质量达标: 是</w:t>
            </w:r>
            <w:r>
              <w:rPr>
                <w:rFonts w:hint="eastAsia" w:ascii="楷体" w:hAnsi="楷体" w:eastAsia="楷体" w:cs="楷体"/>
                <w:szCs w:val="21"/>
                <w:lang w:eastAsia="zh-CN"/>
              </w:rPr>
              <w:sym w:font="Wingdings 2" w:char="0052"/>
            </w:r>
            <w:r>
              <w:rPr>
                <w:rFonts w:hint="eastAsia" w:ascii="楷体" w:hAnsi="楷体" w:eastAsia="楷体" w:cs="楷体"/>
                <w:szCs w:val="21"/>
              </w:rPr>
              <w:t xml:space="preserve"> 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ind w:firstLine="105" w:firstLineChars="50"/>
              <w:rPr>
                <w:rFonts w:ascii="楷体" w:hAnsi="楷体" w:eastAsia="楷体" w:cs="楷体"/>
                <w:szCs w:val="21"/>
              </w:rPr>
            </w:pPr>
            <w:r>
              <w:rPr>
                <w:rFonts w:ascii="楷体" w:hAnsi="楷体" w:eastAsia="楷体" w:cs="楷体"/>
                <w:szCs w:val="21"/>
              </w:rPr>
              <w:t>202</w:t>
            </w:r>
            <w:r>
              <w:rPr>
                <w:rFonts w:hint="eastAsia" w:ascii="楷体" w:hAnsi="楷体" w:eastAsia="楷体" w:cs="楷体"/>
                <w:szCs w:val="21"/>
                <w:lang w:val="en-US" w:eastAsia="zh-CN"/>
              </w:rPr>
              <w:t>1</w:t>
            </w:r>
            <w:r>
              <w:rPr>
                <w:rFonts w:hint="eastAsia" w:ascii="楷体" w:hAnsi="楷体" w:eastAsia="楷体" w:cs="楷体"/>
                <w:szCs w:val="21"/>
              </w:rPr>
              <w:t>年，我</w:t>
            </w:r>
            <w:r>
              <w:rPr>
                <w:rFonts w:hint="eastAsia" w:ascii="楷体" w:hAnsi="楷体" w:eastAsia="楷体" w:cs="楷体"/>
                <w:szCs w:val="21"/>
                <w:lang w:val="en-US" w:eastAsia="zh-CN"/>
              </w:rPr>
              <w:t>乡</w:t>
            </w:r>
            <w:r>
              <w:rPr>
                <w:rFonts w:hint="eastAsia" w:ascii="楷体" w:hAnsi="楷体" w:eastAsia="楷体" w:cs="楷体"/>
                <w:szCs w:val="21"/>
              </w:rPr>
              <w:t>积极履职，强化管理，较好的完成了年度工作目标。通过加强预算收支管理，不断建立健全内部管理制度，梳理内部管理流程，整体支出管理水平得到提升。主要表现在：1、加强农业经济组织建设。</w:t>
            </w:r>
            <w:r>
              <w:rPr>
                <w:rFonts w:hint="eastAsia" w:ascii="楷体" w:hAnsi="楷体" w:eastAsia="楷体" w:cs="楷体"/>
                <w:szCs w:val="21"/>
                <w:lang w:val="en-US" w:eastAsia="zh-CN"/>
              </w:rPr>
              <w:t>2</w:t>
            </w:r>
            <w:r>
              <w:rPr>
                <w:rFonts w:hint="eastAsia" w:ascii="楷体" w:hAnsi="楷体" w:eastAsia="楷体" w:cs="楷体"/>
                <w:szCs w:val="21"/>
              </w:rPr>
              <w:t>、建立长效机制，切实把科学发展活动落到实处，收到实效。</w:t>
            </w:r>
            <w:r>
              <w:rPr>
                <w:rFonts w:hint="eastAsia" w:ascii="楷体" w:hAnsi="楷体" w:eastAsia="楷体" w:cs="楷体"/>
                <w:szCs w:val="21"/>
                <w:lang w:val="en-US" w:eastAsia="zh-CN"/>
              </w:rPr>
              <w:t>3</w:t>
            </w:r>
            <w:r>
              <w:rPr>
                <w:rFonts w:hint="eastAsia" w:ascii="楷体" w:hAnsi="楷体" w:eastAsia="楷体" w:cs="楷体"/>
                <w:szCs w:val="21"/>
              </w:rPr>
              <w:t>、为全</w:t>
            </w:r>
            <w:r>
              <w:rPr>
                <w:rFonts w:hint="eastAsia" w:ascii="楷体" w:hAnsi="楷体" w:eastAsia="楷体" w:cs="楷体"/>
                <w:szCs w:val="21"/>
                <w:lang w:eastAsia="zh-CN"/>
              </w:rPr>
              <w:t>乡</w:t>
            </w:r>
            <w:r>
              <w:rPr>
                <w:rFonts w:hint="eastAsia" w:ascii="楷体" w:hAnsi="楷体" w:eastAsia="楷体" w:cs="楷体"/>
                <w:szCs w:val="21"/>
              </w:rPr>
              <w:t>劳动就业人口素质和不断提高产生长期影响，社会保障体系不断完善；5、对全</w:t>
            </w:r>
            <w:r>
              <w:rPr>
                <w:rFonts w:hint="eastAsia" w:ascii="楷体" w:hAnsi="楷体" w:eastAsia="楷体" w:cs="楷体"/>
                <w:szCs w:val="21"/>
                <w:lang w:eastAsia="zh-CN"/>
              </w:rPr>
              <w:t>乡</w:t>
            </w:r>
            <w:r>
              <w:rPr>
                <w:rFonts w:hint="eastAsia" w:ascii="楷体" w:hAnsi="楷体" w:eastAsia="楷体" w:cs="楷体"/>
                <w:szCs w:val="21"/>
              </w:rPr>
              <w:t>村、衬区规划、建设、生态环境持续改善长期影响。6、通过相关服务，不断提高我</w:t>
            </w:r>
            <w:r>
              <w:rPr>
                <w:rFonts w:hint="eastAsia" w:ascii="楷体" w:hAnsi="楷体" w:eastAsia="楷体" w:cs="楷体"/>
                <w:szCs w:val="21"/>
                <w:lang w:eastAsia="zh-CN"/>
              </w:rPr>
              <w:t>乡</w:t>
            </w:r>
            <w:r>
              <w:rPr>
                <w:rFonts w:hint="eastAsia" w:ascii="楷体" w:hAnsi="楷体" w:eastAsia="楷体" w:cs="楷体"/>
                <w:szCs w:val="21"/>
              </w:rPr>
              <w:t>劳动人口素质。7、逐步提高群众满意度；提高群众优生优育意识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462"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470"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rPr>
                <w:rFonts w:ascii="楷体" w:hAnsi="楷体" w:eastAsia="楷体" w:cs="楷体"/>
                <w:szCs w:val="21"/>
              </w:rPr>
            </w:pPr>
            <w:r>
              <w:rPr>
                <w:rFonts w:hint="eastAsia" w:ascii="楷体" w:hAnsi="楷体" w:eastAsia="楷体" w:cs="楷体"/>
                <w:szCs w:val="21"/>
              </w:rPr>
              <w:t>1、预算编制有待细化。细化预算编制工作，认真做好预算的编制。</w:t>
            </w:r>
          </w:p>
          <w:p>
            <w:pPr>
              <w:rPr>
                <w:rFonts w:ascii="楷体" w:hAnsi="楷体" w:eastAsia="楷体" w:cs="楷体"/>
                <w:szCs w:val="21"/>
              </w:rPr>
            </w:pPr>
            <w:r>
              <w:rPr>
                <w:rFonts w:hint="eastAsia" w:ascii="楷体" w:hAnsi="楷体" w:eastAsia="楷体" w:cs="楷体"/>
                <w:szCs w:val="21"/>
                <w:lang w:val="en-US" w:eastAsia="zh-CN"/>
              </w:rPr>
              <w:t>2</w:t>
            </w:r>
            <w:r>
              <w:rPr>
                <w:rFonts w:hint="eastAsia" w:ascii="楷体" w:hAnsi="楷体" w:eastAsia="楷体" w:cs="楷体"/>
                <w:szCs w:val="21"/>
              </w:rPr>
              <w:t>、资产管理有待加强。强化监督部门的职责意识，对财务管理机制进行调整与规范，确保各单位能够严格按照财务管理机制开展业务。</w:t>
            </w:r>
          </w:p>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85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val="en-US" w:eastAsia="zh-CN"/>
        </w:rPr>
        <w:t>段希鹏</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18274386229</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21</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hint="eastAsia" w:ascii="黑体" w:hAnsi="黑体" w:eastAsia="黑体" w:cs="黑体"/>
          <w:b/>
          <w:bCs w:val="0"/>
          <w:kern w:val="0"/>
          <w:sz w:val="36"/>
          <w:szCs w:val="36"/>
          <w:lang w:val="en-US" w:eastAsia="zh-CN"/>
        </w:rPr>
      </w:pPr>
      <w:r>
        <w:rPr>
          <w:rFonts w:hint="eastAsia" w:ascii="黑体" w:hAnsi="黑体" w:eastAsia="黑体" w:cs="黑体"/>
          <w:b/>
          <w:bCs w:val="0"/>
          <w:kern w:val="0"/>
          <w:sz w:val="36"/>
          <w:szCs w:val="36"/>
          <w:lang w:val="en-US" w:eastAsia="zh-CN"/>
        </w:rPr>
        <w:t>隆回县麻塘山乡人民政府</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lang w:val="en-US" w:eastAsia="zh-CN"/>
        </w:rPr>
        <w:t>2021年度</w:t>
      </w: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lang w:eastAsia="zh-CN"/>
        </w:rPr>
        <w:t>麻塘山乡</w:t>
      </w:r>
      <w:r>
        <w:rPr>
          <w:rFonts w:hint="eastAsia" w:eastAsia="仿宋_GB2312"/>
          <w:sz w:val="32"/>
          <w:szCs w:val="32"/>
        </w:rPr>
        <w:t>人民政府编制人数</w:t>
      </w:r>
      <w:r>
        <w:rPr>
          <w:rFonts w:hint="eastAsia" w:eastAsia="仿宋_GB2312"/>
          <w:sz w:val="32"/>
          <w:szCs w:val="32"/>
          <w:lang w:val="en-US" w:eastAsia="zh-CN"/>
        </w:rPr>
        <w:t>64</w:t>
      </w:r>
      <w:r>
        <w:rPr>
          <w:rFonts w:hint="eastAsia" w:eastAsia="仿宋_GB2312"/>
          <w:sz w:val="32"/>
          <w:szCs w:val="32"/>
        </w:rPr>
        <w:t>人</w:t>
      </w:r>
      <w:r>
        <w:rPr>
          <w:rFonts w:hint="eastAsia" w:eastAsia="仿宋_GB2312"/>
          <w:sz w:val="32"/>
          <w:szCs w:val="32"/>
          <w:lang w:eastAsia="zh-CN"/>
        </w:rPr>
        <w:t>，实际人数</w:t>
      </w:r>
      <w:r>
        <w:rPr>
          <w:rFonts w:hint="eastAsia" w:eastAsia="仿宋_GB2312"/>
          <w:sz w:val="32"/>
          <w:szCs w:val="32"/>
          <w:lang w:val="en-US" w:eastAsia="zh-CN"/>
        </w:rPr>
        <w:t>52</w:t>
      </w:r>
      <w:r>
        <w:rPr>
          <w:rFonts w:hint="eastAsia" w:eastAsia="仿宋_GB2312"/>
          <w:sz w:val="32"/>
          <w:szCs w:val="32"/>
          <w:lang w:eastAsia="zh-CN"/>
        </w:rPr>
        <w:t>人，。小车编制数1台，实际1台，房屋面积</w:t>
      </w:r>
      <w:r>
        <w:rPr>
          <w:rFonts w:hint="eastAsia" w:eastAsia="仿宋_GB2312"/>
          <w:sz w:val="32"/>
          <w:szCs w:val="32"/>
          <w:lang w:val="en-US" w:eastAsia="zh-CN"/>
        </w:rPr>
        <w:t>3880</w:t>
      </w:r>
      <w:r>
        <w:rPr>
          <w:rFonts w:hint="eastAsia" w:eastAsia="仿宋_GB2312"/>
          <w:sz w:val="32"/>
          <w:szCs w:val="32"/>
          <w:lang w:eastAsia="zh-CN"/>
        </w:rPr>
        <w:t>平方米。麻塘山乡人民政府下设六个内设机构：党政综合办公室、基层党建办公室、经济发展办公室、社会事务办公室、社会治安和应急管理办公室、自然资源和生态环境办公室，一个执法机构：行政综合执法大队，四个直属事业单位：社会事务综合服务中心、农业综合服务中心、政务服务中心、退役军人服务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1、宣传和贯彻执行党的路线方针政策和法律法规；制定地方经济社会发展规划和年度计划并组织实施；坚持依法行政，推进民主政治，加强基层政权建设；做好农业、农村、农民和社区工作。2、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3、规范经济管理，组织指导经济发展和经济结构调整；加强综合生产能力建设；健全社会化服务体系，完善产业支持保护体系，推进产业现代化；着力提升经济发展的质量和水平，发展壮大村级集体经济，增加村（居）民收入，不断提高人民生活水平。4、加强社会管理和基础设施建设，创造良好环境。推进政务、村（居）务公开；抓好卫生健康、人口计划生育工作，保障妇女儿童合法权益；加强自然资源管理、生态环境保护和修复等工作；加强人民武装、民族宗教等工作；强化安全生产和公共安全，组织抢险救灾、优抚救助，及时上报和处置重大社情、疫情、险情等，保护人民群众的生命财产安全。5、发展公益事业，强化公共服务。搞好公共设施建设，开展社会保障服务，着力解决群众生产生活中的问题；发展科教文卫事业，促进精神文明建设；制订公共服务事项目录清单，加强公共服务体系建设。6、加强综合治理，维护社会稳定。调解民事纠纷、化解社会矛盾，接待上访群众，处理群体性突发事件，保证社会公正，维护社会秩序和社会稳定。指导村民自治，推动农村社会建设，促进社会组织健康发展，增强社会自治功能。7、按照管理权限，负责机关和事业单位工作人员的教育、培养、选拔和监督工作。协助管理好派驻单位人员。8、依法依规承担下放的经济社会管理权限和行政执法事项。9、行使《中华人民共和国地方各级人民代表大会和地方各级人民政府组织法》等法律法规赋予的职权。10、完成县委、县政府交办的其它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（三）部门整体支出情况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202</w:t>
      </w:r>
      <w:r>
        <w:rPr>
          <w:rFonts w:hint="eastAsia" w:eastAsia="仿宋_GB2312"/>
          <w:sz w:val="32"/>
          <w:szCs w:val="32"/>
          <w:lang w:val="en-US" w:eastAsia="zh-CN"/>
        </w:rPr>
        <w:t>1</w:t>
      </w:r>
      <w:r>
        <w:rPr>
          <w:rFonts w:hint="eastAsia" w:eastAsia="仿宋_GB2312"/>
          <w:sz w:val="32"/>
          <w:szCs w:val="32"/>
          <w:lang w:eastAsia="zh-CN"/>
        </w:rPr>
        <w:t>年度决算支出为</w:t>
      </w:r>
      <w:r>
        <w:rPr>
          <w:rFonts w:hint="eastAsia" w:eastAsia="仿宋_GB2312"/>
          <w:sz w:val="32"/>
          <w:szCs w:val="32"/>
          <w:lang w:val="en-US" w:eastAsia="zh-CN"/>
        </w:rPr>
        <w:t>1304.15</w:t>
      </w:r>
      <w:r>
        <w:rPr>
          <w:rFonts w:hint="eastAsia" w:eastAsia="仿宋_GB2312"/>
          <w:sz w:val="32"/>
          <w:szCs w:val="32"/>
          <w:lang w:eastAsia="zh-CN"/>
        </w:rPr>
        <w:t>万元,其中：一般公共服务支出</w:t>
      </w:r>
      <w:r>
        <w:rPr>
          <w:rFonts w:hint="eastAsia" w:eastAsia="仿宋_GB2312"/>
          <w:sz w:val="32"/>
          <w:szCs w:val="32"/>
          <w:lang w:val="en-US" w:eastAsia="zh-CN"/>
        </w:rPr>
        <w:t>384.87</w:t>
      </w:r>
      <w:r>
        <w:rPr>
          <w:rFonts w:hint="eastAsia" w:eastAsia="仿宋_GB2312"/>
          <w:sz w:val="32"/>
          <w:szCs w:val="32"/>
          <w:lang w:eastAsia="zh-CN"/>
        </w:rPr>
        <w:t>万元，社会保障和就业支出</w:t>
      </w:r>
      <w:r>
        <w:rPr>
          <w:rFonts w:hint="eastAsia" w:eastAsia="仿宋_GB2312"/>
          <w:sz w:val="32"/>
          <w:szCs w:val="32"/>
          <w:lang w:val="en-US" w:eastAsia="zh-CN"/>
        </w:rPr>
        <w:t>7.80</w:t>
      </w:r>
      <w:r>
        <w:rPr>
          <w:rFonts w:hint="eastAsia" w:eastAsia="仿宋_GB2312"/>
          <w:sz w:val="32"/>
          <w:szCs w:val="32"/>
          <w:lang w:eastAsia="zh-CN"/>
        </w:rPr>
        <w:t>万元，卫生健康支出</w:t>
      </w:r>
      <w:r>
        <w:rPr>
          <w:rFonts w:hint="eastAsia" w:eastAsia="仿宋_GB2312"/>
          <w:sz w:val="32"/>
          <w:szCs w:val="32"/>
          <w:lang w:val="en-US" w:eastAsia="zh-CN"/>
        </w:rPr>
        <w:t>3.45</w:t>
      </w:r>
      <w:r>
        <w:rPr>
          <w:rFonts w:hint="eastAsia" w:eastAsia="仿宋_GB2312"/>
          <w:sz w:val="32"/>
          <w:szCs w:val="32"/>
          <w:lang w:eastAsia="zh-CN"/>
        </w:rPr>
        <w:t>万元，城乡社区支出</w:t>
      </w:r>
      <w:r>
        <w:rPr>
          <w:rFonts w:hint="eastAsia" w:eastAsia="仿宋_GB2312"/>
          <w:sz w:val="32"/>
          <w:szCs w:val="32"/>
          <w:lang w:val="en-US" w:eastAsia="zh-CN"/>
        </w:rPr>
        <w:t>9.92</w:t>
      </w:r>
      <w:r>
        <w:rPr>
          <w:rFonts w:hint="eastAsia" w:eastAsia="仿宋_GB2312"/>
          <w:sz w:val="32"/>
          <w:szCs w:val="32"/>
          <w:lang w:eastAsia="zh-CN"/>
        </w:rPr>
        <w:t>万元，农林水支出</w:t>
      </w:r>
      <w:r>
        <w:rPr>
          <w:rFonts w:hint="eastAsia" w:eastAsia="仿宋_GB2312"/>
          <w:sz w:val="32"/>
          <w:szCs w:val="32"/>
          <w:lang w:val="en-US" w:eastAsia="zh-CN"/>
        </w:rPr>
        <w:t>805.10</w:t>
      </w:r>
      <w:r>
        <w:rPr>
          <w:rFonts w:hint="eastAsia" w:eastAsia="仿宋_GB2312"/>
          <w:sz w:val="32"/>
          <w:szCs w:val="32"/>
          <w:lang w:eastAsia="zh-CN"/>
        </w:rPr>
        <w:t>万元，</w:t>
      </w:r>
      <w:r>
        <w:rPr>
          <w:rFonts w:hint="eastAsia" w:eastAsia="仿宋_GB2312"/>
          <w:sz w:val="32"/>
          <w:szCs w:val="32"/>
          <w:lang w:val="en-US" w:eastAsia="zh-CN"/>
        </w:rPr>
        <w:t>交通运输支出93.01万元</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202</w:t>
      </w:r>
      <w:r>
        <w:rPr>
          <w:rFonts w:hint="eastAsia" w:eastAsia="仿宋_GB2312"/>
          <w:sz w:val="32"/>
          <w:szCs w:val="32"/>
          <w:lang w:val="en-US" w:eastAsia="zh-CN"/>
        </w:rPr>
        <w:t>1</w:t>
      </w:r>
      <w:r>
        <w:rPr>
          <w:rFonts w:hint="eastAsia" w:eastAsia="仿宋_GB2312"/>
          <w:sz w:val="32"/>
          <w:szCs w:val="32"/>
          <w:lang w:eastAsia="zh-CN"/>
        </w:rPr>
        <w:t>年度决算数为</w:t>
      </w:r>
      <w:r>
        <w:rPr>
          <w:rFonts w:hint="eastAsia" w:eastAsia="仿宋_GB2312"/>
          <w:sz w:val="32"/>
          <w:szCs w:val="32"/>
          <w:lang w:val="en-US" w:eastAsia="zh-CN"/>
        </w:rPr>
        <w:t>1304.15</w:t>
      </w:r>
      <w:r>
        <w:rPr>
          <w:rFonts w:hint="eastAsia" w:eastAsia="仿宋_GB2312"/>
          <w:sz w:val="32"/>
          <w:szCs w:val="32"/>
          <w:lang w:eastAsia="zh-CN"/>
        </w:rPr>
        <w:t>万元，其中：人员经费</w:t>
      </w:r>
      <w:r>
        <w:rPr>
          <w:rFonts w:hint="eastAsia" w:eastAsia="仿宋_GB2312"/>
          <w:sz w:val="32"/>
          <w:szCs w:val="32"/>
          <w:lang w:val="en-US" w:eastAsia="zh-CN"/>
        </w:rPr>
        <w:t>592.16</w:t>
      </w:r>
      <w:r>
        <w:rPr>
          <w:rFonts w:hint="eastAsia" w:eastAsia="仿宋_GB2312"/>
          <w:sz w:val="32"/>
          <w:szCs w:val="32"/>
          <w:lang w:eastAsia="zh-CN"/>
        </w:rPr>
        <w:t>万元，日常公用经费</w:t>
      </w:r>
      <w:r>
        <w:rPr>
          <w:rFonts w:hint="eastAsia" w:eastAsia="仿宋_GB2312"/>
          <w:sz w:val="32"/>
          <w:szCs w:val="32"/>
          <w:lang w:val="en-US" w:eastAsia="zh-CN"/>
        </w:rPr>
        <w:t>220.80</w:t>
      </w:r>
      <w:r>
        <w:rPr>
          <w:rFonts w:hint="eastAsia" w:eastAsia="仿宋_GB2312"/>
          <w:sz w:val="32"/>
          <w:szCs w:val="32"/>
          <w:lang w:eastAsia="zh-CN"/>
        </w:rPr>
        <w:t>万元。是指为保障单位机构</w:t>
      </w:r>
      <w:r>
        <w:rPr>
          <w:rFonts w:hint="eastAsia" w:eastAsia="仿宋_GB2312"/>
          <w:sz w:val="32"/>
          <w:szCs w:val="32"/>
          <w:lang w:val="en-US" w:eastAsia="zh-CN"/>
        </w:rPr>
        <w:t>和村级组织</w:t>
      </w:r>
      <w:r>
        <w:rPr>
          <w:rFonts w:hint="eastAsia" w:eastAsia="仿宋_GB2312"/>
          <w:sz w:val="32"/>
          <w:szCs w:val="32"/>
          <w:lang w:eastAsia="zh-CN"/>
        </w:rPr>
        <w:t>正常运转、完成日常工作任务而发生的各项支出，包括用于基本工资、津贴补贴、</w:t>
      </w:r>
      <w:r>
        <w:rPr>
          <w:rFonts w:hint="eastAsia" w:eastAsia="仿宋_GB2312"/>
          <w:sz w:val="32"/>
          <w:szCs w:val="32"/>
          <w:lang w:val="en-US" w:eastAsia="zh-CN"/>
        </w:rPr>
        <w:t>村干部工资</w:t>
      </w:r>
      <w:r>
        <w:rPr>
          <w:rFonts w:hint="eastAsia" w:eastAsia="仿宋_GB2312"/>
          <w:sz w:val="32"/>
          <w:szCs w:val="32"/>
          <w:lang w:eastAsia="zh-CN"/>
        </w:rPr>
        <w:t>等人员经费</w:t>
      </w:r>
      <w:r>
        <w:rPr>
          <w:rFonts w:hint="eastAsia" w:eastAsia="仿宋_GB2312"/>
          <w:sz w:val="32"/>
          <w:szCs w:val="32"/>
          <w:lang w:val="en-US" w:eastAsia="zh-CN"/>
        </w:rPr>
        <w:t>和</w:t>
      </w:r>
      <w:r>
        <w:rPr>
          <w:rFonts w:hint="eastAsia" w:eastAsia="仿宋_GB2312"/>
          <w:sz w:val="32"/>
          <w:szCs w:val="32"/>
          <w:lang w:eastAsia="zh-CN"/>
        </w:rPr>
        <w:t>办公费、印刷费、水电费及办公设备购置等日常公用经费</w:t>
      </w:r>
      <w:r>
        <w:rPr>
          <w:rFonts w:hint="eastAsia" w:eastAsia="仿宋_GB2312"/>
          <w:sz w:val="32"/>
          <w:szCs w:val="32"/>
          <w:lang w:val="en-US" w:eastAsia="zh-CN"/>
        </w:rPr>
        <w:t>以及村级运转经费</w:t>
      </w:r>
      <w:r>
        <w:rPr>
          <w:rFonts w:hint="eastAsia"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202</w:t>
      </w:r>
      <w:r>
        <w:rPr>
          <w:rFonts w:hint="eastAsia" w:eastAsia="仿宋_GB2312"/>
          <w:sz w:val="32"/>
          <w:szCs w:val="32"/>
          <w:lang w:val="en-US" w:eastAsia="zh-CN"/>
        </w:rPr>
        <w:t>1</w:t>
      </w:r>
      <w:r>
        <w:rPr>
          <w:rFonts w:hint="eastAsia" w:eastAsia="仿宋_GB2312"/>
          <w:sz w:val="32"/>
          <w:szCs w:val="32"/>
          <w:lang w:eastAsia="zh-CN"/>
        </w:rPr>
        <w:t>年年度决算数为</w:t>
      </w:r>
      <w:r>
        <w:rPr>
          <w:rFonts w:hint="eastAsia" w:eastAsia="仿宋_GB2312"/>
          <w:sz w:val="32"/>
          <w:szCs w:val="32"/>
          <w:lang w:val="en-US" w:eastAsia="zh-CN"/>
        </w:rPr>
        <w:t>491.19</w:t>
      </w:r>
      <w:r>
        <w:rPr>
          <w:rFonts w:hint="eastAsia" w:eastAsia="仿宋_GB2312"/>
          <w:sz w:val="32"/>
          <w:szCs w:val="32"/>
          <w:lang w:eastAsia="zh-CN"/>
        </w:rPr>
        <w:t>万元，是指单位为完成选定行政工作或事业发展目标而发生的支出，包括有关事业发展专项、专项业务费、基本建设支出</w:t>
      </w:r>
      <w:r>
        <w:rPr>
          <w:rFonts w:hint="eastAsia" w:eastAsia="仿宋_GB2312"/>
          <w:sz w:val="32"/>
          <w:szCs w:val="32"/>
          <w:lang w:val="en-US" w:eastAsia="zh-CN"/>
        </w:rPr>
        <w:t>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sz w:val="32"/>
          <w:szCs w:val="32"/>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1．因公出国（境）费用</w:t>
      </w:r>
      <w:r>
        <w:rPr>
          <w:rFonts w:hint="eastAsia" w:eastAsia="仿宋_GB2312"/>
          <w:sz w:val="32"/>
          <w:szCs w:val="32"/>
          <w:lang w:val="en-US" w:eastAsia="zh-CN"/>
        </w:rPr>
        <w:t>0万元</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2．公务接待费</w:t>
      </w:r>
      <w:r>
        <w:rPr>
          <w:rFonts w:hint="eastAsia" w:eastAsia="仿宋_GB2312"/>
          <w:sz w:val="32"/>
          <w:szCs w:val="32"/>
          <w:lang w:val="en-US" w:eastAsia="zh-CN"/>
        </w:rPr>
        <w:t>4.99万元</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lang w:eastAsia="zh-CN"/>
        </w:rPr>
        <w:t>3．公务用车购置及运行费</w:t>
      </w:r>
      <w:r>
        <w:rPr>
          <w:rFonts w:hint="eastAsia" w:eastAsia="仿宋_GB2312"/>
          <w:sz w:val="32"/>
          <w:szCs w:val="32"/>
          <w:lang w:val="en-US" w:eastAsia="zh-CN"/>
        </w:rPr>
        <w:t>5.59万元</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1、</w:t>
      </w:r>
      <w:r>
        <w:rPr>
          <w:rFonts w:hint="default" w:eastAsia="仿宋_GB2312"/>
          <w:sz w:val="32"/>
          <w:szCs w:val="32"/>
          <w:lang w:eastAsia="zh-CN"/>
        </w:rPr>
        <w:t>严格按预算支出，</w:t>
      </w:r>
      <w:r>
        <w:rPr>
          <w:rFonts w:hint="eastAsia" w:eastAsia="仿宋_GB2312"/>
          <w:sz w:val="32"/>
          <w:szCs w:val="32"/>
          <w:lang w:eastAsia="zh-CN"/>
        </w:rPr>
        <w:t>保证专款专用，</w:t>
      </w:r>
      <w:r>
        <w:rPr>
          <w:rFonts w:hint="eastAsia" w:eastAsia="仿宋_GB2312"/>
          <w:sz w:val="32"/>
          <w:szCs w:val="32"/>
          <w:lang w:val="en-US" w:eastAsia="zh-CN"/>
        </w:rPr>
        <w:t>特别是</w:t>
      </w:r>
      <w:r>
        <w:rPr>
          <w:rFonts w:hint="eastAsia" w:eastAsia="仿宋_GB2312"/>
          <w:sz w:val="32"/>
          <w:szCs w:val="32"/>
          <w:lang w:eastAsia="zh-CN"/>
        </w:rPr>
        <w:t>“三公”经费</w:t>
      </w:r>
      <w:r>
        <w:rPr>
          <w:rFonts w:hint="eastAsia" w:eastAsia="仿宋_GB2312"/>
          <w:sz w:val="32"/>
          <w:szCs w:val="32"/>
          <w:lang w:val="en-US" w:eastAsia="zh-CN"/>
        </w:rPr>
        <w:t>的</w:t>
      </w:r>
      <w:r>
        <w:rPr>
          <w:rFonts w:hint="eastAsia" w:eastAsia="仿宋_GB2312"/>
          <w:sz w:val="32"/>
          <w:szCs w:val="32"/>
          <w:lang w:eastAsia="zh-CN"/>
        </w:rPr>
        <w:t>审批和控制，收入支出严格按账务管理制度执行，</w:t>
      </w:r>
      <w:r>
        <w:rPr>
          <w:rFonts w:hint="default" w:eastAsia="仿宋_GB2312"/>
          <w:sz w:val="32"/>
          <w:szCs w:val="32"/>
          <w:lang w:eastAsia="zh-CN"/>
        </w:rPr>
        <w:t>全年总支出未超过年初预算</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eastAsia="zh-CN"/>
        </w:rPr>
      </w:pPr>
      <w:r>
        <w:rPr>
          <w:rFonts w:hint="eastAsia" w:eastAsia="仿宋_GB2312"/>
          <w:sz w:val="32"/>
          <w:szCs w:val="32"/>
          <w:lang w:val="en-US" w:eastAsia="zh-CN"/>
        </w:rPr>
        <w:t>2、</w:t>
      </w:r>
      <w:r>
        <w:rPr>
          <w:rFonts w:hint="default" w:eastAsia="仿宋_GB2312"/>
          <w:sz w:val="32"/>
          <w:szCs w:val="32"/>
          <w:lang w:eastAsia="zh-CN"/>
        </w:rPr>
        <w:t>根据实际需求，按时支付各项支出。保证了</w:t>
      </w:r>
      <w:r>
        <w:rPr>
          <w:rFonts w:hint="eastAsia" w:eastAsia="仿宋_GB2312"/>
          <w:sz w:val="32"/>
          <w:szCs w:val="32"/>
          <w:lang w:val="en-US" w:eastAsia="zh-CN"/>
        </w:rPr>
        <w:t>乡</w:t>
      </w:r>
      <w:r>
        <w:rPr>
          <w:rFonts w:hint="default" w:eastAsia="仿宋_GB2312"/>
          <w:sz w:val="32"/>
          <w:szCs w:val="32"/>
          <w:lang w:eastAsia="zh-CN"/>
        </w:rPr>
        <w:t>政府各项工作的正常运转和相关人员的福利待遇，完成质量基本达到绩效目标</w:t>
      </w:r>
      <w:r>
        <w:rPr>
          <w:rFonts w:hint="eastAsia" w:eastAsia="仿宋_GB2312"/>
          <w:sz w:val="32"/>
          <w:szCs w:val="32"/>
          <w:lang w:eastAsia="zh-CN"/>
        </w:rPr>
        <w:t>，非税收入</w:t>
      </w:r>
      <w:r>
        <w:rPr>
          <w:rFonts w:hint="eastAsia" w:eastAsia="仿宋_GB2312"/>
          <w:sz w:val="32"/>
          <w:szCs w:val="32"/>
          <w:lang w:val="en-US" w:eastAsia="zh-CN"/>
        </w:rPr>
        <w:t>也</w:t>
      </w:r>
      <w:r>
        <w:rPr>
          <w:rFonts w:hint="eastAsia" w:eastAsia="仿宋_GB2312"/>
          <w:sz w:val="32"/>
          <w:szCs w:val="32"/>
          <w:lang w:eastAsia="zh-CN"/>
        </w:rPr>
        <w:t>按时按量完成</w:t>
      </w:r>
      <w:r>
        <w:rPr>
          <w:rFonts w:hint="default"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3、</w:t>
      </w:r>
      <w:r>
        <w:rPr>
          <w:rFonts w:hint="eastAsia" w:eastAsia="仿宋_GB2312"/>
          <w:sz w:val="32"/>
          <w:szCs w:val="32"/>
          <w:lang w:eastAsia="zh-CN"/>
        </w:rPr>
        <w:t xml:space="preserve">加强乡财政信息化建设，按照县乡财局的安排及时将农民补贴数据进行更新，将耕地保护补贴、退耕还林、低保、优抚、生态效益林补贴等各种涉农补贴及时发放到了农户手中。   </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1、预算编制有待细化。预算编制不够明确和细化，预算编制的合理性需要提高，预算执行力度还要进一步加强。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2、随着对预、决算编制工作水平要求越来越高，数据编制要求越来越精准、规范；时间紧、任务大；加之现行决算工作与实际账务处理工作间衔接还存在一定差异；会计人员业务明显增加，人员紧缺，实际操作压力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3、资产管理有待加强。强化监督部门的职责意识，对财务管理机制进行调整与规范，确保各单位能够严格按照财务管理机制开展业务。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4、收支矛盾突出，每年的绩效考核、专项奖励未进预算经费，大大增加了单位的支出压力。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sz w:val="32"/>
          <w:szCs w:val="32"/>
        </w:rPr>
      </w:pPr>
      <w:r>
        <w:rPr>
          <w:rFonts w:hint="eastAsia" w:ascii="黑体" w:hAnsi="黑体" w:eastAsia="黑体"/>
          <w:b/>
          <w:bCs/>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1、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2、加强财务管理，认真学习政策。一方面加强单位财务管理，健全单位财务管理制度体系，规范单位财务行为；另一方面加强政策学习，提高思想认识。组织相关人员认真学习《预算法》等相关法规、制度，进一步提高单位领导对财务管理的思想认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3、完善资产管理，抓好“三公”经费控制。严格编制政府采购计划，规范各类资产的购置审批、采购、使用管理、处置和报废、管理岗位职责等制度，加强单位内部的资产管理工作。严格控制“三公”经费的规模和比例，把关“三公”经费支出的审核、审批，杜绝挪用和挤占其他预算资金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4、合理安排会计岗位，适当增加会计人员，增加业务知识培训，加强决算工作与账务处理工作衔接。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lang w:val="en-US" w:eastAsia="zh-CN"/>
        </w:rPr>
        <w:t>5、增加预算，控制支出。一是增加干部职工绩效考核奖；二是增加信访维稳工作经费；三是增加基础教育、公共卫生补助发展资金。</w:t>
      </w:r>
    </w:p>
    <w:p>
      <w:pPr>
        <w:pStyle w:val="2"/>
        <w:ind w:left="0" w:leftChars="0" w:firstLine="0" w:firstLineChars="0"/>
        <w:rPr>
          <w:rFonts w:hint="eastAsia"/>
          <w:lang w:eastAsia="zh-CN"/>
        </w:rPr>
      </w:pPr>
    </w:p>
    <w:p>
      <w:pPr>
        <w:pStyle w:val="2"/>
        <w:ind w:firstLine="5120" w:firstLineChars="1600"/>
        <w:jc w:val="both"/>
        <w:rPr>
          <w:rFonts w:hint="eastAsia" w:eastAsia="仿宋_GB2312"/>
          <w:sz w:val="32"/>
          <w:szCs w:val="32"/>
          <w:lang w:val="en-US" w:eastAsia="zh-CN"/>
        </w:rPr>
      </w:pPr>
      <w:r>
        <w:rPr>
          <w:rFonts w:hint="eastAsia" w:eastAsia="仿宋_GB2312"/>
          <w:sz w:val="32"/>
          <w:szCs w:val="32"/>
          <w:lang w:val="en-US" w:eastAsia="zh-CN"/>
        </w:rPr>
        <w:t>隆回县麻塘山乡人民政府</w:t>
      </w:r>
    </w:p>
    <w:p>
      <w:pPr>
        <w:wordWrap w:val="0"/>
        <w:jc w:val="center"/>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2022年4月2</w:t>
      </w:r>
      <w:r>
        <w:rPr>
          <w:rFonts w:hint="eastAsia"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 xml:space="preserve">日  </w:t>
      </w: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CCFBC"/>
    <w:multiLevelType w:val="singleLevel"/>
    <w:tmpl w:val="C97CCFBC"/>
    <w:lvl w:ilvl="0" w:tentative="0">
      <w:start w:val="2"/>
      <w:numFmt w:val="chineseCounting"/>
      <w:suff w:val="nothing"/>
      <w:lvlText w:val="（%1）"/>
      <w:lvlJc w:val="left"/>
      <w:rPr>
        <w:rFonts w:hint="eastAsia"/>
      </w:rPr>
    </w:lvl>
  </w:abstractNum>
  <w:abstractNum w:abstractNumId="1">
    <w:nsid w:val="250906CA"/>
    <w:multiLevelType w:val="singleLevel"/>
    <w:tmpl w:val="250906C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538B0"/>
    <w:rsid w:val="01600BAC"/>
    <w:rsid w:val="018E17F6"/>
    <w:rsid w:val="02E1151B"/>
    <w:rsid w:val="032D6198"/>
    <w:rsid w:val="09862E1C"/>
    <w:rsid w:val="09D347BB"/>
    <w:rsid w:val="0A686BF6"/>
    <w:rsid w:val="0F39623B"/>
    <w:rsid w:val="117C2E73"/>
    <w:rsid w:val="11E9622E"/>
    <w:rsid w:val="12607728"/>
    <w:rsid w:val="13113C31"/>
    <w:rsid w:val="13C57FC2"/>
    <w:rsid w:val="13D90690"/>
    <w:rsid w:val="13EB2DF0"/>
    <w:rsid w:val="1767588B"/>
    <w:rsid w:val="18D538B0"/>
    <w:rsid w:val="18E032C2"/>
    <w:rsid w:val="1BED2887"/>
    <w:rsid w:val="1C142509"/>
    <w:rsid w:val="1C9F7BCD"/>
    <w:rsid w:val="1CCF110C"/>
    <w:rsid w:val="1E301AE7"/>
    <w:rsid w:val="20847DE0"/>
    <w:rsid w:val="21B552CB"/>
    <w:rsid w:val="2483632E"/>
    <w:rsid w:val="249266C1"/>
    <w:rsid w:val="25B05D49"/>
    <w:rsid w:val="25C6698E"/>
    <w:rsid w:val="2A5E3D3D"/>
    <w:rsid w:val="2A706BB3"/>
    <w:rsid w:val="2C2B5641"/>
    <w:rsid w:val="2D555B94"/>
    <w:rsid w:val="2E2B5E45"/>
    <w:rsid w:val="2E515D05"/>
    <w:rsid w:val="2FC02FA6"/>
    <w:rsid w:val="2FCD4A51"/>
    <w:rsid w:val="2FF745A3"/>
    <w:rsid w:val="308E3DFE"/>
    <w:rsid w:val="30D81900"/>
    <w:rsid w:val="316450AF"/>
    <w:rsid w:val="335115F0"/>
    <w:rsid w:val="3546366F"/>
    <w:rsid w:val="357070B5"/>
    <w:rsid w:val="36CD5635"/>
    <w:rsid w:val="37AB5678"/>
    <w:rsid w:val="37EB3CC7"/>
    <w:rsid w:val="38FC7F68"/>
    <w:rsid w:val="3A754CC9"/>
    <w:rsid w:val="3BEA370A"/>
    <w:rsid w:val="3C2B322B"/>
    <w:rsid w:val="3E391C30"/>
    <w:rsid w:val="3ECD3124"/>
    <w:rsid w:val="3F9A003D"/>
    <w:rsid w:val="40F164D7"/>
    <w:rsid w:val="4112379E"/>
    <w:rsid w:val="41354204"/>
    <w:rsid w:val="41D57EC1"/>
    <w:rsid w:val="433836AC"/>
    <w:rsid w:val="4355293C"/>
    <w:rsid w:val="442F7757"/>
    <w:rsid w:val="44F3240C"/>
    <w:rsid w:val="475F4422"/>
    <w:rsid w:val="4874505C"/>
    <w:rsid w:val="49136AFE"/>
    <w:rsid w:val="49201968"/>
    <w:rsid w:val="4BB02E05"/>
    <w:rsid w:val="4BB905DA"/>
    <w:rsid w:val="4BF70576"/>
    <w:rsid w:val="4C4243A5"/>
    <w:rsid w:val="4E0B709E"/>
    <w:rsid w:val="507C62DD"/>
    <w:rsid w:val="52065B6D"/>
    <w:rsid w:val="563C6D66"/>
    <w:rsid w:val="565C4B5A"/>
    <w:rsid w:val="578E37A1"/>
    <w:rsid w:val="58C76ABA"/>
    <w:rsid w:val="635B32B1"/>
    <w:rsid w:val="63671397"/>
    <w:rsid w:val="63AD5DD7"/>
    <w:rsid w:val="65ED7F30"/>
    <w:rsid w:val="679A69EC"/>
    <w:rsid w:val="689E69B8"/>
    <w:rsid w:val="68DF23A7"/>
    <w:rsid w:val="69DA3A17"/>
    <w:rsid w:val="6A522671"/>
    <w:rsid w:val="6A803DE7"/>
    <w:rsid w:val="6ACB22C2"/>
    <w:rsid w:val="6C6A0E2B"/>
    <w:rsid w:val="6C801864"/>
    <w:rsid w:val="6CAC1DDC"/>
    <w:rsid w:val="6E294C8E"/>
    <w:rsid w:val="6E615BFD"/>
    <w:rsid w:val="6F221080"/>
    <w:rsid w:val="6F711CE6"/>
    <w:rsid w:val="74075424"/>
    <w:rsid w:val="767C2482"/>
    <w:rsid w:val="78853E63"/>
    <w:rsid w:val="7908744B"/>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Calibri" w:hAnsi="Calibri" w:cs="宋体"/>
      <w:kern w:val="0"/>
      <w:sz w:val="24"/>
    </w:rPr>
  </w:style>
  <w:style w:type="character" w:styleId="10">
    <w:name w:val="page number"/>
    <w:basedOn w:val="9"/>
    <w:qFormat/>
    <w:uiPriority w:val="0"/>
  </w:style>
  <w:style w:type="paragraph" w:customStyle="1" w:styleId="11">
    <w:name w:val="BodyText1I2"/>
    <w:basedOn w:val="12"/>
    <w:qFormat/>
    <w:uiPriority w:val="0"/>
    <w:pPr>
      <w:spacing w:line="660" w:lineRule="exact"/>
      <w:ind w:firstLine="420" w:firstLineChars="200"/>
      <w:jc w:val="both"/>
    </w:pPr>
    <w:rPr>
      <w:rFonts w:ascii="Times New Roman" w:hAnsi="Times New Roman" w:eastAsia="宋体"/>
      <w:kern w:val="0"/>
      <w:sz w:val="32"/>
      <w:szCs w:val="32"/>
      <w:lang w:val="en-US" w:eastAsia="zh-CN" w:bidi="ar-SA"/>
    </w:rPr>
  </w:style>
  <w:style w:type="paragraph" w:customStyle="1" w:styleId="12">
    <w:name w:val="BodyTextIndent"/>
    <w:basedOn w:val="1"/>
    <w:qFormat/>
    <w:uiPriority w:val="0"/>
    <w:pPr>
      <w:spacing w:line="660" w:lineRule="exact"/>
      <w:ind w:firstLine="645"/>
      <w:jc w:val="both"/>
    </w:pPr>
    <w:rPr>
      <w:rFonts w:ascii="??_GB2312" w:hAnsi="Times New Roman" w:eastAsia="Times New Roman"/>
      <w:kern w:val="0"/>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4520</Words>
  <Characters>4752</Characters>
  <Lines>0</Lines>
  <Paragraphs>0</Paragraphs>
  <TotalTime>11</TotalTime>
  <ScaleCrop>false</ScaleCrop>
  <LinksUpToDate>false</LinksUpToDate>
  <CharactersWithSpaces>4884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2022-04-21T09:45:39Z</cp:lastPrinted>
  <dcterms:modified xsi:type="dcterms:W3CDTF">2022-04-21T09:49:45Z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FC4AD5B48165493FADE0A0374E14E380</vt:lpwstr>
  </property>
</Properties>
</file>