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0" w:firstLineChars="0"/>
        <w:jc w:val="center"/>
        <w:textAlignment w:val="auto"/>
        <w:rPr>
          <w:rFonts w:hint="eastAsia" w:ascii="方正小标宋_GBK" w:hAnsi="方正小标宋_GBK" w:eastAsia="方正小标宋_GBK" w:cs="方正小标宋_GBK"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0" w:firstLineChars="0"/>
        <w:jc w:val="center"/>
        <w:textAlignment w:val="auto"/>
        <w:rPr>
          <w:rFonts w:hint="eastAsia" w:ascii="方正小标宋_GBK" w:hAnsi="方正小标宋_GBK" w:eastAsia="方正小标宋_GBK" w:cs="方正小标宋_GBK"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0" w:firstLineChars="0"/>
        <w:jc w:val="center"/>
        <w:textAlignment w:val="auto"/>
        <w:rPr>
          <w:rFonts w:hint="eastAsia" w:ascii="方正小标宋_GBK" w:hAnsi="方正小标宋_GBK" w:eastAsia="方正小标宋_GBK" w:cs="方正小标宋_GBK"/>
          <w:sz w:val="44"/>
          <w:szCs w:val="44"/>
        </w:rPr>
      </w:pPr>
    </w:p>
    <w:p>
      <w:pPr>
        <w:ind w:left="0" w:leftChars="0" w:firstLine="0" w:firstLineChars="0"/>
        <w:jc w:val="center"/>
        <w:rPr>
          <w:rFonts w:hint="eastAsia" w:ascii="方正小标宋_GBK" w:hAnsi="方正小标宋_GBK" w:eastAsia="方正小标宋_GBK" w:cs="方正小标宋_GBK"/>
          <w:sz w:val="44"/>
          <w:szCs w:val="44"/>
          <w:lang w:eastAsia="zh-CN"/>
        </w:rPr>
      </w:pPr>
      <w:bookmarkStart w:id="0" w:name="_GoBack"/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隆回县高山油菜试验承担主体遴选方案</w:t>
      </w:r>
    </w:p>
    <w:bookmarkEnd w:id="0"/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6" w:lineRule="exact"/>
        <w:textAlignment w:val="auto"/>
        <w:rPr>
          <w:rFonts w:hint="eastAsi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adjustRightInd/>
        <w:snapToGrid/>
        <w:spacing w:line="586" w:lineRule="exact"/>
        <w:textAlignment w:val="auto"/>
        <w:rPr>
          <w:rFonts w:hint="eastAsia" w:eastAsia="仿宋"/>
          <w:lang w:eastAsia="zh-CN"/>
        </w:rPr>
      </w:pPr>
      <w:r>
        <w:rPr>
          <w:rFonts w:hint="eastAsia"/>
        </w:rPr>
        <w:t>为积极响应国家对农业科技创新的号召，</w:t>
      </w:r>
      <w:r>
        <w:rPr>
          <w:rFonts w:hint="eastAsia"/>
          <w:lang w:val="en-US" w:eastAsia="zh-CN"/>
        </w:rPr>
        <w:t>落实我县2024年菜籽油产油大县奖励资金项目，</w:t>
      </w:r>
      <w:r>
        <w:rPr>
          <w:rFonts w:hint="eastAsia"/>
        </w:rPr>
        <w:t>提高油菜产量和品质，决定设立高山油菜试验示范项目</w:t>
      </w:r>
      <w:r>
        <w:rPr>
          <w:rFonts w:hint="eastAsia"/>
          <w:lang w:eastAsia="zh-CN"/>
        </w:rPr>
        <w:t>，</w:t>
      </w:r>
      <w:r>
        <w:rPr>
          <w:rFonts w:hint="eastAsia"/>
        </w:rPr>
        <w:t>推动高山油菜种植技术的示范与推广。</w:t>
      </w:r>
      <w:r>
        <w:rPr>
          <w:rFonts w:hint="eastAsia"/>
          <w:lang w:val="en-US" w:eastAsia="zh-CN"/>
        </w:rPr>
        <w:t>本方案</w:t>
      </w:r>
      <w:r>
        <w:rPr>
          <w:rFonts w:hint="eastAsia"/>
        </w:rPr>
        <w:t>通过科学合理的遴选程序，确定具有示范推广能力和技术实力的承担主体，以促进高山油菜种植技术</w:t>
      </w:r>
      <w:r>
        <w:rPr>
          <w:rFonts w:hint="eastAsia"/>
          <w:lang w:val="en-US" w:eastAsia="zh-CN"/>
        </w:rPr>
        <w:t>的探索与集成</w:t>
      </w:r>
      <w:r>
        <w:rPr>
          <w:rFonts w:hint="eastAsia"/>
        </w:rPr>
        <w:t>，提高农作物经济效益，推动农业可持续发展。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adjustRightInd/>
        <w:snapToGrid/>
        <w:spacing w:line="586" w:lineRule="exact"/>
        <w:textAlignment w:val="auto"/>
        <w:rPr>
          <w:rFonts w:hint="eastAsia" w:ascii="黑体" w:hAnsi="黑体" w:eastAsia="黑体" w:cs="黑体"/>
          <w:lang w:eastAsia="zh-CN"/>
        </w:rPr>
      </w:pPr>
      <w:r>
        <w:rPr>
          <w:rFonts w:hint="eastAsia" w:ascii="黑体" w:hAnsi="黑体" w:eastAsia="黑体" w:cs="黑体"/>
          <w:lang w:val="en-US" w:eastAsia="zh-CN"/>
        </w:rPr>
        <w:t>一</w:t>
      </w:r>
      <w:r>
        <w:rPr>
          <w:rFonts w:hint="eastAsia" w:ascii="黑体" w:hAnsi="黑体" w:eastAsia="黑体" w:cs="黑体"/>
        </w:rPr>
        <w:t>、遴选原则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adjustRightInd/>
        <w:snapToGrid/>
        <w:spacing w:line="586" w:lineRule="exact"/>
        <w:textAlignment w:val="auto"/>
        <w:rPr>
          <w:rFonts w:hint="eastAsia"/>
        </w:rPr>
      </w:pPr>
      <w:r>
        <w:rPr>
          <w:rFonts w:hint="eastAsia" w:ascii="楷体" w:hAnsi="楷体" w:eastAsia="楷体" w:cs="楷体"/>
          <w:b/>
          <w:bCs/>
          <w:lang w:eastAsia="zh-CN"/>
        </w:rPr>
        <w:t>（</w:t>
      </w:r>
      <w:r>
        <w:rPr>
          <w:rFonts w:hint="eastAsia" w:ascii="楷体" w:hAnsi="楷体" w:eastAsia="楷体" w:cs="楷体"/>
          <w:b/>
          <w:bCs/>
          <w:lang w:val="en-US" w:eastAsia="zh-CN"/>
        </w:rPr>
        <w:t>一</w:t>
      </w:r>
      <w:r>
        <w:rPr>
          <w:rFonts w:hint="eastAsia" w:ascii="楷体" w:hAnsi="楷体" w:eastAsia="楷体" w:cs="楷体"/>
          <w:b/>
          <w:bCs/>
          <w:lang w:eastAsia="zh-CN"/>
        </w:rPr>
        <w:t>）</w:t>
      </w:r>
      <w:r>
        <w:rPr>
          <w:rFonts w:hint="eastAsia" w:ascii="楷体" w:hAnsi="楷体" w:eastAsia="楷体" w:cs="楷体"/>
          <w:b/>
          <w:bCs/>
        </w:rPr>
        <w:t>公正、公平、公开：</w:t>
      </w:r>
      <w:r>
        <w:rPr>
          <w:rFonts w:hint="eastAsia"/>
        </w:rPr>
        <w:t>确保遴选过程透明，所有符合条件的主体均有平等参与的机会。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adjustRightInd/>
        <w:snapToGrid/>
        <w:spacing w:line="586" w:lineRule="exact"/>
        <w:textAlignment w:val="auto"/>
        <w:rPr>
          <w:rFonts w:hint="eastAsia"/>
        </w:rPr>
      </w:pPr>
      <w:r>
        <w:rPr>
          <w:rFonts w:hint="eastAsia" w:ascii="楷体" w:hAnsi="楷体" w:eastAsia="楷体" w:cs="楷体"/>
          <w:b/>
          <w:bCs/>
          <w:lang w:eastAsia="zh-CN"/>
        </w:rPr>
        <w:t>（</w:t>
      </w:r>
      <w:r>
        <w:rPr>
          <w:rFonts w:hint="eastAsia" w:ascii="楷体" w:hAnsi="楷体" w:eastAsia="楷体" w:cs="楷体"/>
          <w:b/>
          <w:bCs/>
          <w:lang w:val="en-US" w:eastAsia="zh-CN"/>
        </w:rPr>
        <w:t>二</w:t>
      </w:r>
      <w:r>
        <w:rPr>
          <w:rFonts w:hint="eastAsia" w:ascii="楷体" w:hAnsi="楷体" w:eastAsia="楷体" w:cs="楷体"/>
          <w:b/>
          <w:bCs/>
          <w:lang w:eastAsia="zh-CN"/>
        </w:rPr>
        <w:t>）择优选择：</w:t>
      </w:r>
      <w:r>
        <w:rPr>
          <w:rFonts w:hint="eastAsia"/>
        </w:rPr>
        <w:t>综合考虑申报主体的技术实力、种植经验、管理能力等因素，选择最优秀的承担主体。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adjustRightInd/>
        <w:snapToGrid/>
        <w:spacing w:line="586" w:lineRule="exact"/>
        <w:textAlignment w:val="auto"/>
        <w:rPr>
          <w:rFonts w:hint="eastAsia"/>
        </w:rPr>
      </w:pPr>
      <w:r>
        <w:rPr>
          <w:rFonts w:hint="eastAsia" w:ascii="楷体" w:hAnsi="楷体" w:eastAsia="楷体" w:cs="楷体"/>
          <w:b/>
          <w:bCs/>
          <w:lang w:eastAsia="zh-CN"/>
        </w:rPr>
        <w:t>（</w:t>
      </w:r>
      <w:r>
        <w:rPr>
          <w:rFonts w:hint="eastAsia" w:ascii="楷体" w:hAnsi="楷体" w:eastAsia="楷体" w:cs="楷体"/>
          <w:b/>
          <w:bCs/>
          <w:lang w:val="en-US" w:eastAsia="zh-CN"/>
        </w:rPr>
        <w:t>三</w:t>
      </w:r>
      <w:r>
        <w:rPr>
          <w:rFonts w:hint="eastAsia" w:ascii="楷体" w:hAnsi="楷体" w:eastAsia="楷体" w:cs="楷体"/>
          <w:b/>
          <w:bCs/>
          <w:lang w:eastAsia="zh-CN"/>
        </w:rPr>
        <w:t>）示范带动：</w:t>
      </w:r>
      <w:r>
        <w:rPr>
          <w:rFonts w:hint="eastAsia"/>
        </w:rPr>
        <w:t>承担主体应具备示范推广的能力，能够带动周边农户学习应用新技术。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adjustRightInd/>
        <w:snapToGrid/>
        <w:spacing w:line="586" w:lineRule="exact"/>
        <w:textAlignment w:val="auto"/>
        <w:rPr>
          <w:rFonts w:hint="eastAsia" w:ascii="黑体" w:hAnsi="黑体" w:eastAsia="黑体" w:cs="黑体"/>
          <w:lang w:eastAsia="zh-CN"/>
        </w:rPr>
      </w:pPr>
      <w:r>
        <w:rPr>
          <w:rFonts w:hint="eastAsia" w:ascii="黑体" w:hAnsi="黑体" w:eastAsia="黑体" w:cs="黑体"/>
          <w:lang w:val="en-US" w:eastAsia="zh-CN"/>
        </w:rPr>
        <w:t>二</w:t>
      </w:r>
      <w:r>
        <w:rPr>
          <w:rFonts w:hint="eastAsia" w:ascii="黑体" w:hAnsi="黑体" w:eastAsia="黑体" w:cs="黑体"/>
        </w:rPr>
        <w:t>、遴选条件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adjustRightInd/>
        <w:snapToGrid/>
        <w:spacing w:line="586" w:lineRule="exact"/>
        <w:textAlignment w:val="auto"/>
        <w:rPr>
          <w:rFonts w:hint="eastAsia"/>
        </w:rPr>
      </w:pPr>
      <w:r>
        <w:rPr>
          <w:rFonts w:hint="eastAsia" w:ascii="楷体" w:hAnsi="楷体" w:eastAsia="楷体" w:cs="楷体"/>
          <w:b/>
          <w:bCs/>
          <w:lang w:eastAsia="zh-CN"/>
        </w:rPr>
        <w:t>（</w:t>
      </w:r>
      <w:r>
        <w:rPr>
          <w:rFonts w:hint="eastAsia" w:ascii="楷体" w:hAnsi="楷体" w:eastAsia="楷体" w:cs="楷体"/>
          <w:b/>
          <w:bCs/>
          <w:lang w:val="en-US" w:eastAsia="zh-CN"/>
        </w:rPr>
        <w:t>一</w:t>
      </w:r>
      <w:r>
        <w:rPr>
          <w:rFonts w:hint="eastAsia" w:ascii="楷体" w:hAnsi="楷体" w:eastAsia="楷体" w:cs="楷体"/>
          <w:b/>
          <w:bCs/>
          <w:lang w:eastAsia="zh-CN"/>
        </w:rPr>
        <w:t>）资质要求：</w:t>
      </w:r>
      <w:r>
        <w:rPr>
          <w:rFonts w:hint="eastAsia"/>
        </w:rPr>
        <w:t>申报主体应为在隆回县境内注册的农业企业、农民合作社、家庭农场</w:t>
      </w:r>
      <w:r>
        <w:rPr>
          <w:rFonts w:hint="eastAsia"/>
          <w:lang w:eastAsia="zh-CN"/>
        </w:rPr>
        <w:t>、</w:t>
      </w:r>
      <w:r>
        <w:rPr>
          <w:rFonts w:hint="eastAsia"/>
          <w:lang w:val="en-US" w:eastAsia="zh-CN"/>
        </w:rPr>
        <w:t>村级联合体</w:t>
      </w:r>
      <w:r>
        <w:rPr>
          <w:rFonts w:hint="eastAsia"/>
        </w:rPr>
        <w:t>以及种植大户等主体。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adjustRightInd/>
        <w:snapToGrid/>
        <w:spacing w:line="586" w:lineRule="exact"/>
        <w:textAlignment w:val="auto"/>
        <w:rPr>
          <w:rFonts w:hint="eastAsia"/>
        </w:rPr>
      </w:pPr>
      <w:r>
        <w:rPr>
          <w:rFonts w:hint="eastAsia" w:ascii="楷体" w:hAnsi="楷体" w:eastAsia="楷体" w:cs="楷体"/>
          <w:b/>
          <w:bCs/>
          <w:lang w:eastAsia="zh-CN"/>
        </w:rPr>
        <w:t>（</w:t>
      </w:r>
      <w:r>
        <w:rPr>
          <w:rFonts w:hint="eastAsia" w:ascii="楷体" w:hAnsi="楷体" w:eastAsia="楷体" w:cs="楷体"/>
          <w:b/>
          <w:bCs/>
          <w:lang w:val="en-US" w:eastAsia="zh-CN"/>
        </w:rPr>
        <w:t>二</w:t>
      </w:r>
      <w:r>
        <w:rPr>
          <w:rFonts w:hint="eastAsia" w:ascii="楷体" w:hAnsi="楷体" w:eastAsia="楷体" w:cs="楷体"/>
          <w:b/>
          <w:bCs/>
          <w:lang w:eastAsia="zh-CN"/>
        </w:rPr>
        <w:t>）技术实力：</w:t>
      </w:r>
      <w:r>
        <w:rPr>
          <w:rFonts w:hint="eastAsia"/>
        </w:rPr>
        <w:t>具备高</w:t>
      </w:r>
      <w:r>
        <w:rPr>
          <w:rFonts w:hint="eastAsia"/>
          <w:lang w:val="en-US" w:eastAsia="zh-CN"/>
        </w:rPr>
        <w:t>海拔地区（相对于我县来说，种植地海拔高于1000米即可）</w:t>
      </w:r>
      <w:r>
        <w:rPr>
          <w:rFonts w:hint="eastAsia"/>
        </w:rPr>
        <w:t>种植的相关技术知识和实践经验，能够熟练掌握并应用相关技术，包括油菜品种选择、播期搭配、田间管理等。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adjustRightInd/>
        <w:snapToGrid/>
        <w:spacing w:line="586" w:lineRule="exact"/>
        <w:textAlignment w:val="auto"/>
        <w:rPr>
          <w:rFonts w:hint="eastAsia"/>
        </w:rPr>
      </w:pPr>
      <w:r>
        <w:rPr>
          <w:rFonts w:hint="eastAsia" w:ascii="楷体" w:hAnsi="楷体" w:eastAsia="楷体" w:cs="楷体"/>
          <w:b/>
          <w:bCs/>
          <w:lang w:eastAsia="zh-CN"/>
        </w:rPr>
        <w:t>（</w:t>
      </w:r>
      <w:r>
        <w:rPr>
          <w:rFonts w:hint="eastAsia" w:ascii="楷体" w:hAnsi="楷体" w:eastAsia="楷体" w:cs="楷体"/>
          <w:b/>
          <w:bCs/>
          <w:lang w:val="en-US" w:eastAsia="zh-CN"/>
        </w:rPr>
        <w:t>三</w:t>
      </w:r>
      <w:r>
        <w:rPr>
          <w:rFonts w:hint="eastAsia" w:ascii="楷体" w:hAnsi="楷体" w:eastAsia="楷体" w:cs="楷体"/>
          <w:b/>
          <w:bCs/>
          <w:lang w:eastAsia="zh-CN"/>
        </w:rPr>
        <w:t>）种植规模：</w:t>
      </w:r>
      <w:r>
        <w:rPr>
          <w:rFonts w:hint="eastAsia"/>
        </w:rPr>
        <w:t>拥有适宜进行高山油菜种植的连片土地，面积不低于</w:t>
      </w:r>
      <w:r>
        <w:rPr>
          <w:rFonts w:hint="eastAsia"/>
          <w:lang w:val="en-US" w:eastAsia="zh-CN"/>
        </w:rPr>
        <w:t>70亩</w:t>
      </w:r>
      <w:r>
        <w:rPr>
          <w:rFonts w:hint="eastAsia"/>
        </w:rPr>
        <w:t>（</w:t>
      </w:r>
      <w:r>
        <w:rPr>
          <w:rFonts w:hint="eastAsia"/>
          <w:lang w:val="en-US" w:eastAsia="zh-CN"/>
        </w:rPr>
        <w:t>其中油用油菜50亩以上，菜用油菜10亩，花用油菜10亩</w:t>
      </w:r>
      <w:r>
        <w:rPr>
          <w:rFonts w:hint="eastAsia"/>
        </w:rPr>
        <w:t>），且土地肥沃、排灌方便、交通便利。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adjustRightInd/>
        <w:snapToGrid/>
        <w:spacing w:line="586" w:lineRule="exact"/>
        <w:textAlignment w:val="auto"/>
        <w:rPr>
          <w:rFonts w:hint="eastAsia"/>
        </w:rPr>
      </w:pPr>
      <w:r>
        <w:rPr>
          <w:rFonts w:hint="eastAsia" w:ascii="楷体" w:hAnsi="楷体" w:eastAsia="楷体" w:cs="楷体"/>
          <w:b/>
          <w:bCs/>
          <w:lang w:eastAsia="zh-CN"/>
        </w:rPr>
        <w:t>（</w:t>
      </w:r>
      <w:r>
        <w:rPr>
          <w:rFonts w:hint="eastAsia" w:ascii="楷体" w:hAnsi="楷体" w:eastAsia="楷体" w:cs="楷体"/>
          <w:b/>
          <w:bCs/>
          <w:lang w:val="en-US" w:eastAsia="zh-CN"/>
        </w:rPr>
        <w:t>四</w:t>
      </w:r>
      <w:r>
        <w:rPr>
          <w:rFonts w:hint="eastAsia" w:ascii="楷体" w:hAnsi="楷体" w:eastAsia="楷体" w:cs="楷体"/>
          <w:b/>
          <w:bCs/>
          <w:lang w:eastAsia="zh-CN"/>
        </w:rPr>
        <w:t>）管理能力：</w:t>
      </w:r>
      <w:r>
        <w:rPr>
          <w:rFonts w:hint="eastAsia"/>
        </w:rPr>
        <w:t>具有较强的组织管理能力，能够确保试验示范工作的顺利开展和有效实施。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adjustRightInd/>
        <w:snapToGrid/>
        <w:spacing w:line="586" w:lineRule="exact"/>
        <w:textAlignment w:val="auto"/>
        <w:rPr>
          <w:rFonts w:hint="eastAsia"/>
        </w:rPr>
      </w:pPr>
      <w:r>
        <w:rPr>
          <w:rFonts w:hint="eastAsia" w:ascii="楷体" w:hAnsi="楷体" w:eastAsia="楷体" w:cs="楷体"/>
          <w:b/>
          <w:bCs/>
          <w:lang w:eastAsia="zh-CN"/>
        </w:rPr>
        <w:t>（</w:t>
      </w:r>
      <w:r>
        <w:rPr>
          <w:rFonts w:hint="eastAsia" w:ascii="楷体" w:hAnsi="楷体" w:eastAsia="楷体" w:cs="楷体"/>
          <w:b/>
          <w:bCs/>
          <w:lang w:val="en-US" w:eastAsia="zh-CN"/>
        </w:rPr>
        <w:t>五</w:t>
      </w:r>
      <w:r>
        <w:rPr>
          <w:rFonts w:hint="eastAsia" w:ascii="楷体" w:hAnsi="楷体" w:eastAsia="楷体" w:cs="楷体"/>
          <w:b/>
          <w:bCs/>
          <w:lang w:eastAsia="zh-CN"/>
        </w:rPr>
        <w:t>）示范意愿：</w:t>
      </w:r>
      <w:r>
        <w:rPr>
          <w:rFonts w:hint="eastAsia"/>
        </w:rPr>
        <w:t>积极参与试验示范项目建设，愿意承担示范推广任务，并能够配合政府部门进行技术指导和宣传推广工作。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adjustRightInd/>
        <w:snapToGrid/>
        <w:spacing w:line="586" w:lineRule="exact"/>
        <w:textAlignment w:val="auto"/>
        <w:rPr>
          <w:rFonts w:hint="default" w:eastAsia="仿宋"/>
          <w:lang w:val="en-US" w:eastAsia="zh-CN"/>
        </w:rPr>
      </w:pPr>
      <w:r>
        <w:rPr>
          <w:rFonts w:hint="eastAsia" w:ascii="楷体" w:hAnsi="楷体" w:eastAsia="楷体" w:cs="楷体"/>
          <w:b/>
          <w:bCs/>
          <w:lang w:eastAsia="zh-CN"/>
        </w:rPr>
        <w:t>（</w:t>
      </w:r>
      <w:r>
        <w:rPr>
          <w:rFonts w:hint="eastAsia" w:ascii="楷体" w:hAnsi="楷体" w:eastAsia="楷体" w:cs="楷体"/>
          <w:b/>
          <w:bCs/>
          <w:lang w:val="en-US" w:eastAsia="zh-CN"/>
        </w:rPr>
        <w:t>六</w:t>
      </w:r>
      <w:r>
        <w:rPr>
          <w:rFonts w:hint="eastAsia" w:ascii="楷体" w:hAnsi="楷体" w:eastAsia="楷体" w:cs="楷体"/>
          <w:b/>
          <w:bCs/>
          <w:lang w:eastAsia="zh-CN"/>
        </w:rPr>
        <w:t>）</w:t>
      </w:r>
      <w:r>
        <w:rPr>
          <w:rFonts w:hint="eastAsia" w:ascii="楷体" w:hAnsi="楷体" w:eastAsia="楷体" w:cs="楷体"/>
          <w:b/>
          <w:bCs/>
          <w:lang w:val="en-US" w:eastAsia="zh-CN"/>
        </w:rPr>
        <w:t>地块要求：</w:t>
      </w:r>
      <w:r>
        <w:rPr>
          <w:rFonts w:hint="eastAsia"/>
          <w:lang w:val="en-US" w:eastAsia="zh-CN"/>
        </w:rPr>
        <w:t>试验地块须位于海拔1200米以上的地方，且交通方便，否则一票否决。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adjustRightInd/>
        <w:snapToGrid/>
        <w:spacing w:line="586" w:lineRule="exact"/>
        <w:textAlignment w:val="auto"/>
        <w:rPr>
          <w:rFonts w:hint="eastAsia" w:ascii="黑体" w:hAnsi="黑体" w:eastAsia="黑体" w:cs="黑体"/>
          <w:lang w:eastAsia="zh-CN"/>
        </w:rPr>
      </w:pPr>
      <w:r>
        <w:rPr>
          <w:rFonts w:hint="eastAsia" w:ascii="黑体" w:hAnsi="黑体" w:eastAsia="黑体" w:cs="黑体"/>
          <w:lang w:val="en-US" w:eastAsia="zh-CN"/>
        </w:rPr>
        <w:t>三</w:t>
      </w:r>
      <w:r>
        <w:rPr>
          <w:rFonts w:hint="eastAsia" w:ascii="黑体" w:hAnsi="黑体" w:eastAsia="黑体" w:cs="黑体"/>
        </w:rPr>
        <w:t>、遴选程序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adjustRightInd/>
        <w:snapToGrid/>
        <w:spacing w:line="586" w:lineRule="exact"/>
        <w:textAlignment w:val="auto"/>
        <w:rPr>
          <w:rFonts w:hint="eastAsia"/>
        </w:rPr>
      </w:pPr>
      <w:r>
        <w:rPr>
          <w:rFonts w:hint="eastAsia" w:ascii="楷体" w:hAnsi="楷体" w:eastAsia="楷体" w:cs="楷体"/>
          <w:b/>
          <w:bCs/>
          <w:lang w:eastAsia="zh-CN"/>
        </w:rPr>
        <w:t>（</w:t>
      </w:r>
      <w:r>
        <w:rPr>
          <w:rFonts w:hint="eastAsia" w:ascii="楷体" w:hAnsi="楷体" w:eastAsia="楷体" w:cs="楷体"/>
          <w:b/>
          <w:bCs/>
          <w:lang w:val="en-US" w:eastAsia="zh-CN"/>
        </w:rPr>
        <w:t>一</w:t>
      </w:r>
      <w:r>
        <w:rPr>
          <w:rFonts w:hint="eastAsia" w:ascii="楷体" w:hAnsi="楷体" w:eastAsia="楷体" w:cs="楷体"/>
          <w:b/>
          <w:bCs/>
          <w:lang w:eastAsia="zh-CN"/>
        </w:rPr>
        <w:t>）发布公告：</w:t>
      </w:r>
      <w:r>
        <w:rPr>
          <w:rFonts w:hint="eastAsia"/>
        </w:rPr>
        <w:t>通过隆回县政府网站、农业相关交流群以及种植业大户交流群等渠道发布遴选公告，明确遴选条件、程序和要求。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adjustRightInd/>
        <w:snapToGrid/>
        <w:spacing w:line="586" w:lineRule="exact"/>
        <w:textAlignment w:val="auto"/>
        <w:rPr>
          <w:rFonts w:hint="eastAsia"/>
        </w:rPr>
      </w:pPr>
      <w:r>
        <w:rPr>
          <w:rFonts w:hint="eastAsia" w:ascii="楷体" w:hAnsi="楷体" w:eastAsia="楷体" w:cs="楷体"/>
          <w:b/>
          <w:bCs/>
          <w:lang w:eastAsia="zh-CN"/>
        </w:rPr>
        <w:t>（</w:t>
      </w:r>
      <w:r>
        <w:rPr>
          <w:rFonts w:hint="eastAsia" w:ascii="楷体" w:hAnsi="楷体" w:eastAsia="楷体" w:cs="楷体"/>
          <w:b/>
          <w:bCs/>
          <w:lang w:val="en-US" w:eastAsia="zh-CN"/>
        </w:rPr>
        <w:t>二</w:t>
      </w:r>
      <w:r>
        <w:rPr>
          <w:rFonts w:hint="eastAsia" w:ascii="楷体" w:hAnsi="楷体" w:eastAsia="楷体" w:cs="楷体"/>
          <w:b/>
          <w:bCs/>
          <w:lang w:eastAsia="zh-CN"/>
        </w:rPr>
        <w:t>）主体申报：</w:t>
      </w:r>
      <w:r>
        <w:rPr>
          <w:rFonts w:hint="eastAsia"/>
        </w:rPr>
        <w:t>符合条件的申报主体按照公告要求，提交申请表及相关证明材料，由乡镇（街道）农业综合服务中心初审签字盖章确认。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adjustRightInd/>
        <w:snapToGrid/>
        <w:spacing w:line="586" w:lineRule="exact"/>
        <w:textAlignment w:val="auto"/>
        <w:rPr>
          <w:rFonts w:hint="eastAsia"/>
        </w:rPr>
      </w:pPr>
      <w:r>
        <w:rPr>
          <w:rFonts w:hint="eastAsia" w:ascii="楷体" w:hAnsi="楷体" w:eastAsia="楷体" w:cs="楷体"/>
          <w:b/>
          <w:bCs/>
          <w:lang w:eastAsia="zh-CN"/>
        </w:rPr>
        <w:t>（</w:t>
      </w:r>
      <w:r>
        <w:rPr>
          <w:rFonts w:hint="eastAsia" w:ascii="楷体" w:hAnsi="楷体" w:eastAsia="楷体" w:cs="楷体"/>
          <w:b/>
          <w:bCs/>
          <w:lang w:val="en-US" w:eastAsia="zh-CN"/>
        </w:rPr>
        <w:t>三</w:t>
      </w:r>
      <w:r>
        <w:rPr>
          <w:rFonts w:hint="eastAsia" w:ascii="楷体" w:hAnsi="楷体" w:eastAsia="楷体" w:cs="楷体"/>
          <w:b/>
          <w:bCs/>
          <w:lang w:eastAsia="zh-CN"/>
        </w:rPr>
        <w:t>）资料审核：</w:t>
      </w:r>
      <w:r>
        <w:rPr>
          <w:rFonts w:hint="eastAsia"/>
        </w:rPr>
        <w:t>由隆回县农业农村局组织专家对申报材料进行审核，确保申报主体符合遴选条件。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adjustRightInd/>
        <w:snapToGrid/>
        <w:spacing w:line="586" w:lineRule="exact"/>
        <w:textAlignment w:val="auto"/>
        <w:rPr>
          <w:rFonts w:hint="eastAsia"/>
        </w:rPr>
      </w:pPr>
      <w:r>
        <w:rPr>
          <w:rFonts w:hint="eastAsia" w:ascii="楷体" w:hAnsi="楷体" w:eastAsia="楷体" w:cs="楷体"/>
          <w:b/>
          <w:bCs/>
          <w:lang w:eastAsia="zh-CN"/>
        </w:rPr>
        <w:t>（</w:t>
      </w:r>
      <w:r>
        <w:rPr>
          <w:rFonts w:hint="eastAsia" w:ascii="楷体" w:hAnsi="楷体" w:eastAsia="楷体" w:cs="楷体"/>
          <w:b/>
          <w:bCs/>
          <w:lang w:val="en-US" w:eastAsia="zh-CN"/>
        </w:rPr>
        <w:t>四</w:t>
      </w:r>
      <w:r>
        <w:rPr>
          <w:rFonts w:hint="eastAsia" w:ascii="楷体" w:hAnsi="楷体" w:eastAsia="楷体" w:cs="楷体"/>
          <w:b/>
          <w:bCs/>
          <w:lang w:eastAsia="zh-CN"/>
        </w:rPr>
        <w:t>）现场考察：</w:t>
      </w:r>
      <w:r>
        <w:rPr>
          <w:rFonts w:hint="eastAsia"/>
        </w:rPr>
        <w:t>对通过资料审核的申报主体进行现场考察，评估其种植规模、土地条件、技术实力和管理能力等情况。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adjustRightInd/>
        <w:snapToGrid/>
        <w:spacing w:line="586" w:lineRule="exact"/>
        <w:textAlignment w:val="auto"/>
        <w:rPr>
          <w:rFonts w:hint="eastAsia"/>
        </w:rPr>
      </w:pPr>
      <w:r>
        <w:rPr>
          <w:rFonts w:hint="eastAsia" w:ascii="楷体" w:hAnsi="楷体" w:eastAsia="楷体" w:cs="楷体"/>
          <w:b/>
          <w:bCs/>
          <w:lang w:eastAsia="zh-CN"/>
        </w:rPr>
        <w:t>（</w:t>
      </w:r>
      <w:r>
        <w:rPr>
          <w:rFonts w:hint="eastAsia" w:ascii="楷体" w:hAnsi="楷体" w:eastAsia="楷体" w:cs="楷体"/>
          <w:b/>
          <w:bCs/>
          <w:lang w:val="en-US" w:eastAsia="zh-CN"/>
        </w:rPr>
        <w:t>五</w:t>
      </w:r>
      <w:r>
        <w:rPr>
          <w:rFonts w:hint="eastAsia" w:ascii="楷体" w:hAnsi="楷体" w:eastAsia="楷体" w:cs="楷体"/>
          <w:b/>
          <w:bCs/>
          <w:lang w:eastAsia="zh-CN"/>
        </w:rPr>
        <w:t>）综合评审：</w:t>
      </w:r>
      <w:r>
        <w:rPr>
          <w:rFonts w:hint="eastAsia"/>
        </w:rPr>
        <w:t>根据资料审核和现场考察结果，组织专家进行综合评审，确定承担主体候选名单。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adjustRightInd/>
        <w:snapToGrid/>
        <w:spacing w:line="586" w:lineRule="exact"/>
        <w:textAlignment w:val="auto"/>
        <w:rPr>
          <w:rFonts w:hint="eastAsia"/>
        </w:rPr>
      </w:pPr>
      <w:r>
        <w:rPr>
          <w:rFonts w:hint="eastAsia" w:ascii="楷体" w:hAnsi="楷体" w:eastAsia="楷体" w:cs="楷体"/>
          <w:b/>
          <w:bCs/>
          <w:lang w:eastAsia="zh-CN"/>
        </w:rPr>
        <w:t>（</w:t>
      </w:r>
      <w:r>
        <w:rPr>
          <w:rFonts w:hint="eastAsia" w:ascii="楷体" w:hAnsi="楷体" w:eastAsia="楷体" w:cs="楷体"/>
          <w:b/>
          <w:bCs/>
          <w:lang w:val="en-US" w:eastAsia="zh-CN"/>
        </w:rPr>
        <w:t>六</w:t>
      </w:r>
      <w:r>
        <w:rPr>
          <w:rFonts w:hint="eastAsia" w:ascii="楷体" w:hAnsi="楷体" w:eastAsia="楷体" w:cs="楷体"/>
          <w:b/>
          <w:bCs/>
          <w:lang w:eastAsia="zh-CN"/>
        </w:rPr>
        <w:t>）公示与确定：</w:t>
      </w:r>
      <w:r>
        <w:rPr>
          <w:rFonts w:hint="eastAsia"/>
        </w:rPr>
        <w:t>将承担主体候选名单在隆回县政府网站等渠道进行公示，接受社会监督。公示无异议后，正式确定承担主体，并签订试验示范协议书。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adjustRightInd/>
        <w:snapToGrid/>
        <w:spacing w:line="586" w:lineRule="exact"/>
        <w:textAlignment w:val="auto"/>
        <w:rPr>
          <w:rFonts w:hint="eastAsia" w:ascii="黑体" w:hAnsi="黑体" w:eastAsia="黑体" w:cs="黑体"/>
          <w:lang w:eastAsia="zh-CN"/>
        </w:rPr>
      </w:pPr>
      <w:r>
        <w:rPr>
          <w:rFonts w:hint="eastAsia" w:ascii="黑体" w:hAnsi="黑体" w:eastAsia="黑体" w:cs="黑体"/>
          <w:lang w:val="en-US" w:eastAsia="zh-CN"/>
        </w:rPr>
        <w:t>四</w:t>
      </w:r>
      <w:r>
        <w:rPr>
          <w:rFonts w:hint="eastAsia" w:ascii="黑体" w:hAnsi="黑体" w:eastAsia="黑体" w:cs="黑体"/>
        </w:rPr>
        <w:t>、扶持政策与义务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adjustRightInd/>
        <w:snapToGrid/>
        <w:spacing w:line="586" w:lineRule="exact"/>
        <w:textAlignment w:val="auto"/>
        <w:rPr>
          <w:rFonts w:hint="eastAsia" w:ascii="楷体" w:hAnsi="楷体" w:eastAsia="楷体" w:cs="楷体"/>
          <w:b/>
          <w:bCs/>
          <w:lang w:eastAsia="zh-CN"/>
        </w:rPr>
      </w:pPr>
      <w:r>
        <w:rPr>
          <w:rFonts w:hint="eastAsia" w:ascii="楷体" w:hAnsi="楷体" w:eastAsia="楷体" w:cs="楷体"/>
          <w:b/>
          <w:bCs/>
          <w:lang w:eastAsia="zh-CN"/>
        </w:rPr>
        <w:t>（</w:t>
      </w:r>
      <w:r>
        <w:rPr>
          <w:rFonts w:hint="eastAsia" w:ascii="楷体" w:hAnsi="楷体" w:eastAsia="楷体" w:cs="楷体"/>
          <w:b/>
          <w:bCs/>
          <w:lang w:val="en-US" w:eastAsia="zh-CN"/>
        </w:rPr>
        <w:t>一</w:t>
      </w:r>
      <w:r>
        <w:rPr>
          <w:rFonts w:hint="eastAsia" w:ascii="楷体" w:hAnsi="楷体" w:eastAsia="楷体" w:cs="楷体"/>
          <w:b/>
          <w:bCs/>
          <w:lang w:eastAsia="zh-CN"/>
        </w:rPr>
        <w:t>）扶持政策：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adjustRightInd/>
        <w:snapToGrid/>
        <w:spacing w:line="586" w:lineRule="exact"/>
        <w:textAlignment w:val="auto"/>
        <w:rPr>
          <w:rFonts w:hint="eastAsia" w:ascii="仿宋" w:hAnsi="仿宋" w:eastAsia="仿宋" w:cs="仿宋"/>
          <w:lang w:val="en-US" w:eastAsia="zh-CN"/>
        </w:rPr>
      </w:pPr>
      <w:r>
        <w:rPr>
          <w:rFonts w:hint="eastAsia" w:ascii="仿宋" w:hAnsi="仿宋" w:eastAsia="仿宋" w:cs="仿宋"/>
          <w:lang w:val="en-US" w:eastAsia="zh-CN"/>
        </w:rPr>
        <w:t>1.</w:t>
      </w:r>
      <w:r>
        <w:rPr>
          <w:rFonts w:hint="eastAsia"/>
        </w:rPr>
        <w:t>提</w:t>
      </w:r>
      <w:r>
        <w:rPr>
          <w:rFonts w:hint="eastAsia" w:ascii="仿宋" w:hAnsi="仿宋" w:eastAsia="仿宋" w:cs="仿宋"/>
          <w:lang w:val="en-US" w:eastAsia="zh-CN"/>
        </w:rPr>
        <w:t>供高山油菜种植技术培训和技术指导服务。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adjustRightInd/>
        <w:snapToGrid/>
        <w:spacing w:line="586" w:lineRule="exact"/>
        <w:textAlignment w:val="auto"/>
        <w:rPr>
          <w:rFonts w:hint="eastAsia" w:ascii="仿宋" w:hAnsi="仿宋" w:eastAsia="仿宋" w:cs="仿宋"/>
          <w:lang w:val="en-US" w:eastAsia="zh-CN"/>
        </w:rPr>
      </w:pPr>
      <w:r>
        <w:rPr>
          <w:rFonts w:hint="eastAsia" w:ascii="仿宋" w:hAnsi="仿宋" w:eastAsia="仿宋" w:cs="仿宋"/>
          <w:lang w:val="en-US" w:eastAsia="zh-CN"/>
        </w:rPr>
        <w:t>2.按照相关政策规定，给予一定的翻耕、种子、肥料和资金支持，总费用不超过30万元。。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adjustRightInd/>
        <w:snapToGrid/>
        <w:spacing w:line="586" w:lineRule="exact"/>
        <w:textAlignment w:val="auto"/>
        <w:rPr>
          <w:rFonts w:hint="eastAsia" w:ascii="仿宋" w:hAnsi="仿宋" w:eastAsia="仿宋" w:cs="仿宋"/>
          <w:lang w:val="en-US" w:eastAsia="zh-CN"/>
        </w:rPr>
      </w:pPr>
      <w:r>
        <w:rPr>
          <w:rFonts w:hint="eastAsia" w:ascii="仿宋" w:hAnsi="仿宋" w:eastAsia="仿宋" w:cs="仿宋"/>
          <w:lang w:val="en-US" w:eastAsia="zh-CN"/>
        </w:rPr>
        <w:t>3</w:t>
      </w:r>
      <w:r>
        <w:rPr>
          <w:rFonts w:hint="eastAsia" w:ascii="仿宋" w:hAnsi="仿宋" w:cs="仿宋"/>
          <w:lang w:val="en-US" w:eastAsia="zh-CN"/>
        </w:rPr>
        <w:t>.</w:t>
      </w:r>
      <w:r>
        <w:rPr>
          <w:rFonts w:hint="eastAsia" w:ascii="仿宋" w:hAnsi="仿宋" w:eastAsia="仿宋" w:cs="仿宋"/>
          <w:lang w:val="en-US" w:eastAsia="zh-CN"/>
        </w:rPr>
        <w:t>优先推荐承担主体参与各级农业示范项目和相关评奖评优活动。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adjustRightInd/>
        <w:snapToGrid/>
        <w:spacing w:line="586" w:lineRule="exact"/>
        <w:textAlignment w:val="auto"/>
        <w:rPr>
          <w:rFonts w:hint="default" w:eastAsia="仿宋"/>
          <w:lang w:val="en-US" w:eastAsia="zh-CN"/>
        </w:rPr>
      </w:pPr>
      <w:r>
        <w:rPr>
          <w:rFonts w:hint="eastAsia" w:ascii="仿宋" w:hAnsi="仿宋" w:eastAsia="仿宋" w:cs="仿宋"/>
          <w:lang w:val="en-US" w:eastAsia="zh-CN"/>
        </w:rPr>
        <w:t>4</w:t>
      </w:r>
      <w:r>
        <w:rPr>
          <w:rFonts w:hint="eastAsia" w:ascii="仿宋" w:hAnsi="仿宋" w:cs="仿宋"/>
          <w:lang w:val="en-US" w:eastAsia="zh-CN"/>
        </w:rPr>
        <w:t>.</w:t>
      </w:r>
      <w:r>
        <w:rPr>
          <w:rFonts w:hint="eastAsia" w:ascii="仿宋" w:hAnsi="仿宋" w:eastAsia="仿宋" w:cs="仿宋"/>
          <w:lang w:val="en-US" w:eastAsia="zh-CN"/>
        </w:rPr>
        <w:t>整个试</w:t>
      </w:r>
      <w:r>
        <w:rPr>
          <w:rFonts w:hint="eastAsia"/>
          <w:lang w:val="en-US" w:eastAsia="zh-CN"/>
        </w:rPr>
        <w:t>验项目经费开支不超过30万元。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adjustRightInd/>
        <w:snapToGrid/>
        <w:spacing w:line="586" w:lineRule="exact"/>
        <w:textAlignment w:val="auto"/>
        <w:rPr>
          <w:rFonts w:hint="eastAsia" w:ascii="楷体" w:hAnsi="楷体" w:eastAsia="楷体" w:cs="楷体"/>
          <w:b/>
          <w:bCs/>
          <w:lang w:eastAsia="zh-CN"/>
        </w:rPr>
      </w:pPr>
      <w:r>
        <w:rPr>
          <w:rFonts w:hint="eastAsia" w:ascii="楷体" w:hAnsi="楷体" w:eastAsia="楷体" w:cs="楷体"/>
          <w:b/>
          <w:bCs/>
          <w:lang w:eastAsia="zh-CN"/>
        </w:rPr>
        <w:t>（</w:t>
      </w:r>
      <w:r>
        <w:rPr>
          <w:rFonts w:hint="eastAsia" w:ascii="楷体" w:hAnsi="楷体" w:eastAsia="楷体" w:cs="楷体"/>
          <w:b/>
          <w:bCs/>
          <w:lang w:val="en-US" w:eastAsia="zh-CN"/>
        </w:rPr>
        <w:t>二</w:t>
      </w:r>
      <w:r>
        <w:rPr>
          <w:rFonts w:hint="eastAsia" w:ascii="楷体" w:hAnsi="楷体" w:eastAsia="楷体" w:cs="楷体"/>
          <w:b/>
          <w:bCs/>
          <w:lang w:eastAsia="zh-CN"/>
        </w:rPr>
        <w:t>）承担义务：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adjustRightInd/>
        <w:snapToGrid/>
        <w:spacing w:line="586" w:lineRule="exact"/>
        <w:textAlignment w:val="auto"/>
        <w:rPr>
          <w:rFonts w:hint="eastAsia" w:ascii="仿宋" w:hAnsi="仿宋" w:eastAsia="仿宋" w:cs="仿宋"/>
          <w:lang w:val="en-US" w:eastAsia="zh-CN"/>
        </w:rPr>
      </w:pPr>
      <w:r>
        <w:rPr>
          <w:rFonts w:hint="eastAsia" w:ascii="仿宋" w:hAnsi="仿宋" w:eastAsia="仿宋" w:cs="仿宋"/>
          <w:lang w:val="en-US" w:eastAsia="zh-CN"/>
        </w:rPr>
        <w:t>1</w:t>
      </w:r>
      <w:r>
        <w:rPr>
          <w:rFonts w:hint="eastAsia" w:ascii="仿宋" w:hAnsi="仿宋" w:cs="仿宋"/>
          <w:lang w:val="en-US" w:eastAsia="zh-CN"/>
        </w:rPr>
        <w:t>.</w:t>
      </w:r>
      <w:r>
        <w:rPr>
          <w:rFonts w:hint="eastAsia" w:ascii="仿宋" w:hAnsi="仿宋" w:eastAsia="仿宋" w:cs="仿宋"/>
          <w:lang w:val="en-US" w:eastAsia="zh-CN"/>
        </w:rPr>
        <w:t>严格按照技术规程和实施方案开展高山油菜种植试验示范工作。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adjustRightInd/>
        <w:snapToGrid/>
        <w:spacing w:line="586" w:lineRule="exact"/>
        <w:textAlignment w:val="auto"/>
        <w:rPr>
          <w:rFonts w:hint="eastAsia" w:ascii="仿宋" w:hAnsi="仿宋" w:eastAsia="仿宋" w:cs="仿宋"/>
          <w:lang w:val="en-US" w:eastAsia="zh-CN"/>
        </w:rPr>
      </w:pPr>
      <w:r>
        <w:rPr>
          <w:rFonts w:hint="eastAsia" w:ascii="仿宋" w:hAnsi="仿宋" w:eastAsia="仿宋" w:cs="仿宋"/>
          <w:lang w:val="en-US" w:eastAsia="zh-CN"/>
        </w:rPr>
        <w:t>2</w:t>
      </w:r>
      <w:r>
        <w:rPr>
          <w:rFonts w:hint="eastAsia" w:ascii="仿宋" w:hAnsi="仿宋" w:cs="仿宋"/>
          <w:lang w:val="en-US" w:eastAsia="zh-CN"/>
        </w:rPr>
        <w:t>.</w:t>
      </w:r>
      <w:r>
        <w:rPr>
          <w:rFonts w:hint="eastAsia" w:ascii="仿宋" w:hAnsi="仿宋" w:eastAsia="仿宋" w:cs="仿宋"/>
          <w:lang w:val="en-US" w:eastAsia="zh-CN"/>
        </w:rPr>
        <w:t>积极配合政府部门进行技术指导和宣传推广工作，带动周边农户学习应用新技术。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adjustRightInd/>
        <w:snapToGrid/>
        <w:spacing w:line="586" w:lineRule="exact"/>
        <w:textAlignment w:val="auto"/>
        <w:rPr>
          <w:rFonts w:hint="eastAsia"/>
        </w:rPr>
      </w:pPr>
      <w:r>
        <w:rPr>
          <w:rFonts w:hint="eastAsia" w:ascii="仿宋" w:hAnsi="仿宋" w:eastAsia="仿宋" w:cs="仿宋"/>
          <w:lang w:val="en-US" w:eastAsia="zh-CN"/>
        </w:rPr>
        <w:t>3</w:t>
      </w:r>
      <w:r>
        <w:rPr>
          <w:rFonts w:hint="eastAsia" w:ascii="仿宋" w:hAnsi="仿宋" w:cs="仿宋"/>
          <w:lang w:val="en-US" w:eastAsia="zh-CN"/>
        </w:rPr>
        <w:t>.</w:t>
      </w:r>
      <w:r>
        <w:rPr>
          <w:rFonts w:hint="eastAsia" w:ascii="仿宋" w:hAnsi="仿宋" w:eastAsia="仿宋" w:cs="仿宋"/>
          <w:lang w:val="en-US" w:eastAsia="zh-CN"/>
        </w:rPr>
        <w:t>定期</w:t>
      </w:r>
      <w:r>
        <w:rPr>
          <w:rFonts w:hint="eastAsia"/>
        </w:rPr>
        <w:t>向隆回县农业农村局报告试验示范进展情况和存在的问题。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adjustRightInd/>
        <w:snapToGrid/>
        <w:spacing w:line="586" w:lineRule="exact"/>
        <w:textAlignment w:val="auto"/>
        <w:rPr>
          <w:rFonts w:hint="eastAsia" w:ascii="黑体" w:hAnsi="黑体" w:eastAsia="黑体" w:cs="黑体"/>
          <w:lang w:eastAsia="zh-CN"/>
        </w:rPr>
      </w:pPr>
      <w:r>
        <w:rPr>
          <w:rFonts w:hint="eastAsia" w:ascii="黑体" w:hAnsi="黑体" w:eastAsia="黑体" w:cs="黑体"/>
          <w:lang w:val="en-US" w:eastAsia="zh-CN"/>
        </w:rPr>
        <w:t>五</w:t>
      </w:r>
      <w:r>
        <w:rPr>
          <w:rFonts w:hint="eastAsia" w:ascii="黑体" w:hAnsi="黑体" w:eastAsia="黑体" w:cs="黑体"/>
        </w:rPr>
        <w:t>、时间安排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adjustRightInd/>
        <w:snapToGrid/>
        <w:spacing w:line="586" w:lineRule="exact"/>
        <w:textAlignment w:val="auto"/>
        <w:rPr>
          <w:rFonts w:hint="eastAsia"/>
        </w:rPr>
      </w:pPr>
      <w:r>
        <w:rPr>
          <w:rFonts w:hint="eastAsia" w:ascii="楷体" w:hAnsi="楷体" w:eastAsia="楷体" w:cs="楷体"/>
          <w:b/>
          <w:bCs/>
          <w:lang w:val="en-US" w:eastAsia="zh-CN"/>
        </w:rPr>
        <w:t>（一）</w:t>
      </w:r>
      <w:r>
        <w:rPr>
          <w:rFonts w:hint="eastAsia" w:ascii="楷体" w:hAnsi="楷体" w:eastAsia="楷体" w:cs="楷体"/>
          <w:b/>
          <w:bCs/>
          <w:lang w:eastAsia="zh-CN"/>
        </w:rPr>
        <w:t>公告发布：</w:t>
      </w:r>
      <w:r>
        <w:rPr>
          <w:rFonts w:hint="eastAsia" w:eastAsia="楷体"/>
          <w:lang w:val="en-US" w:eastAsia="zh-CN"/>
        </w:rPr>
        <w:t>2025年4月19日</w:t>
      </w:r>
      <w:r>
        <w:rPr>
          <w:rFonts w:hint="eastAsia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adjustRightInd/>
        <w:snapToGrid/>
        <w:spacing w:line="586" w:lineRule="exact"/>
        <w:textAlignment w:val="auto"/>
        <w:rPr>
          <w:rFonts w:hint="eastAsia"/>
        </w:rPr>
      </w:pPr>
      <w:r>
        <w:rPr>
          <w:rFonts w:hint="eastAsia" w:ascii="楷体" w:hAnsi="楷体" w:eastAsia="楷体" w:cs="楷体"/>
          <w:b/>
          <w:bCs/>
          <w:lang w:eastAsia="zh-CN"/>
        </w:rPr>
        <w:t>（</w:t>
      </w:r>
      <w:r>
        <w:rPr>
          <w:rFonts w:hint="eastAsia" w:ascii="楷体" w:hAnsi="楷体" w:eastAsia="楷体" w:cs="楷体"/>
          <w:b/>
          <w:bCs/>
          <w:lang w:val="en-US" w:eastAsia="zh-CN"/>
        </w:rPr>
        <w:t>二</w:t>
      </w:r>
      <w:r>
        <w:rPr>
          <w:rFonts w:hint="eastAsia" w:ascii="楷体" w:hAnsi="楷体" w:eastAsia="楷体" w:cs="楷体"/>
          <w:b/>
          <w:bCs/>
          <w:lang w:eastAsia="zh-CN"/>
        </w:rPr>
        <w:t>）主体申报：</w:t>
      </w:r>
      <w:r>
        <w:rPr>
          <w:rFonts w:hint="eastAsia" w:eastAsia="楷体"/>
          <w:lang w:val="en-US" w:eastAsia="zh-CN"/>
        </w:rPr>
        <w:t>2025年4月20日至23日</w:t>
      </w:r>
      <w:r>
        <w:rPr>
          <w:rFonts w:hint="eastAsia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adjustRightInd/>
        <w:snapToGrid/>
        <w:spacing w:line="586" w:lineRule="exact"/>
        <w:textAlignment w:val="auto"/>
        <w:rPr>
          <w:rFonts w:hint="eastAsia"/>
        </w:rPr>
      </w:pPr>
      <w:r>
        <w:rPr>
          <w:rFonts w:hint="eastAsia" w:ascii="楷体" w:hAnsi="楷体" w:eastAsia="楷体" w:cs="楷体"/>
          <w:b/>
          <w:bCs/>
          <w:lang w:eastAsia="zh-CN"/>
        </w:rPr>
        <w:t>（</w:t>
      </w:r>
      <w:r>
        <w:rPr>
          <w:rFonts w:hint="eastAsia" w:ascii="楷体" w:hAnsi="楷体" w:eastAsia="楷体" w:cs="楷体"/>
          <w:b/>
          <w:bCs/>
          <w:lang w:val="en-US" w:eastAsia="zh-CN"/>
        </w:rPr>
        <w:t>三</w:t>
      </w:r>
      <w:r>
        <w:rPr>
          <w:rFonts w:hint="eastAsia" w:ascii="楷体" w:hAnsi="楷体" w:eastAsia="楷体" w:cs="楷体"/>
          <w:b/>
          <w:bCs/>
          <w:lang w:eastAsia="zh-CN"/>
        </w:rPr>
        <w:t>）资料审核</w:t>
      </w:r>
      <w:r>
        <w:rPr>
          <w:rFonts w:hint="eastAsia" w:ascii="楷体" w:hAnsi="楷体" w:eastAsia="楷体" w:cs="楷体"/>
        </w:rPr>
        <w:t>：</w:t>
      </w:r>
      <w:r>
        <w:rPr>
          <w:rFonts w:hint="eastAsia" w:eastAsia="楷体"/>
          <w:lang w:val="en-US" w:eastAsia="zh-CN"/>
        </w:rPr>
        <w:t>2025年4月25日</w:t>
      </w:r>
      <w:r>
        <w:rPr>
          <w:rFonts w:hint="eastAsia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adjustRightInd/>
        <w:snapToGrid/>
        <w:spacing w:line="586" w:lineRule="exact"/>
        <w:textAlignment w:val="auto"/>
        <w:rPr>
          <w:rFonts w:hint="eastAsia"/>
        </w:rPr>
      </w:pPr>
      <w:r>
        <w:rPr>
          <w:rFonts w:hint="eastAsia" w:ascii="楷体" w:hAnsi="楷体" w:eastAsia="楷体" w:cs="楷体"/>
          <w:b/>
          <w:bCs/>
          <w:lang w:eastAsia="zh-CN"/>
        </w:rPr>
        <w:t>（</w:t>
      </w:r>
      <w:r>
        <w:rPr>
          <w:rFonts w:hint="eastAsia" w:ascii="楷体" w:hAnsi="楷体" w:eastAsia="楷体" w:cs="楷体"/>
          <w:b/>
          <w:bCs/>
          <w:lang w:val="en-US" w:eastAsia="zh-CN"/>
        </w:rPr>
        <w:t>四</w:t>
      </w:r>
      <w:r>
        <w:rPr>
          <w:rFonts w:hint="eastAsia" w:ascii="楷体" w:hAnsi="楷体" w:eastAsia="楷体" w:cs="楷体"/>
          <w:b/>
          <w:bCs/>
          <w:lang w:eastAsia="zh-CN"/>
        </w:rPr>
        <w:t>）现场考察：</w:t>
      </w:r>
      <w:r>
        <w:rPr>
          <w:rFonts w:hint="eastAsia" w:eastAsia="楷体"/>
          <w:lang w:val="en-US" w:eastAsia="zh-CN"/>
        </w:rPr>
        <w:t>2025年4月26日-4月27日</w:t>
      </w:r>
      <w:r>
        <w:rPr>
          <w:rFonts w:hint="eastAsia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adjustRightInd/>
        <w:snapToGrid/>
        <w:spacing w:line="586" w:lineRule="exact"/>
        <w:textAlignment w:val="auto"/>
        <w:rPr>
          <w:rFonts w:hint="eastAsia"/>
        </w:rPr>
      </w:pPr>
      <w:r>
        <w:rPr>
          <w:rFonts w:hint="eastAsia" w:ascii="楷体" w:hAnsi="楷体" w:eastAsia="楷体" w:cs="楷体"/>
          <w:b/>
          <w:bCs/>
          <w:lang w:eastAsia="zh-CN"/>
        </w:rPr>
        <w:t>（</w:t>
      </w:r>
      <w:r>
        <w:rPr>
          <w:rFonts w:hint="eastAsia" w:ascii="楷体" w:hAnsi="楷体" w:eastAsia="楷体" w:cs="楷体"/>
          <w:b/>
          <w:bCs/>
          <w:lang w:val="en-US" w:eastAsia="zh-CN"/>
        </w:rPr>
        <w:t>五</w:t>
      </w:r>
      <w:r>
        <w:rPr>
          <w:rFonts w:hint="eastAsia" w:ascii="楷体" w:hAnsi="楷体" w:eastAsia="楷体" w:cs="楷体"/>
          <w:b/>
          <w:bCs/>
          <w:lang w:eastAsia="zh-CN"/>
        </w:rPr>
        <w:t>）综合评审：</w:t>
      </w:r>
      <w:r>
        <w:rPr>
          <w:rFonts w:hint="eastAsia" w:eastAsia="楷体"/>
          <w:lang w:val="en-US" w:eastAsia="zh-CN"/>
        </w:rPr>
        <w:t>2025年4月28日</w:t>
      </w:r>
      <w:r>
        <w:rPr>
          <w:rFonts w:hint="eastAsia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adjustRightInd/>
        <w:snapToGrid/>
        <w:spacing w:line="586" w:lineRule="exact"/>
        <w:textAlignment w:val="auto"/>
        <w:rPr>
          <w:rFonts w:hint="eastAsia"/>
        </w:rPr>
      </w:pPr>
      <w:r>
        <w:rPr>
          <w:rFonts w:hint="eastAsia" w:ascii="楷体" w:hAnsi="楷体" w:eastAsia="楷体" w:cs="楷体"/>
          <w:b/>
          <w:bCs/>
          <w:lang w:eastAsia="zh-CN"/>
        </w:rPr>
        <w:t>（</w:t>
      </w:r>
      <w:r>
        <w:rPr>
          <w:rFonts w:hint="eastAsia" w:ascii="楷体" w:hAnsi="楷体" w:eastAsia="楷体" w:cs="楷体"/>
          <w:b/>
          <w:bCs/>
          <w:lang w:val="en-US" w:eastAsia="zh-CN"/>
        </w:rPr>
        <w:t>六</w:t>
      </w:r>
      <w:r>
        <w:rPr>
          <w:rFonts w:hint="eastAsia" w:ascii="楷体" w:hAnsi="楷体" w:eastAsia="楷体" w:cs="楷体"/>
          <w:b/>
          <w:bCs/>
          <w:lang w:eastAsia="zh-CN"/>
        </w:rPr>
        <w:t>）公示与确定：</w:t>
      </w:r>
      <w:r>
        <w:rPr>
          <w:rFonts w:hint="eastAsia"/>
          <w:lang w:val="en-US" w:eastAsia="zh-CN"/>
        </w:rPr>
        <w:t>2025年4月29日-2025年5月6日</w:t>
      </w:r>
      <w:r>
        <w:rPr>
          <w:rFonts w:hint="eastAsia"/>
        </w:rPr>
        <w:t>进行公示，公示无异议后正式确定承担主体。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adjustRightInd/>
        <w:snapToGrid/>
        <w:spacing w:line="586" w:lineRule="exact"/>
        <w:textAlignment w:val="auto"/>
        <w:rPr>
          <w:rFonts w:hint="eastAsia" w:ascii="黑体" w:hAnsi="黑体" w:eastAsia="黑体" w:cs="黑体"/>
          <w:lang w:eastAsia="zh-CN"/>
        </w:rPr>
      </w:pPr>
      <w:r>
        <w:rPr>
          <w:rFonts w:hint="eastAsia" w:ascii="黑体" w:hAnsi="黑体" w:eastAsia="黑体" w:cs="黑体"/>
          <w:lang w:val="en-US" w:eastAsia="zh-CN"/>
        </w:rPr>
        <w:t>六</w:t>
      </w:r>
      <w:r>
        <w:rPr>
          <w:rFonts w:hint="eastAsia" w:ascii="黑体" w:hAnsi="黑体" w:eastAsia="黑体" w:cs="黑体"/>
        </w:rPr>
        <w:t>、监督与管理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adjustRightInd/>
        <w:snapToGrid/>
        <w:spacing w:line="586" w:lineRule="exact"/>
        <w:textAlignment w:val="auto"/>
        <w:rPr>
          <w:rFonts w:hint="default" w:eastAsia="仿宋"/>
          <w:lang w:val="en-US" w:eastAsia="zh-CN"/>
        </w:rPr>
      </w:pPr>
      <w:r>
        <w:rPr>
          <w:rFonts w:hint="eastAsia"/>
        </w:rPr>
        <w:t>隆回县农业农村局负责对试验示范建设情况进行监督和管理，定期组织检查评估，确保试验示范工作顺利开展并取得实效。对于未按要求开展试验示范或工作进展缓慢的承担主体，将取消其试验示范资格并追回相关补贴资金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adjustRightInd/>
        <w:snapToGrid/>
        <w:spacing w:line="586" w:lineRule="exact"/>
        <w:textAlignment w:val="auto"/>
        <w:rPr>
          <w:rFonts w:hint="eastAsia" w:ascii="黑体" w:hAnsi="黑体" w:eastAsia="黑体" w:cs="黑体"/>
          <w:lang w:eastAsia="zh-CN"/>
        </w:rPr>
      </w:pPr>
      <w:r>
        <w:rPr>
          <w:rFonts w:hint="eastAsia" w:ascii="黑体" w:hAnsi="黑体" w:eastAsia="黑体" w:cs="黑体"/>
          <w:lang w:val="en-US" w:eastAsia="zh-CN"/>
        </w:rPr>
        <w:t>七</w:t>
      </w:r>
      <w:r>
        <w:rPr>
          <w:rFonts w:hint="eastAsia" w:ascii="黑体" w:hAnsi="黑体" w:eastAsia="黑体" w:cs="黑体"/>
        </w:rPr>
        <w:t>、附则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adjustRightInd/>
        <w:snapToGrid/>
        <w:spacing w:line="586" w:lineRule="exact"/>
        <w:textAlignment w:val="auto"/>
        <w:rPr>
          <w:rFonts w:hint="eastAsia" w:eastAsia="仿宋"/>
          <w:lang w:eastAsia="zh-CN"/>
        </w:rPr>
      </w:pPr>
      <w:r>
        <w:rPr>
          <w:rFonts w:hint="eastAsia"/>
        </w:rPr>
        <w:t>本方案由隆回县农业农村局负责解释和修订。如有未尽事宜，由隆回县农业农村局根据实际情况进行妥善处理。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adjustRightInd/>
        <w:snapToGrid/>
        <w:spacing w:line="586" w:lineRule="exact"/>
        <w:textAlignment w:val="auto"/>
        <w:rPr>
          <w:rFonts w:hint="eastAsia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adjustRightInd/>
        <w:snapToGrid/>
        <w:spacing w:line="586" w:lineRule="exact"/>
        <w:textAlignment w:val="auto"/>
        <w:rPr>
          <w:rFonts w:hint="eastAsia" w:ascii="仿宋" w:hAnsi="仿宋" w:eastAsia="仿宋" w:cs="仿宋"/>
          <w:lang w:val="en-US" w:eastAsia="zh-CN"/>
        </w:rPr>
      </w:pPr>
      <w:r>
        <w:rPr>
          <w:rFonts w:hint="eastAsia"/>
          <w:lang w:val="en-US" w:eastAsia="zh-CN"/>
        </w:rPr>
        <w:t>附件：</w:t>
      </w:r>
      <w:r>
        <w:rPr>
          <w:rFonts w:hint="eastAsia" w:ascii="仿宋" w:hAnsi="仿宋" w:eastAsia="仿宋" w:cs="仿宋"/>
          <w:lang w:val="en-US" w:eastAsia="zh-CN"/>
        </w:rPr>
        <w:t>1.隆回县高山油菜试验承担主体申报表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adjustRightInd/>
        <w:snapToGrid/>
        <w:spacing w:line="586" w:lineRule="exact"/>
        <w:ind w:firstLine="1600" w:firstLineChars="500"/>
        <w:textAlignment w:val="auto"/>
        <w:rPr>
          <w:rFonts w:hint="eastAsia" w:ascii="仿宋" w:hAnsi="仿宋" w:eastAsia="仿宋" w:cs="仿宋"/>
          <w:lang w:val="en-US" w:eastAsia="zh-CN"/>
        </w:rPr>
      </w:pPr>
      <w:r>
        <w:rPr>
          <w:rFonts w:hint="eastAsia" w:ascii="仿宋" w:hAnsi="仿宋" w:eastAsia="仿宋" w:cs="仿宋"/>
          <w:lang w:val="en-US" w:eastAsia="zh-CN"/>
        </w:rPr>
        <w:t>2.隆回县高山油菜试验承担主体评分表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adjustRightInd/>
        <w:snapToGrid/>
        <w:spacing w:line="586" w:lineRule="exact"/>
        <w:ind w:firstLine="1600" w:firstLineChars="500"/>
        <w:textAlignment w:val="auto"/>
        <w:rPr>
          <w:rFonts w:hint="default"/>
          <w:lang w:val="en-US" w:eastAsia="zh-CN"/>
        </w:rPr>
      </w:pPr>
      <w:r>
        <w:rPr>
          <w:rFonts w:hint="eastAsia" w:ascii="仿宋" w:hAnsi="仿宋" w:eastAsia="仿宋" w:cs="仿宋"/>
          <w:lang w:val="en-US" w:eastAsia="zh-CN"/>
        </w:rPr>
        <w:t>3.隆</w:t>
      </w:r>
      <w:r>
        <w:rPr>
          <w:rFonts w:hint="eastAsia"/>
          <w:lang w:val="en-US" w:eastAsia="zh-CN"/>
        </w:rPr>
        <w:t>回县高山油菜试验费用开支预算表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6" w:lineRule="exact"/>
        <w:textAlignment w:val="auto"/>
        <w:rPr>
          <w:rFonts w:hint="eastAsia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6" w:lineRule="exact"/>
        <w:textAlignment w:val="auto"/>
        <w:rPr>
          <w:rFonts w:hint="eastAsia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6" w:lineRule="exact"/>
        <w:ind w:left="0" w:leftChars="0" w:firstLine="4480" w:firstLineChars="1400"/>
        <w:jc w:val="center"/>
        <w:textAlignment w:val="auto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隆回县农业农村局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6" w:lineRule="exact"/>
        <w:ind w:left="0" w:leftChars="0" w:firstLine="4480" w:firstLineChars="1400"/>
        <w:jc w:val="center"/>
        <w:textAlignment w:val="auto"/>
        <w:rPr>
          <w:rFonts w:hint="default"/>
          <w:lang w:val="en-US" w:eastAsia="zh-CN"/>
        </w:rPr>
        <w:sectPr>
          <w:footerReference r:id="rId5" w:type="default"/>
          <w:pgSz w:w="11906" w:h="16838"/>
          <w:pgMar w:top="1701" w:right="1417" w:bottom="1417" w:left="1417" w:header="851" w:footer="992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pgNumType w:fmt="numberInDash"/>
          <w:cols w:space="425" w:num="1"/>
          <w:docGrid w:type="lines" w:linePitch="312" w:charSpace="0"/>
        </w:sectPr>
      </w:pPr>
      <w:r>
        <w:rPr>
          <w:rFonts w:hint="eastAsia"/>
          <w:lang w:val="en-US" w:eastAsia="zh-CN"/>
        </w:rPr>
        <w:t>2025年4月1日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0" w:firstLineChars="0"/>
        <w:jc w:val="left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附件1：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0" w:firstLineChars="0"/>
        <w:jc w:val="center"/>
        <w:textAlignment w:val="auto"/>
        <w:rPr>
          <w:rFonts w:hint="eastAsia" w:ascii="方正小标宋_GBK" w:hAnsi="方正小标宋_GBK" w:eastAsia="方正小标宋_GBK" w:cs="方正小标宋_GBK"/>
          <w:sz w:val="44"/>
          <w:szCs w:val="44"/>
          <w:lang w:eastAsia="zh-CN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隆回县</w:t>
      </w: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>高山油菜试验</w:t>
      </w: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承担主体申报表</w:t>
      </w:r>
    </w:p>
    <w:tbl>
      <w:tblPr>
        <w:tblStyle w:val="9"/>
        <w:tblW w:w="9159" w:type="dxa"/>
        <w:jc w:val="center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4" w:space="0"/>
          <w:insideV w:val="single" w:color="000000" w:sz="4" w:space="0"/>
        </w:tblBorders>
        <w:shd w:val="clear" w:color="auto" w:fill="auto"/>
        <w:tblLayout w:type="autofit"/>
        <w:tblCellMar>
          <w:top w:w="17" w:type="dxa"/>
          <w:left w:w="57" w:type="dxa"/>
          <w:bottom w:w="17" w:type="dxa"/>
          <w:right w:w="57" w:type="dxa"/>
        </w:tblCellMar>
      </w:tblPr>
      <w:tblGrid>
        <w:gridCol w:w="1711"/>
        <w:gridCol w:w="2763"/>
        <w:gridCol w:w="1706"/>
        <w:gridCol w:w="2979"/>
      </w:tblGrid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4" w:space="0"/>
            <w:insideV w:val="single" w:color="000000" w:sz="4" w:space="0"/>
          </w:tblBorders>
          <w:shd w:val="clear" w:color="auto" w:fill="auto"/>
          <w:tblCellMar>
            <w:top w:w="17" w:type="dxa"/>
            <w:left w:w="57" w:type="dxa"/>
            <w:bottom w:w="17" w:type="dxa"/>
            <w:right w:w="57" w:type="dxa"/>
          </w:tblCellMar>
        </w:tblPrEx>
        <w:trPr>
          <w:trHeight w:val="936" w:hRule="exact"/>
          <w:jc w:val="center"/>
        </w:trPr>
        <w:tc>
          <w:tcPr>
            <w:tcW w:w="934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firstLine="0" w:firstLineChars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主体名称</w:t>
            </w:r>
          </w:p>
        </w:tc>
        <w:tc>
          <w:tcPr>
            <w:tcW w:w="4065" w:type="pct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firstLine="0" w:firstLineChars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4" w:space="0"/>
            <w:insideV w:val="single" w:color="000000" w:sz="4" w:space="0"/>
          </w:tblBorders>
          <w:shd w:val="clear" w:color="auto" w:fill="auto"/>
          <w:tblCellMar>
            <w:top w:w="17" w:type="dxa"/>
            <w:left w:w="57" w:type="dxa"/>
            <w:bottom w:w="17" w:type="dxa"/>
            <w:right w:w="57" w:type="dxa"/>
          </w:tblCellMar>
        </w:tblPrEx>
        <w:trPr>
          <w:trHeight w:val="936" w:hRule="exact"/>
          <w:jc w:val="center"/>
        </w:trPr>
        <w:tc>
          <w:tcPr>
            <w:tcW w:w="934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firstLine="0" w:firstLineChars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社会信用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firstLine="0" w:firstLineChars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统一代码</w:t>
            </w:r>
          </w:p>
        </w:tc>
        <w:tc>
          <w:tcPr>
            <w:tcW w:w="4065" w:type="pct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firstLine="0" w:firstLineChars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4" w:space="0"/>
            <w:insideV w:val="single" w:color="000000" w:sz="4" w:space="0"/>
          </w:tblBorders>
          <w:shd w:val="clear" w:color="auto" w:fill="auto"/>
          <w:tblCellMar>
            <w:top w:w="17" w:type="dxa"/>
            <w:left w:w="57" w:type="dxa"/>
            <w:bottom w:w="17" w:type="dxa"/>
            <w:right w:w="57" w:type="dxa"/>
          </w:tblCellMar>
        </w:tblPrEx>
        <w:trPr>
          <w:trHeight w:val="936" w:hRule="exact"/>
          <w:jc w:val="center"/>
        </w:trPr>
        <w:tc>
          <w:tcPr>
            <w:tcW w:w="934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firstLine="0" w:firstLineChars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负责人姓名</w:t>
            </w:r>
          </w:p>
        </w:tc>
        <w:tc>
          <w:tcPr>
            <w:tcW w:w="1508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firstLine="0" w:firstLineChars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  <w:tc>
          <w:tcPr>
            <w:tcW w:w="931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firstLine="0" w:firstLineChars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电话</w:t>
            </w:r>
          </w:p>
        </w:tc>
        <w:tc>
          <w:tcPr>
            <w:tcW w:w="1625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firstLine="0" w:firstLineChars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4" w:space="0"/>
            <w:insideV w:val="single" w:color="000000" w:sz="4" w:space="0"/>
          </w:tblBorders>
          <w:shd w:val="clear" w:color="auto" w:fill="auto"/>
          <w:tblCellMar>
            <w:top w:w="17" w:type="dxa"/>
            <w:left w:w="57" w:type="dxa"/>
            <w:bottom w:w="17" w:type="dxa"/>
            <w:right w:w="57" w:type="dxa"/>
          </w:tblCellMar>
        </w:tblPrEx>
        <w:trPr>
          <w:trHeight w:val="936" w:hRule="exact"/>
          <w:jc w:val="center"/>
        </w:trPr>
        <w:tc>
          <w:tcPr>
            <w:tcW w:w="934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firstLine="0" w:firstLineChars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试验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示范地点</w:t>
            </w:r>
          </w:p>
        </w:tc>
        <w:tc>
          <w:tcPr>
            <w:tcW w:w="4065" w:type="pct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firstLine="0" w:firstLineChars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4" w:space="0"/>
            <w:insideV w:val="single" w:color="000000" w:sz="4" w:space="0"/>
          </w:tblBorders>
          <w:shd w:val="clear" w:color="auto" w:fill="auto"/>
          <w:tblCellMar>
            <w:top w:w="17" w:type="dxa"/>
            <w:left w:w="57" w:type="dxa"/>
            <w:bottom w:w="17" w:type="dxa"/>
            <w:right w:w="57" w:type="dxa"/>
          </w:tblCellMar>
        </w:tblPrEx>
        <w:trPr>
          <w:trHeight w:val="936" w:hRule="exact"/>
          <w:jc w:val="center"/>
        </w:trPr>
        <w:tc>
          <w:tcPr>
            <w:tcW w:w="934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firstLine="0" w:firstLineChars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试验示范名称</w:t>
            </w:r>
          </w:p>
        </w:tc>
        <w:tc>
          <w:tcPr>
            <w:tcW w:w="1508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firstLine="0" w:firstLineChars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  <w:tc>
          <w:tcPr>
            <w:tcW w:w="931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firstLine="0" w:firstLineChars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可用于试验的面积</w:t>
            </w:r>
          </w:p>
        </w:tc>
        <w:tc>
          <w:tcPr>
            <w:tcW w:w="1625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firstLine="0" w:firstLineChars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4" w:space="0"/>
            <w:insideV w:val="single" w:color="000000" w:sz="4" w:space="0"/>
          </w:tblBorders>
          <w:shd w:val="clear" w:color="auto" w:fill="auto"/>
          <w:tblCellMar>
            <w:top w:w="17" w:type="dxa"/>
            <w:left w:w="57" w:type="dxa"/>
            <w:bottom w:w="17" w:type="dxa"/>
            <w:right w:w="57" w:type="dxa"/>
          </w:tblCellMar>
        </w:tblPrEx>
        <w:trPr>
          <w:trHeight w:val="1711" w:hRule="atLeast"/>
          <w:jc w:val="center"/>
        </w:trPr>
        <w:tc>
          <w:tcPr>
            <w:tcW w:w="934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firstLine="0" w:firstLineChars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主要实施内容</w:t>
            </w:r>
          </w:p>
        </w:tc>
        <w:tc>
          <w:tcPr>
            <w:tcW w:w="4065" w:type="pct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firstLine="0" w:firstLineChars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4" w:space="0"/>
            <w:insideV w:val="single" w:color="000000" w:sz="4" w:space="0"/>
          </w:tblBorders>
          <w:shd w:val="clear" w:color="auto" w:fill="auto"/>
          <w:tblCellMar>
            <w:top w:w="17" w:type="dxa"/>
            <w:left w:w="57" w:type="dxa"/>
            <w:bottom w:w="17" w:type="dxa"/>
            <w:right w:w="57" w:type="dxa"/>
          </w:tblCellMar>
        </w:tblPrEx>
        <w:trPr>
          <w:trHeight w:val="2477" w:hRule="atLeast"/>
          <w:jc w:val="center"/>
        </w:trPr>
        <w:tc>
          <w:tcPr>
            <w:tcW w:w="934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firstLine="0" w:firstLineChars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2"/>
                <w:position w:val="14"/>
                <w:sz w:val="24"/>
                <w:szCs w:val="24"/>
              </w:rPr>
              <w:t>申报单</w:t>
            </w:r>
            <w:r>
              <w:rPr>
                <w:rFonts w:hint="eastAsia" w:asciiTheme="minorEastAsia" w:hAnsiTheme="minorEastAsia" w:eastAsiaTheme="minorEastAsia" w:cstheme="minorEastAsia"/>
                <w:spacing w:val="2"/>
                <w:position w:val="14"/>
                <w:sz w:val="24"/>
                <w:szCs w:val="24"/>
                <w:lang w:val="en-US" w:eastAsia="zh-CN"/>
              </w:rPr>
              <w:t>位承诺</w:t>
            </w:r>
          </w:p>
        </w:tc>
        <w:tc>
          <w:tcPr>
            <w:tcW w:w="4065" w:type="pct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firstLine="480" w:firstLineChars="200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申报情况真实，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近5年来无违法生产经营事故，无不良信用记录</w:t>
            </w: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，如有虚假，愿承担相关法律责任。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firstLine="0" w:firstLineChars="0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pacing w:val="6"/>
                <w:position w:val="17"/>
                <w:sz w:val="24"/>
                <w:szCs w:val="24"/>
                <w:lang w:eastAsia="zh-CN"/>
              </w:rPr>
              <w:t>申报单位(盖章):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pacing w:val="6"/>
                <w:sz w:val="24"/>
                <w:szCs w:val="24"/>
                <w:lang w:val="en-US" w:eastAsia="zh-CN"/>
              </w:rPr>
              <w:t xml:space="preserve">                 </w:t>
            </w:r>
            <w:r>
              <w:rPr>
                <w:rFonts w:hint="eastAsia" w:ascii="仿宋" w:hAnsi="仿宋" w:eastAsia="仿宋" w:cs="仿宋"/>
                <w:spacing w:val="6"/>
                <w:sz w:val="24"/>
                <w:szCs w:val="24"/>
                <w:lang w:eastAsia="zh-CN"/>
              </w:rPr>
              <w:t>法人代表(签名):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4" w:space="0"/>
            <w:insideV w:val="single" w:color="000000" w:sz="4" w:space="0"/>
          </w:tblBorders>
          <w:shd w:val="clear" w:color="auto" w:fill="auto"/>
          <w:tblCellMar>
            <w:top w:w="17" w:type="dxa"/>
            <w:left w:w="57" w:type="dxa"/>
            <w:bottom w:w="17" w:type="dxa"/>
            <w:right w:w="57" w:type="dxa"/>
          </w:tblCellMar>
        </w:tblPrEx>
        <w:trPr>
          <w:trHeight w:val="3310" w:hRule="atLeast"/>
          <w:jc w:val="center"/>
        </w:trPr>
        <w:tc>
          <w:tcPr>
            <w:tcW w:w="934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firstLine="0" w:firstLineChars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乡镇（街道）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firstLine="0" w:firstLineChars="0"/>
              <w:jc w:val="center"/>
              <w:textAlignment w:val="auto"/>
              <w:rPr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农业综合服务中心审核意见及签章</w:t>
            </w:r>
          </w:p>
        </w:tc>
        <w:tc>
          <w:tcPr>
            <w:tcW w:w="4065" w:type="pct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 xml:space="preserve">                  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负责人签字：    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 xml:space="preserve">           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  单位盖章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 xml:space="preserve">                      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年   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 xml:space="preserve">   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 月   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 xml:space="preserve">   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 日</w:t>
            </w:r>
          </w:p>
        </w:tc>
      </w:tr>
    </w:tbl>
    <w:p>
      <w:pPr>
        <w:pStyle w:val="3"/>
        <w:sectPr>
          <w:pgSz w:w="11906" w:h="16838"/>
          <w:pgMar w:top="1440" w:right="1417" w:bottom="1417" w:left="1417" w:header="851" w:footer="992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pgNumType w:fmt="numberInDash"/>
          <w:cols w:space="425" w:num="1"/>
          <w:docGrid w:type="lines" w:linePitch="312" w:charSpace="0"/>
        </w:sectPr>
      </w:pP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0" w:firstLineChars="0"/>
        <w:jc w:val="left"/>
        <w:textAlignment w:val="auto"/>
        <w:rPr>
          <w:rFonts w:hint="default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附件2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0" w:firstLineChars="0"/>
        <w:jc w:val="center"/>
        <w:textAlignment w:val="auto"/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>隆回县高山油菜试验承担主体评分表</w:t>
      </w:r>
    </w:p>
    <w:p>
      <w:pPr>
        <w:keepNext w:val="0"/>
        <w:keepLines w:val="0"/>
        <w:pageBreakBefore w:val="0"/>
        <w:kinsoku/>
        <w:wordWrap/>
        <w:overflowPunct/>
        <w:bidi w:val="0"/>
        <w:ind w:left="0" w:leftChars="0" w:firstLine="0" w:firstLineChars="0"/>
        <w:jc w:val="left"/>
        <w:rPr>
          <w:rFonts w:hint="eastAsia" w:asciiTheme="minorEastAsia" w:hAnsiTheme="minorEastAsia" w:eastAsiaTheme="minorEastAsia" w:cstheme="minorEastAsia"/>
          <w:i w:val="0"/>
          <w:color w:val="000000"/>
          <w:kern w:val="0"/>
          <w:sz w:val="24"/>
          <w:szCs w:val="24"/>
          <w:u w:val="none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i w:val="0"/>
          <w:color w:val="000000"/>
          <w:kern w:val="0"/>
          <w:sz w:val="24"/>
          <w:szCs w:val="24"/>
          <w:u w:val="none"/>
          <w:lang w:val="en-US" w:eastAsia="zh-CN"/>
        </w:rPr>
        <w:t>主体名称：</w:t>
      </w:r>
    </w:p>
    <w:tbl>
      <w:tblPr>
        <w:tblStyle w:val="9"/>
        <w:tblW w:w="8938" w:type="dxa"/>
        <w:tblInd w:w="93" w:type="dxa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4" w:space="0"/>
          <w:insideV w:val="single" w:color="000000" w:sz="4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44"/>
        <w:gridCol w:w="956"/>
        <w:gridCol w:w="5073"/>
        <w:gridCol w:w="1082"/>
        <w:gridCol w:w="1083"/>
      </w:tblGrid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4" w:space="0"/>
            <w:insideV w:val="single" w:color="000000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7" w:hRule="atLeast"/>
        </w:trPr>
        <w:tc>
          <w:tcPr>
            <w:tcW w:w="744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ascii="方正黑体_GBK" w:hAnsi="方正黑体_GBK" w:eastAsia="方正黑体_GBK" w:cs="方正黑体_GBK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956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eastAsia" w:ascii="方正黑体_GBK" w:hAnsi="方正黑体_GBK" w:eastAsia="方正黑体_GBK" w:cs="方正黑体_GBK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评审</w:t>
            </w:r>
            <w:r>
              <w:rPr>
                <w:rFonts w:hint="eastAsia" w:ascii="方正黑体_GBK" w:hAnsi="方正黑体_GBK" w:eastAsia="方正黑体_GBK" w:cs="方正黑体_GBK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方正黑体_GBK" w:hAnsi="方正黑体_GBK" w:eastAsia="方正黑体_GBK" w:cs="方正黑体_GBK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指标</w:t>
            </w:r>
          </w:p>
        </w:tc>
        <w:tc>
          <w:tcPr>
            <w:tcW w:w="5073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eastAsia" w:ascii="方正黑体_GBK" w:hAnsi="方正黑体_GBK" w:eastAsia="方正黑体_GBK" w:cs="方正黑体_GBK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具体评审内容</w:t>
            </w:r>
          </w:p>
        </w:tc>
        <w:tc>
          <w:tcPr>
            <w:tcW w:w="216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eastAsia" w:ascii="方正黑体_GBK" w:hAnsi="方正黑体_GBK" w:eastAsia="方正黑体_GBK" w:cs="方正黑体_GBK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评审结果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6" w:hRule="atLeast"/>
        </w:trPr>
        <w:tc>
          <w:tcPr>
            <w:tcW w:w="74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rPr>
                <w:rFonts w:hint="eastAsia" w:ascii="方正黑体_GBK" w:hAnsi="方正黑体_GBK" w:eastAsia="方正黑体_GBK" w:cs="方正黑体_GBK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56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rPr>
                <w:rFonts w:hint="eastAsia" w:ascii="方正黑体_GBK" w:hAnsi="方正黑体_GBK" w:eastAsia="方正黑体_GBK" w:cs="方正黑体_GBK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07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rPr>
                <w:rFonts w:hint="eastAsia" w:ascii="方正黑体_GBK" w:hAnsi="方正黑体_GBK" w:eastAsia="方正黑体_GBK" w:cs="方正黑体_GBK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8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eastAsia" w:ascii="方正黑体_GBK" w:hAnsi="方正黑体_GBK" w:eastAsia="方正黑体_GBK" w:cs="方正黑体_GBK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分值</w:t>
            </w:r>
          </w:p>
        </w:tc>
        <w:tc>
          <w:tcPr>
            <w:tcW w:w="108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eastAsia" w:ascii="方正黑体_GBK" w:hAnsi="方正黑体_GBK" w:eastAsia="方正黑体_GBK" w:cs="方正黑体_GBK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得分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86" w:hRule="atLeast"/>
        </w:trPr>
        <w:tc>
          <w:tcPr>
            <w:tcW w:w="74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95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试验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面积</w:t>
            </w:r>
          </w:p>
        </w:tc>
        <w:tc>
          <w:tcPr>
            <w:tcW w:w="507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left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耕地流转面积</w:t>
            </w:r>
            <w:r>
              <w:rPr>
                <w:rFonts w:hint="eastAsia" w:ascii="仿宋" w:hAnsi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0亩得5分，每增加</w:t>
            </w:r>
            <w:r>
              <w:rPr>
                <w:rFonts w:hint="eastAsia" w:ascii="仿宋" w:hAnsi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0亩加</w:t>
            </w:r>
            <w:r>
              <w:rPr>
                <w:rFonts w:hint="eastAsia" w:ascii="仿宋" w:hAnsi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分，最高不超过10分；计划进行</w:t>
            </w:r>
            <w:r>
              <w:rPr>
                <w:rFonts w:hint="eastAsia" w:ascii="仿宋" w:hAnsi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高山油菜试验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种植的土地</w:t>
            </w:r>
            <w:r>
              <w:rPr>
                <w:rFonts w:hint="eastAsia" w:ascii="仿宋" w:hAnsi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，并处于海拔1000米以上的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面积</w:t>
            </w:r>
            <w:r>
              <w:rPr>
                <w:rFonts w:hint="eastAsia" w:ascii="仿宋" w:hAnsi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亩得5分，每增加</w:t>
            </w:r>
            <w:r>
              <w:rPr>
                <w:rFonts w:hint="eastAsia" w:ascii="仿宋" w:hAnsi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亩加1分，不超过10分。</w:t>
            </w:r>
            <w:r>
              <w:rPr>
                <w:rFonts w:hint="eastAsia" w:ascii="仿宋" w:hAnsi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如村级集体组织承担，此项直接得满分。</w:t>
            </w:r>
          </w:p>
        </w:tc>
        <w:tc>
          <w:tcPr>
            <w:tcW w:w="108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</w:t>
            </w:r>
          </w:p>
        </w:tc>
        <w:tc>
          <w:tcPr>
            <w:tcW w:w="108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7" w:hRule="atLeast"/>
        </w:trPr>
        <w:tc>
          <w:tcPr>
            <w:tcW w:w="74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95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实施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方案</w:t>
            </w:r>
          </w:p>
        </w:tc>
        <w:tc>
          <w:tcPr>
            <w:tcW w:w="507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有完善的项目实施方案</w:t>
            </w:r>
            <w:r>
              <w:rPr>
                <w:rFonts w:hint="eastAsia" w:ascii="仿宋" w:hAnsi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分</w:t>
            </w:r>
            <w:r>
              <w:rPr>
                <w:rFonts w:hint="eastAsia" w:ascii="仿宋" w:hAnsi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（包括基地基本情况、投入产出计划、技术方案，每少1项扣5分）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。</w:t>
            </w:r>
          </w:p>
        </w:tc>
        <w:tc>
          <w:tcPr>
            <w:tcW w:w="108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仿宋" w:hAnsi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</w:t>
            </w:r>
          </w:p>
        </w:tc>
        <w:tc>
          <w:tcPr>
            <w:tcW w:w="108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7" w:hRule="atLeast"/>
        </w:trPr>
        <w:tc>
          <w:tcPr>
            <w:tcW w:w="74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95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设施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设备</w:t>
            </w:r>
          </w:p>
        </w:tc>
        <w:tc>
          <w:tcPr>
            <w:tcW w:w="507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有机耕道计2分、排水灌溉设施计2分；有机耕、机播、机收等机械化设备</w:t>
            </w:r>
            <w:r>
              <w:rPr>
                <w:rFonts w:hint="eastAsia" w:ascii="仿宋" w:hAnsi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分/类</w:t>
            </w:r>
            <w:r>
              <w:rPr>
                <w:rFonts w:hint="eastAsia" w:ascii="仿宋" w:hAnsi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；总分不超过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10分。</w:t>
            </w:r>
          </w:p>
        </w:tc>
        <w:tc>
          <w:tcPr>
            <w:tcW w:w="108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108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8" w:hRule="atLeast"/>
        </w:trPr>
        <w:tc>
          <w:tcPr>
            <w:tcW w:w="74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95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管理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制度</w:t>
            </w:r>
          </w:p>
        </w:tc>
        <w:tc>
          <w:tcPr>
            <w:tcW w:w="507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有固定的经营场所计1分，有独立、健全的财务管理、资产管理、人员管理（技术人员、机防人员等）、档案管理制度等制度，各计1分</w:t>
            </w:r>
          </w:p>
        </w:tc>
        <w:tc>
          <w:tcPr>
            <w:tcW w:w="108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108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7" w:hRule="atLeast"/>
        </w:trPr>
        <w:tc>
          <w:tcPr>
            <w:tcW w:w="74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95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专技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人员</w:t>
            </w:r>
          </w:p>
        </w:tc>
        <w:tc>
          <w:tcPr>
            <w:tcW w:w="507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有1名农业专业技术人员或农校毕业从事农业生产工作5年以上人员，计3分；每增加1名，加2分。</w:t>
            </w:r>
          </w:p>
        </w:tc>
        <w:tc>
          <w:tcPr>
            <w:tcW w:w="108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108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7" w:hRule="atLeast"/>
        </w:trPr>
        <w:tc>
          <w:tcPr>
            <w:tcW w:w="74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95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行业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成果</w:t>
            </w:r>
          </w:p>
        </w:tc>
        <w:tc>
          <w:tcPr>
            <w:tcW w:w="507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近5年来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获县级表彰2分/次、市级</w:t>
            </w:r>
            <w:r>
              <w:rPr>
                <w:rFonts w:hint="eastAsia" w:ascii="仿宋" w:hAnsi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分/次、省级</w:t>
            </w:r>
            <w:r>
              <w:rPr>
                <w:rFonts w:hint="eastAsia" w:ascii="仿宋" w:hAnsi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分/次、部级</w:t>
            </w:r>
            <w:r>
              <w:rPr>
                <w:rFonts w:hint="eastAsia" w:ascii="仿宋" w:hAnsi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分/次（农业相关），可以累加，最高不超过</w:t>
            </w:r>
            <w:r>
              <w:rPr>
                <w:rFonts w:hint="eastAsia" w:ascii="仿宋" w:hAnsi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分。</w:t>
            </w:r>
          </w:p>
        </w:tc>
        <w:tc>
          <w:tcPr>
            <w:tcW w:w="108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108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7" w:hRule="atLeast"/>
        </w:trPr>
        <w:tc>
          <w:tcPr>
            <w:tcW w:w="74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95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种植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经验</w:t>
            </w:r>
          </w:p>
        </w:tc>
        <w:tc>
          <w:tcPr>
            <w:tcW w:w="507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近3年来</w:t>
            </w:r>
            <w:r>
              <w:rPr>
                <w:rFonts w:hint="eastAsia" w:ascii="仿宋" w:hAnsi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在高海拔地区（海拔1000米以上）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进行</w:t>
            </w:r>
            <w:r>
              <w:rPr>
                <w:rFonts w:hint="eastAsia" w:ascii="仿宋" w:hAnsi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水稻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种植</w:t>
            </w:r>
            <w:r>
              <w:rPr>
                <w:rFonts w:hint="eastAsia" w:ascii="仿宋" w:hAnsi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0亩的计</w:t>
            </w:r>
            <w:r>
              <w:rPr>
                <w:rFonts w:hint="eastAsia" w:ascii="仿宋" w:hAnsi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分，每增加</w:t>
            </w:r>
            <w:r>
              <w:rPr>
                <w:rFonts w:hint="eastAsia" w:ascii="仿宋" w:hAnsi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亩加1分，最高不超过</w:t>
            </w:r>
            <w:r>
              <w:rPr>
                <w:rFonts w:hint="eastAsia" w:ascii="仿宋" w:hAnsi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分。</w:t>
            </w:r>
          </w:p>
        </w:tc>
        <w:tc>
          <w:tcPr>
            <w:tcW w:w="108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仿宋" w:hAnsi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108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5" w:hRule="atLeast"/>
        </w:trPr>
        <w:tc>
          <w:tcPr>
            <w:tcW w:w="74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95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区域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加分</w:t>
            </w:r>
          </w:p>
        </w:tc>
        <w:tc>
          <w:tcPr>
            <w:tcW w:w="507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left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交通便利，基地位于县道</w:t>
            </w:r>
            <w:r>
              <w:rPr>
                <w:rFonts w:hint="eastAsia" w:ascii="仿宋" w:hAnsi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以上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计</w:t>
            </w:r>
            <w:r>
              <w:rPr>
                <w:rFonts w:hint="eastAsia" w:ascii="仿宋" w:hAnsi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分、乡道计</w:t>
            </w:r>
            <w:r>
              <w:rPr>
                <w:rFonts w:hint="eastAsia" w:ascii="仿宋" w:hAnsi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分</w:t>
            </w:r>
            <w:r>
              <w:rPr>
                <w:rFonts w:hint="eastAsia" w:ascii="仿宋" w:hAnsi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。</w:t>
            </w:r>
          </w:p>
        </w:tc>
        <w:tc>
          <w:tcPr>
            <w:tcW w:w="108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仿宋" w:hAnsi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108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7" w:hRule="atLeast"/>
        </w:trPr>
        <w:tc>
          <w:tcPr>
            <w:tcW w:w="74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95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报价</w:t>
            </w:r>
          </w:p>
        </w:tc>
        <w:tc>
          <w:tcPr>
            <w:tcW w:w="507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left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整体报价不得超过30万元，得10分，否则0分，报价比30万元每降低1万元加1分，总分不超过20分。</w:t>
            </w:r>
          </w:p>
        </w:tc>
        <w:tc>
          <w:tcPr>
            <w:tcW w:w="108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仿宋" w:hAnsi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</w:t>
            </w:r>
          </w:p>
        </w:tc>
        <w:tc>
          <w:tcPr>
            <w:tcW w:w="108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7" w:hRule="atLeast"/>
        </w:trPr>
        <w:tc>
          <w:tcPr>
            <w:tcW w:w="6773" w:type="dxa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合 </w:t>
            </w:r>
            <w:r>
              <w:rPr>
                <w:rStyle w:val="15"/>
                <w:rFonts w:hint="eastAsia" w:ascii="仿宋" w:hAnsi="仿宋" w:eastAsia="仿宋" w:cs="仿宋"/>
                <w:lang w:val="en-US" w:eastAsia="zh-CN" w:bidi="ar"/>
              </w:rPr>
              <w:t xml:space="preserve">   计</w:t>
            </w:r>
          </w:p>
        </w:tc>
        <w:tc>
          <w:tcPr>
            <w:tcW w:w="108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100</w:t>
            </w:r>
          </w:p>
        </w:tc>
        <w:tc>
          <w:tcPr>
            <w:tcW w:w="0" w:type="auto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0" w:lineRule="exact"/>
        <w:ind w:left="0" w:leftChars="0" w:firstLine="0" w:firstLineChars="0"/>
        <w:jc w:val="both"/>
        <w:textAlignment w:val="auto"/>
        <w:sectPr>
          <w:pgSz w:w="11906" w:h="16838"/>
          <w:pgMar w:top="1701" w:right="1417" w:bottom="1417" w:left="1417" w:header="851" w:footer="992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pgNumType w:fmt="numberInDash"/>
          <w:cols w:space="425" w:num="1"/>
          <w:docGrid w:type="lines" w:linePitch="312" w:charSpace="0"/>
        </w:sectPr>
      </w:pP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0" w:firstLineChars="0"/>
        <w:jc w:val="left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附件3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157" w:afterLines="50" w:line="540" w:lineRule="exact"/>
        <w:ind w:left="0" w:leftChars="0" w:firstLine="0" w:firstLineChars="0"/>
        <w:jc w:val="center"/>
        <w:textAlignment w:val="auto"/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>隆回县高山油菜试验费用开支预算表</w:t>
      </w:r>
    </w:p>
    <w:tbl>
      <w:tblPr>
        <w:tblStyle w:val="9"/>
        <w:tblW w:w="14780" w:type="dxa"/>
        <w:tblInd w:w="93" w:type="dxa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4" w:space="0"/>
          <w:insideV w:val="single" w:color="000000" w:sz="4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26"/>
        <w:gridCol w:w="2002"/>
        <w:gridCol w:w="5058"/>
        <w:gridCol w:w="1755"/>
        <w:gridCol w:w="1755"/>
        <w:gridCol w:w="1185"/>
        <w:gridCol w:w="1185"/>
        <w:gridCol w:w="1014"/>
      </w:tblGrid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4" w:space="0"/>
            <w:insideV w:val="single" w:color="000000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tblHeader/>
        </w:trPr>
        <w:tc>
          <w:tcPr>
            <w:tcW w:w="82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textAlignment w:val="center"/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200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textAlignment w:val="center"/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支出方向</w:t>
            </w:r>
          </w:p>
        </w:tc>
        <w:tc>
          <w:tcPr>
            <w:tcW w:w="505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textAlignment w:val="center"/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支出安排</w:t>
            </w:r>
          </w:p>
        </w:tc>
        <w:tc>
          <w:tcPr>
            <w:tcW w:w="175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textAlignment w:val="center"/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费用计算单位</w:t>
            </w:r>
          </w:p>
        </w:tc>
        <w:tc>
          <w:tcPr>
            <w:tcW w:w="175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textAlignment w:val="center"/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费用支出数量</w:t>
            </w:r>
          </w:p>
        </w:tc>
        <w:tc>
          <w:tcPr>
            <w:tcW w:w="118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textAlignment w:val="center"/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费用单价</w:t>
            </w:r>
          </w:p>
        </w:tc>
        <w:tc>
          <w:tcPr>
            <w:tcW w:w="118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textAlignment w:val="center"/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费用小计</w:t>
            </w:r>
          </w:p>
        </w:tc>
        <w:tc>
          <w:tcPr>
            <w:tcW w:w="1014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textAlignment w:val="center"/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4" w:space="0"/>
            <w:insideV w:val="single" w:color="000000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0" w:hRule="atLeast"/>
        </w:trPr>
        <w:tc>
          <w:tcPr>
            <w:tcW w:w="82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200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试验田租赁费用</w:t>
            </w:r>
          </w:p>
        </w:tc>
        <w:tc>
          <w:tcPr>
            <w:tcW w:w="505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租赁适宜田块，用于高山油菜试验，确保土地质量满足试验要求</w:t>
            </w:r>
          </w:p>
        </w:tc>
        <w:tc>
          <w:tcPr>
            <w:tcW w:w="175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亩</w:t>
            </w:r>
          </w:p>
        </w:tc>
        <w:tc>
          <w:tcPr>
            <w:tcW w:w="175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14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4" w:space="0"/>
            <w:insideV w:val="single" w:color="000000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826" w:type="dxa"/>
            <w:vMerge w:val="restart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2002" w:type="dxa"/>
            <w:vMerge w:val="restart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肥料支出</w:t>
            </w:r>
          </w:p>
        </w:tc>
        <w:tc>
          <w:tcPr>
            <w:tcW w:w="505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购买有机肥</w:t>
            </w:r>
          </w:p>
        </w:tc>
        <w:tc>
          <w:tcPr>
            <w:tcW w:w="175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吨</w:t>
            </w:r>
          </w:p>
        </w:tc>
        <w:tc>
          <w:tcPr>
            <w:tcW w:w="175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14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4" w:space="0"/>
            <w:insideV w:val="single" w:color="000000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826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02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05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购买复合肥</w:t>
            </w:r>
          </w:p>
        </w:tc>
        <w:tc>
          <w:tcPr>
            <w:tcW w:w="175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吨</w:t>
            </w:r>
          </w:p>
        </w:tc>
        <w:tc>
          <w:tcPr>
            <w:tcW w:w="175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14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4" w:space="0"/>
            <w:insideV w:val="single" w:color="000000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826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02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05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购买叶面肥及水溶肥等</w:t>
            </w:r>
          </w:p>
        </w:tc>
        <w:tc>
          <w:tcPr>
            <w:tcW w:w="175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亩</w:t>
            </w:r>
          </w:p>
        </w:tc>
        <w:tc>
          <w:tcPr>
            <w:tcW w:w="175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14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4" w:space="0"/>
            <w:insideV w:val="single" w:color="000000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1" w:hRule="atLeast"/>
        </w:trPr>
        <w:tc>
          <w:tcPr>
            <w:tcW w:w="826" w:type="dxa"/>
            <w:vMerge w:val="restart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2002" w:type="dxa"/>
            <w:vMerge w:val="restart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农药及病虫害防治费用</w:t>
            </w:r>
          </w:p>
        </w:tc>
        <w:tc>
          <w:tcPr>
            <w:tcW w:w="505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选购高效、低毒的农药，用于防治油菜病虫害，确保试验田油菜健康生长</w:t>
            </w:r>
          </w:p>
        </w:tc>
        <w:tc>
          <w:tcPr>
            <w:tcW w:w="175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批</w:t>
            </w:r>
          </w:p>
        </w:tc>
        <w:tc>
          <w:tcPr>
            <w:tcW w:w="175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14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4" w:space="0"/>
            <w:insideV w:val="single" w:color="000000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</w:trPr>
        <w:tc>
          <w:tcPr>
            <w:tcW w:w="826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02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05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病虫害防治50亩人工工资</w:t>
            </w:r>
          </w:p>
        </w:tc>
        <w:tc>
          <w:tcPr>
            <w:tcW w:w="175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次</w:t>
            </w:r>
          </w:p>
        </w:tc>
        <w:tc>
          <w:tcPr>
            <w:tcW w:w="175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14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4" w:space="0"/>
            <w:insideV w:val="single" w:color="000000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826" w:type="dxa"/>
            <w:vMerge w:val="restart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2002" w:type="dxa"/>
            <w:vMerge w:val="restart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田间管理</w:t>
            </w:r>
          </w:p>
        </w:tc>
        <w:tc>
          <w:tcPr>
            <w:tcW w:w="505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灌溉工人工资</w:t>
            </w:r>
          </w:p>
        </w:tc>
        <w:tc>
          <w:tcPr>
            <w:tcW w:w="175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亩次</w:t>
            </w:r>
          </w:p>
        </w:tc>
        <w:tc>
          <w:tcPr>
            <w:tcW w:w="175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14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4" w:space="0"/>
            <w:insideV w:val="single" w:color="000000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826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02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05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中耕除草</w:t>
            </w:r>
          </w:p>
        </w:tc>
        <w:tc>
          <w:tcPr>
            <w:tcW w:w="175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亩次</w:t>
            </w:r>
          </w:p>
        </w:tc>
        <w:tc>
          <w:tcPr>
            <w:tcW w:w="175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14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4" w:space="0"/>
            <w:insideV w:val="single" w:color="000000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826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02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05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翻耕</w:t>
            </w:r>
          </w:p>
        </w:tc>
        <w:tc>
          <w:tcPr>
            <w:tcW w:w="175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亩</w:t>
            </w:r>
          </w:p>
        </w:tc>
        <w:tc>
          <w:tcPr>
            <w:tcW w:w="175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14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4" w:space="0"/>
            <w:insideV w:val="single" w:color="000000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826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02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05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种苗</w:t>
            </w:r>
          </w:p>
        </w:tc>
        <w:tc>
          <w:tcPr>
            <w:tcW w:w="175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</w:t>
            </w:r>
          </w:p>
        </w:tc>
        <w:tc>
          <w:tcPr>
            <w:tcW w:w="175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14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4" w:space="0"/>
            <w:insideV w:val="single" w:color="000000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826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02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05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人工收割</w:t>
            </w:r>
          </w:p>
        </w:tc>
        <w:tc>
          <w:tcPr>
            <w:tcW w:w="175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亩</w:t>
            </w:r>
          </w:p>
        </w:tc>
        <w:tc>
          <w:tcPr>
            <w:tcW w:w="175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14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4" w:space="0"/>
            <w:insideV w:val="single" w:color="000000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826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02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05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品种标牌</w:t>
            </w:r>
          </w:p>
        </w:tc>
        <w:tc>
          <w:tcPr>
            <w:tcW w:w="175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</w:t>
            </w:r>
          </w:p>
        </w:tc>
        <w:tc>
          <w:tcPr>
            <w:tcW w:w="175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14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4" w:space="0"/>
            <w:insideV w:val="single" w:color="000000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826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02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05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运输、装卸</w:t>
            </w:r>
          </w:p>
        </w:tc>
        <w:tc>
          <w:tcPr>
            <w:tcW w:w="175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次</w:t>
            </w:r>
          </w:p>
        </w:tc>
        <w:tc>
          <w:tcPr>
            <w:tcW w:w="175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14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4" w:space="0"/>
            <w:insideV w:val="single" w:color="000000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826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02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05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通沟、修田埂</w:t>
            </w:r>
          </w:p>
        </w:tc>
        <w:tc>
          <w:tcPr>
            <w:tcW w:w="175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亩次</w:t>
            </w:r>
          </w:p>
        </w:tc>
        <w:tc>
          <w:tcPr>
            <w:tcW w:w="175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14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4" w:space="0"/>
            <w:insideV w:val="single" w:color="000000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826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02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05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厢面平整</w:t>
            </w:r>
          </w:p>
        </w:tc>
        <w:tc>
          <w:tcPr>
            <w:tcW w:w="175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亩次</w:t>
            </w:r>
          </w:p>
        </w:tc>
        <w:tc>
          <w:tcPr>
            <w:tcW w:w="175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14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4" w:space="0"/>
            <w:insideV w:val="single" w:color="000000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826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02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05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选苗移栽</w:t>
            </w:r>
          </w:p>
        </w:tc>
        <w:tc>
          <w:tcPr>
            <w:tcW w:w="175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人工日</w:t>
            </w:r>
          </w:p>
        </w:tc>
        <w:tc>
          <w:tcPr>
            <w:tcW w:w="175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14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4" w:space="0"/>
            <w:insideV w:val="single" w:color="000000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826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02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05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施肥工人工资</w:t>
            </w:r>
          </w:p>
        </w:tc>
        <w:tc>
          <w:tcPr>
            <w:tcW w:w="175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亩次</w:t>
            </w:r>
          </w:p>
        </w:tc>
        <w:tc>
          <w:tcPr>
            <w:tcW w:w="175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14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4" w:space="0"/>
            <w:insideV w:val="single" w:color="000000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826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02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05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清选晾晒</w:t>
            </w:r>
          </w:p>
        </w:tc>
        <w:tc>
          <w:tcPr>
            <w:tcW w:w="175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人工日</w:t>
            </w:r>
          </w:p>
        </w:tc>
        <w:tc>
          <w:tcPr>
            <w:tcW w:w="175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14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4" w:space="0"/>
            <w:insideV w:val="single" w:color="000000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826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02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05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调查、记录</w:t>
            </w:r>
          </w:p>
        </w:tc>
        <w:tc>
          <w:tcPr>
            <w:tcW w:w="175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人次</w:t>
            </w:r>
          </w:p>
        </w:tc>
        <w:tc>
          <w:tcPr>
            <w:tcW w:w="175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14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4" w:space="0"/>
            <w:insideV w:val="single" w:color="000000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826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02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05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现场管理</w:t>
            </w:r>
          </w:p>
        </w:tc>
        <w:tc>
          <w:tcPr>
            <w:tcW w:w="175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16"/>
                <w:sz w:val="24"/>
                <w:szCs w:val="24"/>
                <w:lang w:val="en-US" w:eastAsia="zh-CN" w:bidi="ar"/>
              </w:rPr>
              <w:t>人·7个月</w:t>
            </w:r>
          </w:p>
        </w:tc>
        <w:tc>
          <w:tcPr>
            <w:tcW w:w="175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14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4" w:space="0"/>
            <w:insideV w:val="single" w:color="000000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6" w:hRule="atLeast"/>
        </w:trPr>
        <w:tc>
          <w:tcPr>
            <w:tcW w:w="82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200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宣传及资料管理</w:t>
            </w:r>
          </w:p>
        </w:tc>
        <w:tc>
          <w:tcPr>
            <w:tcW w:w="505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制作宣传材料、技术资料印刷</w:t>
            </w:r>
          </w:p>
        </w:tc>
        <w:tc>
          <w:tcPr>
            <w:tcW w:w="175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16"/>
                <w:sz w:val="24"/>
                <w:szCs w:val="24"/>
                <w:lang w:val="en-US" w:eastAsia="zh-CN" w:bidi="ar"/>
              </w:rPr>
              <w:t>份·张</w:t>
            </w:r>
          </w:p>
        </w:tc>
        <w:tc>
          <w:tcPr>
            <w:tcW w:w="175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14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4" w:space="0"/>
            <w:insideV w:val="single" w:color="000000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</w:trPr>
        <w:tc>
          <w:tcPr>
            <w:tcW w:w="82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200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人员培训及劳务费用</w:t>
            </w:r>
          </w:p>
        </w:tc>
        <w:tc>
          <w:tcPr>
            <w:tcW w:w="505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技术人员下乡专家指导费</w:t>
            </w:r>
          </w:p>
        </w:tc>
        <w:tc>
          <w:tcPr>
            <w:tcW w:w="175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次</w:t>
            </w:r>
          </w:p>
        </w:tc>
        <w:tc>
          <w:tcPr>
            <w:tcW w:w="175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14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4" w:space="0"/>
            <w:insideV w:val="single" w:color="000000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</w:trPr>
        <w:tc>
          <w:tcPr>
            <w:tcW w:w="826" w:type="dxa"/>
            <w:vMerge w:val="restart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2002" w:type="dxa"/>
            <w:vMerge w:val="restart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项目评估及验收费用</w:t>
            </w:r>
          </w:p>
        </w:tc>
        <w:tc>
          <w:tcPr>
            <w:tcW w:w="505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项目检查评估、验收以及会务</w:t>
            </w:r>
          </w:p>
        </w:tc>
        <w:tc>
          <w:tcPr>
            <w:tcW w:w="175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人次</w:t>
            </w:r>
          </w:p>
        </w:tc>
        <w:tc>
          <w:tcPr>
            <w:tcW w:w="175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14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4" w:space="0"/>
            <w:insideV w:val="single" w:color="000000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1" w:hRule="atLeast"/>
        </w:trPr>
        <w:tc>
          <w:tcPr>
            <w:tcW w:w="826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02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05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测产技术服务费</w:t>
            </w:r>
          </w:p>
        </w:tc>
        <w:tc>
          <w:tcPr>
            <w:tcW w:w="175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人次</w:t>
            </w:r>
          </w:p>
        </w:tc>
        <w:tc>
          <w:tcPr>
            <w:tcW w:w="175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14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4" w:space="0"/>
            <w:insideV w:val="single" w:color="000000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7" w:hRule="atLeast"/>
        </w:trPr>
        <w:tc>
          <w:tcPr>
            <w:tcW w:w="82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0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合计</w:t>
            </w:r>
          </w:p>
        </w:tc>
        <w:tc>
          <w:tcPr>
            <w:tcW w:w="505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5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5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14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0" w:firstLineChars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</w:tbl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jc w:val="center"/>
        <w:textAlignment w:val="auto"/>
      </w:pPr>
      <w:r>
        <w:rPr>
          <w:rFonts w:hint="eastAsia" w:ascii="仿宋" w:hAnsi="仿宋" w:eastAsia="仿宋" w:cs="仿宋"/>
          <w:color w:val="FE1200"/>
          <w:spacing w:val="45"/>
          <w:w w:val="72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-49530</wp:posOffset>
                </wp:positionH>
                <wp:positionV relativeFrom="paragraph">
                  <wp:posOffset>8920480</wp:posOffset>
                </wp:positionV>
                <wp:extent cx="5796280" cy="27305"/>
                <wp:effectExtent l="0" t="31750" r="13970" b="36195"/>
                <wp:wrapNone/>
                <wp:docPr id="6" name="直接连接符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796280" cy="27305"/>
                        </a:xfrm>
                        <a:prstGeom prst="line">
                          <a:avLst/>
                        </a:prstGeom>
                        <a:ln w="63500" cmpd="thinThick">
                          <a:solidFill>
                            <a:srgbClr val="FC3102"/>
                          </a:solidFill>
                        </a:ln>
                      </wps:spPr>
                      <wps:style>
                        <a:lnRef idx="2">
                          <a:schemeClr val="accent1"/>
                        </a:lnRef>
                        <a:fillRef idx="0">
                          <a:srgbClr val="FFFFFF"/>
                        </a:fillRef>
                        <a:effectRef idx="0">
                          <a:srgbClr val="FFFFFF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-3.9pt;margin-top:702.4pt;height:2.15pt;width:456.4pt;z-index:251660288;mso-width-relative:page;mso-height-relative:page;" filled="f" stroked="t" coordsize="21600,21600" o:gfxdata="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">
                <v:fill on="f" focussize="0,0"/>
                <v:stroke weight="5pt" color="#FC3102 [3204]" linestyle="thinThick" miterlimit="8" joinstyle="miter"/>
                <v:imagedata o:title=""/>
                <o:lock v:ext="edit" aspectratio="f"/>
              </v:line>
            </w:pict>
          </mc:Fallback>
        </mc:AlternateContent>
      </w:r>
    </w:p>
    <w:sectPr>
      <w:pgSz w:w="16838" w:h="11906" w:orient="landscape"/>
      <w:pgMar w:top="1417" w:right="1417" w:bottom="1417" w:left="1417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pgNumType w:fmt="numberInDash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ind w:firstLine="640"/>
      </w:pPr>
      <w:r>
        <w:separator/>
      </w:r>
    </w:p>
  </w:endnote>
  <w:endnote w:type="continuationSeparator" w:id="1">
    <w:p>
      <w:pPr>
        <w:ind w:firstLine="64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chemeClr val="lt1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7"/>
                          </w:pPr>
                          <w:r>
                            <w:rPr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7"/>
                    </w:pPr>
                    <w:r>
                      <w:rPr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sz w:val="28"/>
                        <w:szCs w:val="28"/>
                      </w:rPr>
                      <w:t>1</w:t>
                    </w:r>
                    <w:r>
                      <w:rPr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ind w:firstLine="640"/>
      </w:pPr>
      <w:r>
        <w:separator/>
      </w:r>
    </w:p>
  </w:footnote>
  <w:footnote w:type="continuationSeparator" w:id="1">
    <w:p>
      <w:pPr>
        <w:ind w:firstLine="64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5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YyZjE5ZWI5NzNlZjFiMGM2MDliZjJiNTU4MGE3YTIifQ=="/>
  </w:docVars>
  <w:rsids>
    <w:rsidRoot w:val="4FBB2B94"/>
    <w:rsid w:val="02850136"/>
    <w:rsid w:val="02B70F65"/>
    <w:rsid w:val="036E1568"/>
    <w:rsid w:val="046724E0"/>
    <w:rsid w:val="048151DB"/>
    <w:rsid w:val="05127DE4"/>
    <w:rsid w:val="053E2038"/>
    <w:rsid w:val="05DB70B3"/>
    <w:rsid w:val="0756451B"/>
    <w:rsid w:val="07C31C5B"/>
    <w:rsid w:val="0ABE6287"/>
    <w:rsid w:val="0B786D08"/>
    <w:rsid w:val="0C501D54"/>
    <w:rsid w:val="12240078"/>
    <w:rsid w:val="14AC3A50"/>
    <w:rsid w:val="14F247A1"/>
    <w:rsid w:val="16CB46AE"/>
    <w:rsid w:val="16DC468E"/>
    <w:rsid w:val="171D7C6B"/>
    <w:rsid w:val="181A4A1B"/>
    <w:rsid w:val="1B7657D7"/>
    <w:rsid w:val="1CE369D9"/>
    <w:rsid w:val="1E0D5F01"/>
    <w:rsid w:val="209F45B4"/>
    <w:rsid w:val="21DD70F8"/>
    <w:rsid w:val="229E5B63"/>
    <w:rsid w:val="232D4A9D"/>
    <w:rsid w:val="285F7DBF"/>
    <w:rsid w:val="2A93433F"/>
    <w:rsid w:val="2B0E069C"/>
    <w:rsid w:val="2B547277"/>
    <w:rsid w:val="33111BF3"/>
    <w:rsid w:val="33185EFF"/>
    <w:rsid w:val="38F97662"/>
    <w:rsid w:val="3A9275EC"/>
    <w:rsid w:val="3CE44D85"/>
    <w:rsid w:val="400E0500"/>
    <w:rsid w:val="414D7732"/>
    <w:rsid w:val="429B40C7"/>
    <w:rsid w:val="44514F59"/>
    <w:rsid w:val="48621004"/>
    <w:rsid w:val="4FBB2B94"/>
    <w:rsid w:val="53764595"/>
    <w:rsid w:val="55372660"/>
    <w:rsid w:val="556F77BB"/>
    <w:rsid w:val="59FD2CB8"/>
    <w:rsid w:val="5A0E782C"/>
    <w:rsid w:val="5A760703"/>
    <w:rsid w:val="5B0A7221"/>
    <w:rsid w:val="5CBC5171"/>
    <w:rsid w:val="5D425114"/>
    <w:rsid w:val="5E412C45"/>
    <w:rsid w:val="5FC1178F"/>
    <w:rsid w:val="60D02503"/>
    <w:rsid w:val="63001AA4"/>
    <w:rsid w:val="653E7156"/>
    <w:rsid w:val="66B50F70"/>
    <w:rsid w:val="6FC70C67"/>
    <w:rsid w:val="70286382"/>
    <w:rsid w:val="78C27A52"/>
    <w:rsid w:val="78F73A06"/>
    <w:rsid w:val="78FA13DE"/>
    <w:rsid w:val="7A2808B4"/>
    <w:rsid w:val="7C6B09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qFormat="1"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ind w:firstLine="640" w:firstLineChars="200"/>
      <w:jc w:val="both"/>
    </w:pPr>
    <w:rPr>
      <w:rFonts w:ascii="Times New Roman" w:hAnsi="Times New Roman" w:eastAsia="仿宋" w:cs="Times New Roman"/>
      <w:kern w:val="2"/>
      <w:sz w:val="32"/>
      <w:szCs w:val="24"/>
      <w:lang w:val="en-US" w:eastAsia="zh-CN" w:bidi="ar-SA"/>
    </w:rPr>
  </w:style>
  <w:style w:type="paragraph" w:styleId="2">
    <w:name w:val="heading 1"/>
    <w:basedOn w:val="1"/>
    <w:next w:val="1"/>
    <w:link w:val="12"/>
    <w:autoRedefine/>
    <w:qFormat/>
    <w:uiPriority w:val="0"/>
    <w:pPr>
      <w:keepNext/>
      <w:keepLines/>
      <w:adjustRightInd w:val="0"/>
      <w:snapToGrid w:val="0"/>
      <w:spacing w:line="360" w:lineRule="auto"/>
      <w:ind w:firstLine="0" w:firstLineChars="0"/>
      <w:jc w:val="left"/>
      <w:outlineLvl w:val="0"/>
    </w:pPr>
    <w:rPr>
      <w:rFonts w:ascii="Times New Roman" w:hAnsi="Times New Roman" w:eastAsia="黑体"/>
      <w:bCs/>
      <w:kern w:val="44"/>
      <w:sz w:val="44"/>
      <w:szCs w:val="44"/>
    </w:rPr>
  </w:style>
  <w:style w:type="paragraph" w:styleId="3">
    <w:name w:val="heading 2"/>
    <w:basedOn w:val="1"/>
    <w:next w:val="1"/>
    <w:link w:val="13"/>
    <w:autoRedefine/>
    <w:semiHidden/>
    <w:unhideWhenUsed/>
    <w:qFormat/>
    <w:uiPriority w:val="0"/>
    <w:pPr>
      <w:keepNext/>
      <w:keepLines/>
      <w:spacing w:line="360" w:lineRule="auto"/>
      <w:ind w:firstLine="640" w:firstLineChars="200"/>
      <w:outlineLvl w:val="1"/>
    </w:pPr>
    <w:rPr>
      <w:rFonts w:ascii="Times New Roman" w:hAnsi="Times New Roman" w:eastAsia="楷体"/>
      <w:b/>
      <w:bCs/>
      <w:sz w:val="32"/>
      <w:szCs w:val="32"/>
    </w:rPr>
  </w:style>
  <w:style w:type="paragraph" w:styleId="4">
    <w:name w:val="heading 3"/>
    <w:basedOn w:val="1"/>
    <w:next w:val="1"/>
    <w:link w:val="11"/>
    <w:autoRedefine/>
    <w:semiHidden/>
    <w:unhideWhenUsed/>
    <w:qFormat/>
    <w:uiPriority w:val="0"/>
    <w:pPr>
      <w:ind w:firstLine="640" w:firstLineChars="200"/>
      <w:outlineLvl w:val="2"/>
    </w:pPr>
    <w:rPr>
      <w:rFonts w:ascii="Times New Roman" w:hAnsi="Times New Roman" w:eastAsia="仿宋" w:cs="Times New Roman"/>
      <w:b/>
      <w:bCs/>
      <w:sz w:val="32"/>
      <w:szCs w:val="32"/>
    </w:rPr>
  </w:style>
  <w:style w:type="paragraph" w:styleId="5">
    <w:name w:val="heading 4"/>
    <w:basedOn w:val="1"/>
    <w:next w:val="1"/>
    <w:autoRedefine/>
    <w:semiHidden/>
    <w:unhideWhenUsed/>
    <w:qFormat/>
    <w:uiPriority w:val="0"/>
    <w:pPr>
      <w:keepNext/>
      <w:keepLines/>
      <w:spacing w:beforeAutospacing="0" w:afterAutospacing="0" w:line="360" w:lineRule="auto"/>
      <w:ind w:firstLine="880" w:firstLineChars="200"/>
      <w:outlineLvl w:val="3"/>
    </w:pPr>
    <w:rPr>
      <w:rFonts w:ascii="Arial" w:hAnsi="Arial" w:eastAsia="仿宋" w:cs="Times New Roman"/>
      <w:sz w:val="32"/>
    </w:rPr>
  </w:style>
  <w:style w:type="character" w:default="1" w:styleId="10">
    <w:name w:val="Default Paragraph Font"/>
    <w:autoRedefine/>
    <w:semiHidden/>
    <w:unhideWhenUsed/>
    <w:qFormat/>
    <w:uiPriority w:val="1"/>
  </w:style>
  <w:style w:type="table" w:default="1" w:styleId="9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6">
    <w:name w:val="index 8"/>
    <w:basedOn w:val="1"/>
    <w:next w:val="1"/>
    <w:qFormat/>
    <w:uiPriority w:val="0"/>
    <w:pPr>
      <w:ind w:left="0" w:leftChars="0"/>
    </w:pPr>
  </w:style>
  <w:style w:type="paragraph" w:styleId="7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8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character" w:customStyle="1" w:styleId="11">
    <w:name w:val="标题 3 Char"/>
    <w:basedOn w:val="10"/>
    <w:link w:val="4"/>
    <w:autoRedefine/>
    <w:qFormat/>
    <w:uiPriority w:val="0"/>
    <w:rPr>
      <w:rFonts w:ascii="Times New Roman" w:hAnsi="Times New Roman" w:eastAsia="仿宋" w:cs="Times New Roman"/>
      <w:b/>
      <w:bCs/>
      <w:sz w:val="32"/>
      <w:szCs w:val="32"/>
    </w:rPr>
  </w:style>
  <w:style w:type="character" w:customStyle="1" w:styleId="12">
    <w:name w:val="标题 1 字符"/>
    <w:basedOn w:val="10"/>
    <w:link w:val="2"/>
    <w:qFormat/>
    <w:uiPriority w:val="0"/>
    <w:rPr>
      <w:rFonts w:ascii="Times New Roman" w:hAnsi="Times New Roman" w:eastAsia="黑体" w:cs="Calibri"/>
      <w:kern w:val="44"/>
      <w:sz w:val="44"/>
      <w:szCs w:val="21"/>
    </w:rPr>
  </w:style>
  <w:style w:type="character" w:customStyle="1" w:styleId="13">
    <w:name w:val="标题 2 字符"/>
    <w:basedOn w:val="10"/>
    <w:link w:val="3"/>
    <w:qFormat/>
    <w:uiPriority w:val="9"/>
    <w:rPr>
      <w:rFonts w:ascii="Times New Roman" w:hAnsi="Times New Roman" w:eastAsia="黑体" w:cs="Times New Roman"/>
      <w:b/>
      <w:bCs/>
      <w:kern w:val="2"/>
      <w:sz w:val="32"/>
      <w:szCs w:val="32"/>
    </w:rPr>
  </w:style>
  <w:style w:type="paragraph" w:customStyle="1" w:styleId="14">
    <w:name w:val="Table Text"/>
    <w:basedOn w:val="1"/>
    <w:autoRedefine/>
    <w:qFormat/>
    <w:uiPriority w:val="0"/>
  </w:style>
  <w:style w:type="character" w:customStyle="1" w:styleId="15">
    <w:name w:val="font21"/>
    <w:basedOn w:val="10"/>
    <w:autoRedefine/>
    <w:qFormat/>
    <w:uiPriority w:val="0"/>
    <w:rPr>
      <w:rFonts w:hint="eastAsia" w:ascii="宋体" w:hAnsi="宋体" w:eastAsia="宋体" w:cs="宋体"/>
      <w:color w:val="000000"/>
      <w:sz w:val="24"/>
      <w:szCs w:val="24"/>
      <w:u w:val="none"/>
    </w:rPr>
  </w:style>
  <w:style w:type="character" w:customStyle="1" w:styleId="16">
    <w:name w:val="font01"/>
    <w:basedOn w:val="10"/>
    <w:qFormat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8</Pages>
  <Words>2646</Words>
  <Characters>2734</Characters>
  <Lines>0</Lines>
  <Paragraphs>0</Paragraphs>
  <TotalTime>8</TotalTime>
  <ScaleCrop>false</ScaleCrop>
  <LinksUpToDate>false</LinksUpToDate>
  <CharactersWithSpaces>2826</CharactersWithSpaces>
  <Application>WPS Office_12.1.0.16250_F1E327BC-269C-435d-A152-05C5408002CA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2025-04-01T00:44:00Z</dcterms:created>
  <dc:creator>王治龙</dc:creator>
  <cp:lastModifiedBy>WPS_1647765658</cp:lastModifiedBy>
  <cp:lastPrinted>2025-04-02T01:09:00Z</cp:lastPrinted>
  <dcterms:modified xsi:type="dcterms:W3CDTF">2025-04-18T03:10:31Z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2052-12.1.0.16250</vt:lpwstr>
  </property>
  <property fmtid="{D5CDD505-2E9C-101B-9397-08002B2CF9AE}" pid="3" name="ICV">
    <vt:lpwstr>E859ADD026BA4535A70CDF985A69A8F2_13</vt:lpwstr>
  </property>
  <property fmtid="{D5CDD505-2E9C-101B-9397-08002B2CF9AE}" pid="4" name="KSOTemplateDocerSaveRecord">
    <vt:lpwstr>eyJoZGlkIjoiOTRkYTBkZDg5ODYzOTRiNzRmNDgxZWZjZTdjNTM0ZGMiLCJ1c2VySWQiOiIyNjY5NjQ2OTcifQ==</vt:lpwstr>
  </property>
</Properties>
</file>