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LHDR-2022-00002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隆政发〔2022〕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100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隆回县人民政府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关于印发《隆回县实施市场主体高质量发展倍增工程行动方案（2022-2025年）》的通知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各乡镇人民政府、街道办事处，县直及省市驻隆各相关单位：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《隆回县实施市场主体高质量发展倍增工程行动方案（2022-2025年）》已经县人民政府同意，现印发给你们，请认真遵照执行。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隆回县人民政府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96" w:firstLineChars="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2022年3月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1906" w:h="16838"/>
          <w:pgMar w:top="1701" w:right="1417" w:bottom="1417" w:left="1417" w:header="851" w:footer="1134" w:gutter="0"/>
          <w:pgNumType w:fmt="numberInDash"/>
          <w:cols w:space="720" w:num="1"/>
          <w:docGrid w:type="lines" w:linePitch="491" w:charSpace="0"/>
        </w:sect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隆回县实施市场主体高质量发展倍增工程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行动方案（2022-2025年）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为全面落实“三高四新”战略定位和使命任务，推进“三宜三融三区”现代化新隆回高质量发展，持续深化“放管服”改革优化营商环境，促进市场主体高质量发展，按照《湖南省人民政府关于</w:t>
      </w:r>
      <w:r>
        <w:rPr>
          <w:rFonts w:hint="eastAsia" w:ascii="仿宋" w:hAnsi="仿宋" w:eastAsia="仿宋" w:cs="宋体"/>
          <w:sz w:val="32"/>
          <w:szCs w:val="32"/>
        </w:rPr>
        <w:t>优化营商环境促进市场主体高质量发展的意见</w:t>
      </w:r>
      <w:r>
        <w:rPr>
          <w:rFonts w:hint="eastAsia" w:ascii="仿宋" w:hAnsi="仿宋" w:eastAsia="仿宋"/>
          <w:sz w:val="32"/>
          <w:szCs w:val="32"/>
        </w:rPr>
        <w:t>》（湘政发〔2022〕2号）和《邵阳市优化营商环境促进市场主体高质量发展实施方案（2022-2025年）》（邵市政发</w:t>
      </w:r>
      <w:r>
        <w:rPr>
          <w:rFonts w:hint="eastAsia" w:ascii="仿宋" w:hAnsi="仿宋" w:eastAsia="仿宋"/>
          <w:sz w:val="32"/>
          <w:szCs w:val="32"/>
          <w:lang w:eastAsia="zh-CN"/>
        </w:rPr>
        <w:t>〔</w:t>
      </w:r>
      <w:r>
        <w:rPr>
          <w:rFonts w:hint="eastAsia"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sz w:val="32"/>
          <w:szCs w:val="32"/>
        </w:rPr>
        <w:t>3号）要求，结合我县实际，特制定本行动方案。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全面贯彻党的十九大和十九届历次全会精神，深入落实习近平总书记对湖南重要讲话重要指示批示精神，按照省市第十二次党代会和县第十三次党代会部署要求，大力优化营商环境，实施优质企业梯度培育行动和市场主体倍增工程，加快建设高标准市场体系，在真抓实干中闯出市场主体高质量发展的新路子，为推动“三宜三融三区”现代化新隆回经济社会高质量发展打下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二、发展目标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——市场主体总量显著增长。市场主体生命力、活跃度不断提升，总量持续增长。到</w:t>
      </w:r>
      <w:r>
        <w:rPr>
          <w:rFonts w:hint="eastAsia" w:ascii="仿宋" w:hAnsi="仿宋" w:eastAsia="仿宋" w:cs="Times New Roman"/>
          <w:sz w:val="32"/>
          <w:szCs w:val="32"/>
        </w:rPr>
        <w:t>2025</w:t>
      </w:r>
      <w:r>
        <w:rPr>
          <w:rFonts w:hint="eastAsia" w:ascii="仿宋" w:hAnsi="仿宋" w:eastAsia="仿宋"/>
          <w:sz w:val="32"/>
          <w:szCs w:val="32"/>
        </w:rPr>
        <w:t>年末，全县市场主体力争达到</w:t>
      </w:r>
      <w:r>
        <w:rPr>
          <w:rFonts w:hint="eastAsia" w:ascii="仿宋" w:hAnsi="仿宋" w:eastAsia="仿宋" w:cs="Times New Roman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万户。其中，企业</w:t>
      </w:r>
      <w:r>
        <w:rPr>
          <w:rFonts w:hint="eastAsia" w:ascii="仿宋" w:hAnsi="仿宋" w:eastAsia="仿宋" w:cs="Times New Roman"/>
          <w:sz w:val="32"/>
          <w:szCs w:val="32"/>
        </w:rPr>
        <w:t>2.8</w:t>
      </w:r>
      <w:r>
        <w:rPr>
          <w:rFonts w:hint="eastAsia" w:ascii="仿宋" w:hAnsi="仿宋" w:eastAsia="仿宋"/>
          <w:sz w:val="32"/>
          <w:szCs w:val="32"/>
        </w:rPr>
        <w:t>万户，个体工商户</w:t>
      </w:r>
      <w:r>
        <w:rPr>
          <w:rFonts w:hint="eastAsia" w:ascii="仿宋" w:hAnsi="仿宋" w:eastAsia="仿宋" w:cs="Times New Roman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农民专业合作社</w:t>
      </w:r>
      <w:r>
        <w:rPr>
          <w:rFonts w:hint="eastAsia" w:ascii="仿宋" w:hAnsi="仿宋" w:eastAsia="仿宋" w:cs="Times New Roman"/>
          <w:sz w:val="32"/>
          <w:szCs w:val="32"/>
        </w:rPr>
        <w:t>7.2</w:t>
      </w:r>
      <w:r>
        <w:rPr>
          <w:rFonts w:hint="eastAsia" w:ascii="仿宋" w:hAnsi="仿宋" w:eastAsia="仿宋"/>
          <w:sz w:val="32"/>
          <w:szCs w:val="32"/>
        </w:rPr>
        <w:t>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市场主体结构不断优化。市场主体多元发展，三次产业布局更加合理，“三个高地”支撑更加有力。到2025年末，全县规模以上农产品加工企业、建筑业企业、服务业企业和限额以上商贸流通企业、“四上”文化旅游企业分别净增加62户、19户、97户、101户、60户，规模以上工业企业、高新技术企业、外商投资企业、外贸实绩企业分别突破 300户、60户、20户、40 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市场主体质量稳步提升。加快“个转企、小升规、规改股、股上市”提档升级，市场主体综合实力、创新能力、经济效益不断提升，实现绿色化、有质量的增长。到2025年末，引进“三类500强”企业10家、上市公司5家，</w:t>
      </w:r>
      <w:r>
        <w:rPr>
          <w:rFonts w:hint="eastAsia" w:ascii="仿宋" w:hAnsi="仿宋" w:eastAsia="仿宋"/>
          <w:color w:val="000000"/>
          <w:sz w:val="32"/>
          <w:szCs w:val="32"/>
        </w:rPr>
        <w:t>国家级、省级小巨人企业分别突破 5 家、20家，评价入库科技型中小企业突破 100户。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——市场主体生态持续改善。营商环境全面优化，土地、资本、数据等要素市场化配置改革不断深化，产业配套能力持续提升，经营成本有效降低，行政服务水平和市场治理效能不断提升，企业办事简捷方便，发展生态更趋良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Style w:val="16"/>
          <w:rFonts w:hint="eastAsia" w:ascii="Times New Roman" w:hAnsi="Times New Roman" w:eastAsia="黑体"/>
        </w:rPr>
      </w:pPr>
      <w:r>
        <w:rPr>
          <w:rStyle w:val="16"/>
          <w:rFonts w:hint="eastAsia" w:ascii="黑体" w:hAnsi="黑体" w:eastAsia="黑体"/>
          <w:color w:val="000000"/>
          <w:sz w:val="32"/>
          <w:szCs w:val="32"/>
        </w:rPr>
        <w:t>三、重点任务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472" w:firstLineChars="147"/>
        <w:jc w:val="both"/>
        <w:textAlignment w:val="auto"/>
        <w:rPr>
          <w:rStyle w:val="16"/>
          <w:rFonts w:ascii="仿宋" w:hAnsi="仿宋" w:eastAsia="仿宋" w:cs="Times New Roman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（一）实施重点企业培育行动。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建立产业发展目录和投资指南，聚焦先进制造业、创新创造、外资外贸、农业农村、文化旅游等重点领域，突出培育企业主体。大力实施产业发展“千百十”工程，创建省级制造业高质量发展试验区，打造</w:t>
      </w:r>
      <w:r>
        <w:rPr>
          <w:rStyle w:val="16"/>
          <w:rFonts w:hint="eastAsia" w:ascii="仿宋" w:hAnsi="仿宋" w:eastAsia="仿宋" w:cs="Times New Roman"/>
          <w:color w:val="000000"/>
          <w:sz w:val="32"/>
          <w:szCs w:val="32"/>
        </w:rPr>
        <w:t>1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个省级先进制造业集群。建立“科企—高企—小巨人—上市领军型”企业梯度培育体系，加强“大院大所大企”合作，实施产业领军企业“头雁领航”工程。加强与东盟、非洲等地的深度合作，加快建设中非产业园、东盟科技产业园，率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先打造湖南自贸区联动发展区，推动形成对接非洲和东盟经贸合作长效机制。深入推进“六大强农”行动，实施“千社”工程，支持农民专业合作社参与乡村振兴项目，鼓励支持农业企业股改、上市。加强文化旅游资源保护与开发利用，推动旅游业提质升档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,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大力推进全域旅游、乡村旅游，着力培养文化旅游企业。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隆回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高新区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、县商务局、县农业农村局、县乡村振兴局、县文旅广体局等按职责分工负责，排第一的单位为牵头单位，下同。）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kern w:val="0"/>
          <w:sz w:val="32"/>
          <w:szCs w:val="32"/>
          <w:lang w:val="en-US" w:eastAsia="zh-CN" w:bidi="ar-SA"/>
        </w:rPr>
        <w:t>（二）实施中小企业和个体工商户培育行动。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化统筹协调机制作用，持续推动减税降费、减租降息、普惠金融等纾困惠企政策直达基层、直接惠及个体工商户和中小企业。落实个体工商户稳岗就业补贴，降低小微企业和个体工商户地租成本，引导平台企业降低不合理收费和抽成。运用普惠小微企业和个体工商户贷款支持工具，做好普惠小微企业信用贷款支持计划接续转换工作，推动个体工商户和中小企业扩面，不断提高其存活率、活跃度，稳住市场主体培育的基本盘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（县市监局、县发改局、县财政局、县税务局、县人社局、县住建局等按职责分工负责）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（三）实施“个转企”培育行动。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建立“个转企”种子培育库，加大“个转企”支持力度，符合条件的“个转企”企业，转企三年内享受小微企业税费优惠政策。推动实现“个转企”登记程序一件事一次办，保持“个转企”登记档案延续性、一致性，支持个体工商户享有的专利权、商标权、名称权等权益保护转移至“个转企”企业名下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（县市监局、县科工信局、县人社局、县自然资源局、人民银行隆回支行、县税务局等按职责分工负责）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（四）实施“四上”企业培育行动。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开展“新增规模以上工业企业”行动，充分挖掘规上企业新增量，支持新增规上企业稳定在库。建立存量企业退库预警机制，加强临退企业经营情况监测分析，帮助企业纾困解难，切实减少退库数量。支持资质等级建筑业企业、限额以上批零住宿餐饮企业、限额以上服务业企业规模发展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（县发改局、县科工信局、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、县财政局、县税务局、县住建局、县商务局、县工商联等按职责分工负责）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（五）实施企业上市培育行动。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贯彻落实企业上市“金芙蓉跃升”计划，扩充上市后备资源，强化后备企业培育辅导，引导企业规范治理，做好风险防范，支持企业做强做优。拓宽上市渠道，着力推动科技创新型企业科创板上市，加快推动“三创四新”企业创业板上市，稳步推进创新型中小企业北交所上市，鼓励再融资和并购重组，积极招引优质上市公司和后备企业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（县金融服务中心、县人民法院、县人民检察院、县发改局、县科工信局、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、县财政局、县商务局、县市监局、县税务局等按职责分工负责）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0" w:firstLineChars="200"/>
        <w:jc w:val="both"/>
        <w:textAlignment w:val="auto"/>
        <w:rPr>
          <w:rFonts w:hint="eastAsia"/>
          <w:spacing w:val="0"/>
        </w:rPr>
      </w:pPr>
      <w:r>
        <w:rPr>
          <w:rStyle w:val="16"/>
          <w:rFonts w:hint="eastAsia" w:ascii="黑体" w:hAnsi="黑体" w:eastAsia="黑体"/>
          <w:color w:val="000000"/>
          <w:spacing w:val="0"/>
          <w:sz w:val="32"/>
          <w:szCs w:val="32"/>
        </w:rPr>
        <w:t>四、主要举措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ascii="仿宋" w:hAnsi="仿宋" w:eastAsia="仿宋"/>
          <w:spacing w:val="0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（一）加大财税支持力度。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完善财政资金直达机制，强化日常监控，确保直达资金落实到位、规范使用。优化税费优惠政策适用程序，推行惠企政策“免申即享”。落实制造业增值税留抵退税、小规模纳税人减征免征等减税降费政策。加强非税收入退付管理，确保取消、停征、免征及降低征收标准的收费基金项目落实到位。支持招大引强，对世界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500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强、中国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500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强、民营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500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强、行业领军企业来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  <w:lang w:eastAsia="zh-CN"/>
        </w:rPr>
        <w:t>隆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新设立企业总部的，按“一事一议”方式对其在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  <w:lang w:eastAsia="zh-CN"/>
        </w:rPr>
        <w:t>隆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企业给予支持。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（县财政局、县税务局牵头，县直和省、市驻隆有关单位按职责分工负责）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（二）提高助企纾困实效。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开展“百行进万企”融资对接活动，推广银税互动、银保合作、政银担合作等模式，用好“信易贷”“潇湘财银贷”等平台和工具，增加信用贷款、首贷投放，推广随借随还贷款。建立企业融资专家库，建设邵阳市金融综合服务平台，打破银企信息不对称困局，提升银企对接质效。充分发挥过桥资金作用，降低过桥费率，有效降低企业续贷综合融资成本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人民银行隆回支行、县金融服务中心，县发改局、县科工信局、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、县财政局、县人社局、县住建局、县市监局、县医保局、县税务局、国网隆回供电公司等按职责分工负责）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（三）降低企业要素成本。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完善周转地、标准地、弹性地政策，引导企业集聚发展。做好保供稳价工作，加快推进重点工程建设，科学调度煤、电、油、气、运，防止要素成本高企造成市场预期减弱。加强城镇供水供电供气清理规范，帮助企业解决用工、资金、关键零部件供应等生产要素问题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（县发改局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县自然资源局、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县住建局、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、县人社局、人民银行隆回支行、县供销社、国网隆回供电公司等按职责分工负责）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（四）优化行政审批服务。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深入推进住所（经营场所）登记制度改革，推动“非禁即入”普遍落实。实现“证照分离”改革全覆盖，推进“照后减证”和简化审批。深化“一件事一次办”改革，提高“一网通办”效率，扩大“跨省通办”范围。推动高频电子证照标准化和跨区域互认共享。深化工程建设项目审批制度改革，进一步压减电力接入审批时间。发挥破产处置府院联动机制作用，优化简易注销制度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（县发改局、县行政审批服务局，县司法局、县公安局、县人民法院、县人社局、县商务局、县税务局、县住建局、县市监局、人民银行隆回支行等按职责分工负责）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（五）营造公平竞争环境。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废除与企业性质、属地或规模挂钩的歧视性准入规定和补贴政策，加强民生保障、促进创新等重点领域的反垄断和反不正当竞争执法。完善涉企收费目录清单制度，加强涉企收费治理。发挥“互联网</w:t>
      </w:r>
      <w:r>
        <w:rPr>
          <w:rStyle w:val="16"/>
          <w:rFonts w:hint="eastAsia" w:ascii="仿宋" w:hAnsi="仿宋" w:eastAsia="仿宋" w:cs="Times New Roman"/>
          <w:color w:val="000000"/>
          <w:sz w:val="32"/>
          <w:szCs w:val="32"/>
        </w:rPr>
        <w:t>+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监管”平台作用，推进部门联合“双随机、一公开”监管常态化。推广信用承诺制、告知承诺制，健全守信联合激励和失信联合惩戒机制。完善产权保护制度，依法全面保护各类产权。实行包容审慎监管，压缩自由裁量空间，推行轻微违法“首违不罚”。严格市场监管、质量监管、安全监管、金融监管，加强违法惩戒，严守市场安全底线。加强行业自律，建立健全行业规范，推动行业诚信体系建设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（县市监局、县人民法院、县人民检察院、县发改局、县公安局、县住建局、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县交通运输局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、县农业农村局、县文旅广体局、县卫健局、县金融服务中心、人民银行隆回支行、县税务局、县司法局等按职责分工负责）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Style w:val="16"/>
          <w:rFonts w:hint="eastAsia" w:ascii="黑体" w:hAnsi="黑体" w:eastAsia="黑体"/>
          <w:color w:val="00000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Style w:val="16"/>
          <w:rFonts w:ascii="仿宋" w:hAnsi="仿宋" w:eastAsia="仿宋"/>
        </w:rPr>
      </w:pPr>
      <w:r>
        <w:rPr>
          <w:rStyle w:val="16"/>
          <w:rFonts w:hint="eastAsia" w:ascii="楷体" w:hAnsi="楷体" w:eastAsia="楷体"/>
          <w:b/>
          <w:bCs/>
          <w:color w:val="000000"/>
          <w:kern w:val="0"/>
          <w:sz w:val="32"/>
          <w:szCs w:val="32"/>
          <w:lang w:val="en-US" w:eastAsia="zh-CN" w:bidi="ar-SA"/>
        </w:rPr>
        <w:t>（一）强化组织保障。</w:t>
      </w:r>
      <w:r>
        <w:rPr>
          <w:rStyle w:val="16"/>
          <w:rFonts w:hint="eastAsia" w:ascii="仿宋" w:hAnsi="仿宋" w:eastAsia="仿宋"/>
          <w:color w:val="000000"/>
          <w:kern w:val="0"/>
          <w:sz w:val="32"/>
          <w:szCs w:val="32"/>
        </w:rPr>
        <w:t>建立隆回县实施市场主体高质量发展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倍增工程工作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，由县委书记刘军、县长杨韶辉为总召集人（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长），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常务副县长邓印强（第一副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长）、分管副县长蒋吉为副召集人（副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长），常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副县长刘梦林、副县长杨喜国、张胤、贺海飞，县政府二级调研员罗晓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光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任副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长，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县直指标单位主要负责人为成员。领导小组办公室设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县市监局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，由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县市监局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党组书记、局长李良任办公室主任，统筹推进市场主体倍增工作，协调解决工作中的重大问题。各乡镇人民政府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街道办事处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）、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隆回高新区管委会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各指标牵头部门和责任部门要建立相应工作机制，组建工作专班，切实加强组织领导和统筹协调，做好任务落实和督促指导。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kern w:val="0"/>
          <w:sz w:val="32"/>
          <w:szCs w:val="32"/>
          <w:lang w:val="en-US" w:eastAsia="zh-CN" w:bidi="ar-SA"/>
        </w:rPr>
        <w:t>（二）强化责任落实。</w:t>
      </w:r>
      <w:r>
        <w:rPr>
          <w:rFonts w:hint="eastAsia" w:ascii="仿宋" w:hAnsi="仿宋" w:eastAsia="仿宋"/>
          <w:color w:val="000000"/>
          <w:sz w:val="32"/>
          <w:szCs w:val="32"/>
        </w:rPr>
        <w:t>各乡镇人民政府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街道办事处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、隆回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高新区</w:t>
      </w:r>
      <w:r>
        <w:rPr>
          <w:rFonts w:hint="eastAsia" w:ascii="仿宋" w:hAnsi="仿宋" w:eastAsia="仿宋"/>
          <w:color w:val="000000"/>
          <w:sz w:val="32"/>
          <w:szCs w:val="32"/>
        </w:rPr>
        <w:t>管委会和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县市监局</w:t>
      </w:r>
      <w:r>
        <w:rPr>
          <w:rFonts w:hint="eastAsia" w:ascii="仿宋" w:hAnsi="仿宋" w:eastAsia="仿宋"/>
          <w:color w:val="000000"/>
          <w:sz w:val="32"/>
          <w:szCs w:val="32"/>
        </w:rPr>
        <w:t>、县发改局、县科工信局、县商务局、县农业农村局、县住建局、县文旅广体局、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县重点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建设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项目事务中心</w:t>
      </w:r>
      <w:r>
        <w:rPr>
          <w:rFonts w:hint="eastAsia" w:ascii="仿宋" w:hAnsi="仿宋" w:eastAsia="仿宋"/>
          <w:color w:val="000000"/>
          <w:sz w:val="32"/>
          <w:szCs w:val="32"/>
        </w:rPr>
        <w:t>、县农经站、县金融服务中心等指标牵头部门要根据方案分工和目标清单，结合本部门实际，抓紧研究制定促进市场主体高质量发展实施方案，将目标任务细化到年度、分解到地区、具体到部门，分级分类制定任务书、路线图，确保任务落实到位。其他相关责任单位要根据方案分工，制定推进市场主体倍增工程的具体政策措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Times New Roman" w:hAnsi="Times New Roman" w:cs="仿宋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（三）强化信息报送。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县实施市场主体高质量发展倍增工程</w:t>
      </w:r>
      <w:r>
        <w:rPr>
          <w:rFonts w:hint="eastAsia" w:ascii="仿宋" w:hAnsi="仿宋" w:eastAsia="仿宋"/>
          <w:color w:val="000000"/>
          <w:sz w:val="32"/>
          <w:szCs w:val="32"/>
        </w:rPr>
        <w:t>领导小组办公室负责对各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乡镇（街道）</w:t>
      </w:r>
      <w:r>
        <w:rPr>
          <w:rFonts w:hint="eastAsia" w:ascii="仿宋" w:hAnsi="仿宋" w:eastAsia="仿宋"/>
          <w:color w:val="000000"/>
          <w:sz w:val="32"/>
          <w:szCs w:val="32"/>
        </w:rPr>
        <w:t>、高新区市场主体增量及各指标牵头单位责任单位工作落实情况按月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调度督查</w:t>
      </w:r>
      <w:r>
        <w:rPr>
          <w:rFonts w:hint="eastAsia" w:ascii="仿宋" w:hAnsi="仿宋" w:eastAsia="仿宋"/>
          <w:color w:val="000000"/>
          <w:sz w:val="32"/>
          <w:szCs w:val="32"/>
        </w:rPr>
        <w:t>，各成员单位要按时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填报好相关报表，经本单位主要负责人签字盖章后于每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月25日前报送县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" w:hAnsi="仿宋" w:eastAsia="仿宋"/>
          <w:color w:val="000000"/>
          <w:sz w:val="32"/>
          <w:szCs w:val="32"/>
        </w:rPr>
        <w:t>。联系人：黄军，联系电话：13873921986，邮箱：270253599@qq.com。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160" w:leftChars="76" w:firstLine="482" w:firstLineChars="150"/>
        <w:jc w:val="both"/>
        <w:textAlignment w:val="auto"/>
        <w:rPr>
          <w:rFonts w:ascii="Times New Roman" w:hAnsi="Times New Roman" w:cs="仿宋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（四）强化考核监测。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将</w:t>
      </w:r>
      <w:r>
        <w:rPr>
          <w:rFonts w:hint="eastAsia" w:ascii="仿宋" w:hAnsi="仿宋" w:eastAsia="仿宋"/>
          <w:color w:val="000000"/>
          <w:sz w:val="32"/>
          <w:szCs w:val="32"/>
        </w:rPr>
        <w:t>市场主体培育推进情况纳入年度绩效考核体系和县政府“三重点”工作，对各乡镇（街道）、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隆回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高新区管委会、各指标牵头单位和责任单位</w:t>
      </w:r>
      <w:r>
        <w:rPr>
          <w:rFonts w:hint="eastAsia" w:ascii="仿宋" w:hAnsi="仿宋" w:eastAsia="仿宋"/>
          <w:color w:val="000000"/>
          <w:sz w:val="32"/>
          <w:szCs w:val="32"/>
        </w:rPr>
        <w:t>实行月调度、季讲评、年考核。县政府督查室要将市场主体培育工作纳入重点督查范围，定期跟踪督查。领导小组办公室要牵头建立统计监测制度，建立健全统计监测指标体系，加强日常监测，强化工作调度。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（五）强化宣传引导。</w:t>
      </w:r>
      <w:r>
        <w:rPr>
          <w:rFonts w:hint="eastAsia" w:ascii="仿宋" w:hAnsi="仿宋" w:eastAsia="仿宋"/>
          <w:color w:val="000000"/>
          <w:sz w:val="32"/>
          <w:szCs w:val="32"/>
        </w:rPr>
        <w:t>各部门要充分利用各类媒体，宣传市场主体在经济社会发展中的重要地位、作用和培育市场主体的重要意义，以及优化营商环境促进市场主体倍增的政策措施，做好政策措施宣传解读，扩大知晓度、支持度和参与度，及时回应社会关切，确保政策措施全面落实；要及时总结市场主体培育发展中可推广复制的典型经验，提振市场主体信心，营造良好的舆论氛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附件：1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2025年末全县市场主体（企业）发展目标责任清单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2022年3-12月全县各责任部门市场主体（企业）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2080" w:firstLineChars="6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高质量发展到月任务分解表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全县市场主体倍增工程乡镇（街道）任务分解表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2022年各乡镇（街道）市场主体总量月度目标数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2022年各乡镇（街道）企业月度目标数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2022年各乡镇（街道）“个转企”月度目标数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2025年末全县市场主体（企业）发展目标责任清单</w:t>
      </w:r>
    </w:p>
    <w:tbl>
      <w:tblPr>
        <w:tblStyle w:val="10"/>
        <w:tblW w:w="500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1222"/>
        <w:gridCol w:w="1675"/>
        <w:gridCol w:w="1502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指标类型</w:t>
            </w:r>
          </w:p>
        </w:tc>
        <w:tc>
          <w:tcPr>
            <w:tcW w:w="65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2025年目标数（户）</w:t>
            </w:r>
          </w:p>
        </w:tc>
        <w:tc>
          <w:tcPr>
            <w:tcW w:w="9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责任部门</w:t>
            </w: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第一责任人</w:t>
            </w:r>
          </w:p>
        </w:tc>
        <w:tc>
          <w:tcPr>
            <w:tcW w:w="107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分管责任人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5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农产品加工企业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4250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丁正华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卢本武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农民专业合作社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建筑企业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360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周玉科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服务业企业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6000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彭文波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范志明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商贸流通企业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3000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县商务局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刘朝晖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唐永红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外商投资企业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外贸实绩企业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40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文化旅游企业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县文旅广体局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周文锋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陈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规模以上工业企业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 xml:space="preserve">县科工信局     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隆回高新区管委会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戴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飞           何本君         谭小菊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胡乐清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黄足斌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高新技术产业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60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“三类500强”企业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上市公司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国家级“小巨人”企业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省级“小巨人”企业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评价入库科技型中小企业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运输类企业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刘界夫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刘智平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其他企业分公司、子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公司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3600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县重点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项目事务中心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谢永升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hanging="315" w:hangingChars="150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尹扬辉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统计指标监测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23770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县市监局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良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胡晓伟</w:t>
            </w: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2022年3-12月全县各责任部门市场主体（企业）高质量发展到月任务分解表</w:t>
      </w:r>
    </w:p>
    <w:tbl>
      <w:tblPr>
        <w:tblStyle w:val="10"/>
        <w:tblW w:w="50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47"/>
        <w:gridCol w:w="787"/>
        <w:gridCol w:w="480"/>
        <w:gridCol w:w="480"/>
        <w:gridCol w:w="480"/>
        <w:gridCol w:w="480"/>
        <w:gridCol w:w="480"/>
        <w:gridCol w:w="480"/>
        <w:gridCol w:w="484"/>
        <w:gridCol w:w="484"/>
        <w:gridCol w:w="484"/>
        <w:gridCol w:w="570"/>
        <w:gridCol w:w="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责任部门</w:t>
            </w:r>
          </w:p>
        </w:tc>
        <w:tc>
          <w:tcPr>
            <w:tcW w:w="9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新办市场主体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（企业）类型</w:t>
            </w:r>
          </w:p>
        </w:tc>
        <w:tc>
          <w:tcPr>
            <w:tcW w:w="42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全年任务数（户）</w:t>
            </w:r>
          </w:p>
        </w:tc>
        <w:tc>
          <w:tcPr>
            <w:tcW w:w="2624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月完成数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21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农产品加工企业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农民专业合作社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建筑企业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服务业企业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县商务局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商贸流通企业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外商投资企业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外贸实绩企业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县文旅广体局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文化旅游企业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 xml:space="preserve">县科工信局       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隆回高新区管委会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规模以上工业企业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firstLine="105" w:firstLineChars="50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高新技术产业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w w:val="99"/>
                <w:kern w:val="0"/>
                <w:sz w:val="21"/>
                <w:szCs w:val="21"/>
              </w:rPr>
              <w:t>“三类500强”企业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上市公司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国家级“小巨人”企业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pacing w:val="-11"/>
                <w:w w:val="99"/>
                <w:kern w:val="0"/>
                <w:sz w:val="21"/>
                <w:szCs w:val="21"/>
              </w:rPr>
              <w:t>省级“小巨人”企业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评价入库科技型中小企业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运输类企业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县重点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项目事务中心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其他企业分公司、子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2280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县市监局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统计指标监测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6448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660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656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611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614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651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全县市场主体倍增工程乡镇（街道）分解表</w:t>
      </w:r>
    </w:p>
    <w:tbl>
      <w:tblPr>
        <w:tblStyle w:val="10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9"/>
        <w:gridCol w:w="974"/>
        <w:gridCol w:w="974"/>
        <w:gridCol w:w="980"/>
        <w:gridCol w:w="974"/>
        <w:gridCol w:w="974"/>
        <w:gridCol w:w="980"/>
        <w:gridCol w:w="97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市场主体（户）</w:t>
            </w: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企业（户）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个转企（户）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小沙江镇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1910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3512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340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虎形山乡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641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775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1179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426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麻塘山乡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542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656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997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253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高坪镇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2250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2722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4137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159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302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638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罗洪镇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601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727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1105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荷田乡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514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622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945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257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鸭田镇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666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806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1225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135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285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金石桥镇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2313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2798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司门前镇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1810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2189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3328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743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大水田乡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376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455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691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羊古坳镇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928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1123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1706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369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七江镇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1175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1421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2160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228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482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六都寨镇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2153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2604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3958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393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831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荷香桥镇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1913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2314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3517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306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646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横板桥镇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1194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1444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2195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426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西洋江镇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1033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1250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1899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135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285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南岳庙镇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915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1107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1682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446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滩头镇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2008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2429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309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654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岩口镇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1735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2099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336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周旺镇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983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1189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1807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北山镇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774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936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1423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三阁司镇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1273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1540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2341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368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779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山界回族乡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517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625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951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241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桃花坪街道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15026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18176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2528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4800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花门街道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10650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12883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1658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3150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1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53900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65200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6900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13100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0"/>
                <w:sz w:val="21"/>
                <w:szCs w:val="21"/>
              </w:rPr>
              <w:t>628</w:t>
            </w:r>
          </w:p>
        </w:tc>
      </w:tr>
    </w:tbl>
    <w:p>
      <w:pPr>
        <w:spacing w:beforeLines="50" w:line="320" w:lineRule="exact"/>
        <w:rPr>
          <w:rFonts w:ascii="Times New Roman" w:hAnsi="Times New Roman" w:cs="仿宋"/>
          <w:color w:val="000000"/>
          <w:sz w:val="24"/>
          <w:szCs w:val="24"/>
        </w:rPr>
      </w:pPr>
      <w:r>
        <w:rPr>
          <w:rFonts w:ascii="宋体" w:hAnsi="宋体" w:cs="仿宋"/>
          <w:color w:val="000000"/>
          <w:sz w:val="24"/>
          <w:szCs w:val="24"/>
        </w:rPr>
        <w:t>备注：</w:t>
      </w:r>
      <w:r>
        <w:rPr>
          <w:rFonts w:ascii="Times New Roman" w:hAnsi="Times New Roman"/>
          <w:color w:val="000000"/>
          <w:sz w:val="24"/>
          <w:szCs w:val="24"/>
        </w:rPr>
        <w:t>1.2021</w:t>
      </w:r>
      <w:r>
        <w:rPr>
          <w:rFonts w:ascii="宋体" w:hAnsi="宋体" w:cs="仿宋"/>
          <w:color w:val="000000"/>
          <w:sz w:val="24"/>
          <w:szCs w:val="24"/>
        </w:rPr>
        <w:t>年、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宋体" w:hAnsi="宋体" w:cs="仿宋"/>
          <w:color w:val="000000"/>
          <w:sz w:val="24"/>
          <w:szCs w:val="24"/>
        </w:rPr>
        <w:t>年、</w:t>
      </w:r>
      <w:r>
        <w:rPr>
          <w:rFonts w:ascii="Times New Roman" w:hAnsi="Times New Roman"/>
          <w:color w:val="000000"/>
          <w:sz w:val="24"/>
          <w:szCs w:val="24"/>
        </w:rPr>
        <w:t>2025</w:t>
      </w:r>
      <w:r>
        <w:rPr>
          <w:rFonts w:ascii="宋体" w:hAnsi="宋体" w:cs="仿宋"/>
          <w:color w:val="000000"/>
          <w:sz w:val="24"/>
          <w:szCs w:val="24"/>
        </w:rPr>
        <w:t>年市场主体数是指</w:t>
      </w:r>
      <w:r>
        <w:rPr>
          <w:rFonts w:ascii="仿宋_GB2312" w:hAnsi="仿宋_GB2312" w:cs="仿宋"/>
          <w:color w:val="000000"/>
          <w:sz w:val="24"/>
          <w:szCs w:val="24"/>
        </w:rPr>
        <w:t>“</w:t>
      </w:r>
      <w:r>
        <w:rPr>
          <w:rFonts w:ascii="宋体" w:hAnsi="宋体" w:cs="仿宋"/>
          <w:color w:val="000000"/>
          <w:sz w:val="24"/>
          <w:szCs w:val="24"/>
        </w:rPr>
        <w:t>各年期末市场主体实有数</w:t>
      </w:r>
      <w:r>
        <w:rPr>
          <w:rFonts w:ascii="仿宋_GB2312" w:hAnsi="仿宋_GB2312" w:cs="仿宋"/>
          <w:color w:val="000000"/>
          <w:sz w:val="24"/>
          <w:szCs w:val="24"/>
        </w:rPr>
        <w:t>”</w:t>
      </w:r>
      <w:r>
        <w:rPr>
          <w:rFonts w:ascii="宋体" w:hAnsi="宋体" w:cs="仿宋"/>
          <w:color w:val="000000"/>
          <w:sz w:val="24"/>
          <w:szCs w:val="24"/>
        </w:rPr>
        <w:t>；</w:t>
      </w:r>
    </w:p>
    <w:p>
      <w:pPr>
        <w:spacing w:line="320" w:lineRule="exact"/>
        <w:ind w:firstLine="720" w:firstLineChars="300"/>
        <w:rPr>
          <w:rFonts w:ascii="Times New Roman" w:hAnsi="Times New Roman" w:cs="仿宋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宋体" w:hAnsi="宋体" w:cs="仿宋"/>
          <w:color w:val="000000"/>
          <w:sz w:val="24"/>
          <w:szCs w:val="24"/>
        </w:rPr>
        <w:t>市场主体包括：企业、个体工商户、农民专业合作社；</w:t>
      </w:r>
    </w:p>
    <w:p>
      <w:pPr>
        <w:spacing w:line="320" w:lineRule="exact"/>
        <w:ind w:firstLine="720" w:firstLineChars="300"/>
        <w:rPr>
          <w:rFonts w:ascii="Times New Roman" w:hAnsi="Times New Roman" w:cs="仿宋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宋体" w:hAnsi="宋体" w:cs="仿宋"/>
          <w:color w:val="000000"/>
          <w:sz w:val="24"/>
          <w:szCs w:val="24"/>
        </w:rPr>
        <w:t>企业包括：内资公司及分支机构，个人独资企业、合伙企业及分支机构，</w:t>
      </w:r>
    </w:p>
    <w:p>
      <w:pPr>
        <w:spacing w:line="320" w:lineRule="exact"/>
        <w:ind w:firstLine="960" w:firstLineChars="400"/>
        <w:rPr>
          <w:rStyle w:val="17"/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ascii="宋体" w:hAnsi="宋体" w:cs="仿宋"/>
          <w:color w:val="000000"/>
          <w:sz w:val="24"/>
          <w:szCs w:val="24"/>
        </w:rPr>
        <w:t>外商投资企业及分支机构。</w:t>
      </w:r>
    </w:p>
    <w:p>
      <w:pPr>
        <w:pStyle w:val="8"/>
        <w:widowControl/>
        <w:spacing w:line="560" w:lineRule="exact"/>
        <w:jc w:val="both"/>
        <w:rPr>
          <w:rFonts w:ascii="黑体" w:hAns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1134" w:gutter="0"/>
          <w:pgNumType w:fmt="numberInDash" w:start="2"/>
          <w:cols w:space="720" w:num="1"/>
          <w:docGrid w:type="lines" w:linePitch="491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2022年各乡镇（街道）市场主体总量月度目标数</w:t>
      </w:r>
    </w:p>
    <w:tbl>
      <w:tblPr>
        <w:tblStyle w:val="10"/>
        <w:tblW w:w="143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73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116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月度目标数（户）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小沙江镇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2222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2278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虎形山乡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672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689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733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745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755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764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麻塘山乡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639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高坪镇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2297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2359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2533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2576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2618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2651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2684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2722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罗洪镇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688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727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荷田乡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579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鸭田镇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736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806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金石桥镇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2362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2488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2556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2604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2691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2759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2798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司门前镇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1897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1946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2037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2071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2106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2132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2189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大水田乡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394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416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423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431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438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455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羊古坳镇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1026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七江镇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1322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1401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六都寨镇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2256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2378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2464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2536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2568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2604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荷香桥镇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2057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2226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2282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横板桥镇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1444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西洋江镇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1055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南岳庙镇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959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1065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1078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滩头镇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2160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2261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2336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2366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2395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岩口镇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1772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1866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1917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2044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2070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2099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周旺镇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1004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1057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北山镇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三阁司镇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1334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1433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1457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1481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1519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1540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山界回族乡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桃花坪街道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15341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16160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16601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16916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17199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17483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17703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17924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18176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花门街道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10873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11164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11767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11990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12191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12392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12704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12883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55030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56499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57968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59550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60680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61697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62714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63505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64296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65200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spacing w:line="560" w:lineRule="exact"/>
        <w:jc w:val="both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2022年各乡镇（街道）企业月度目标数</w:t>
      </w:r>
    </w:p>
    <w:p>
      <w:pPr>
        <w:widowControl/>
        <w:ind w:left="210" w:leftChars="100"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Style w:val="10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973"/>
        <w:gridCol w:w="973"/>
        <w:gridCol w:w="973"/>
        <w:gridCol w:w="1203"/>
        <w:gridCol w:w="1203"/>
        <w:gridCol w:w="1203"/>
        <w:gridCol w:w="1203"/>
        <w:gridCol w:w="1203"/>
        <w:gridCol w:w="1203"/>
        <w:gridCol w:w="1217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  <w:jc w:val="center"/>
        </w:trPr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责任乡镇</w:t>
            </w:r>
          </w:p>
        </w:tc>
        <w:tc>
          <w:tcPr>
            <w:tcW w:w="39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月度目标数（户）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小沙江镇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虎形山乡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麻塘山乡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高坪镇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302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罗洪镇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荷田乡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鸭田镇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金石桥镇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司门前镇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351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大水田乡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羊古坳镇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七江镇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六都寨镇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365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393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荷香桥镇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306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横板桥镇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西洋江镇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南岳庙镇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滩头镇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岩口镇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336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周旺镇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北山镇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三阁司镇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山界回族乡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桃花坪街道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2755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3064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3346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3664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3891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4096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4300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4459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4618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4800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花门街道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2405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2554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2688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2822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2926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3031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3150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7521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8363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9133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10002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10622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11738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12172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12606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13100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autoSpaceDE w:val="0"/>
        <w:spacing w:line="240" w:lineRule="exact"/>
        <w:jc w:val="both"/>
        <w:rPr>
          <w:rStyle w:val="17"/>
          <w:rFonts w:hint="eastAsia" w:ascii="黑体" w:hAnsi="黑体" w:eastAsia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2022年各乡镇（街道）“个转企”月度目标数</w:t>
      </w:r>
    </w:p>
    <w:tbl>
      <w:tblPr>
        <w:tblStyle w:val="10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81"/>
        <w:gridCol w:w="981"/>
        <w:gridCol w:w="981"/>
        <w:gridCol w:w="981"/>
        <w:gridCol w:w="981"/>
        <w:gridCol w:w="981"/>
        <w:gridCol w:w="981"/>
        <w:gridCol w:w="1243"/>
        <w:gridCol w:w="1244"/>
        <w:gridCol w:w="1267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7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7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月度目标数（户）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7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小沙江镇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虎形山乡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麻塘山乡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高坪镇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罗洪镇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荷田乡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鸭田镇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金石桥镇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司门前镇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大水田乡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羊古坳镇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七江镇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六都寨镇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荷香桥镇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横板桥镇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西洋江镇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南岳庙镇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滩头镇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岩口镇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周旺镇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北山镇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三阁司镇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山界回族乡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桃花坪街道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花门街道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autoSpaceDE w:val="0"/>
        <w:spacing w:line="200" w:lineRule="exact"/>
        <w:jc w:val="both"/>
        <w:rPr>
          <w:rStyle w:val="17"/>
          <w:rFonts w:hint="eastAsia" w:ascii="黑体" w:hAnsi="黑体" w:eastAsia="黑体"/>
          <w:b w:val="0"/>
          <w:bCs/>
          <w:color w:val="000000"/>
          <w:sz w:val="32"/>
          <w:szCs w:val="32"/>
        </w:rPr>
      </w:pPr>
    </w:p>
    <w:sectPr>
      <w:pgSz w:w="16838" w:h="11906" w:orient="landscape"/>
      <w:pgMar w:top="1417" w:right="1417" w:bottom="1417" w:left="1417" w:header="851" w:footer="1134" w:gutter="0"/>
      <w:pgNumType w:fmt="numberInDash"/>
      <w:cols w:space="0" w:num="1"/>
      <w:rtlGutter w:val="0"/>
      <w:docGrid w:type="linesAndChar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25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5"/>
    <w:rsid w:val="000C1847"/>
    <w:rsid w:val="004352A5"/>
    <w:rsid w:val="004F3C25"/>
    <w:rsid w:val="0060067A"/>
    <w:rsid w:val="00706E93"/>
    <w:rsid w:val="007F37E3"/>
    <w:rsid w:val="00CF36F3"/>
    <w:rsid w:val="0182157D"/>
    <w:rsid w:val="02F73FA3"/>
    <w:rsid w:val="064A5A0A"/>
    <w:rsid w:val="06F8786E"/>
    <w:rsid w:val="08D639AE"/>
    <w:rsid w:val="0A3B46F5"/>
    <w:rsid w:val="155E7D1F"/>
    <w:rsid w:val="16CA259A"/>
    <w:rsid w:val="1A9A0701"/>
    <w:rsid w:val="1BD21F82"/>
    <w:rsid w:val="21A17364"/>
    <w:rsid w:val="2CE86A11"/>
    <w:rsid w:val="44776F43"/>
    <w:rsid w:val="46D62E35"/>
    <w:rsid w:val="47C36A0E"/>
    <w:rsid w:val="50BA6C4D"/>
    <w:rsid w:val="53217903"/>
    <w:rsid w:val="59F667CF"/>
    <w:rsid w:val="5D4E6911"/>
    <w:rsid w:val="5D675118"/>
    <w:rsid w:val="678B24E7"/>
    <w:rsid w:val="6C470059"/>
    <w:rsid w:val="77C85B5E"/>
    <w:rsid w:val="78BE6D36"/>
    <w:rsid w:val="79902737"/>
    <w:rsid w:val="7BE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  <w:pPr>
      <w:jc w:val="both"/>
      <w:textAlignment w:val="baseline"/>
    </w:pPr>
  </w:style>
  <w:style w:type="paragraph" w:styleId="3">
    <w:name w:val="Body Text Indent"/>
    <w:basedOn w:val="1"/>
    <w:next w:val="1"/>
    <w:link w:val="12"/>
    <w:semiHidden/>
    <w:unhideWhenUsed/>
    <w:qFormat/>
    <w:uiPriority w:val="99"/>
    <w:pPr>
      <w:spacing w:before="100" w:beforeAutospacing="1"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link w:val="14"/>
    <w:semiHidden/>
    <w:unhideWhenUsed/>
    <w:qFormat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9">
    <w:name w:val="Body Text First Indent 2"/>
    <w:basedOn w:val="3"/>
    <w:next w:val="1"/>
    <w:link w:val="13"/>
    <w:unhideWhenUsed/>
    <w:qFormat/>
    <w:uiPriority w:val="99"/>
    <w:pPr>
      <w:spacing w:after="0"/>
      <w:ind w:firstLine="420" w:firstLineChars="200"/>
    </w:pPr>
  </w:style>
  <w:style w:type="character" w:customStyle="1" w:styleId="12">
    <w:name w:val="正文文本缩进 Char"/>
    <w:basedOn w:val="11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3">
    <w:name w:val="正文首行缩进 2 Char"/>
    <w:basedOn w:val="12"/>
    <w:link w:val="9"/>
    <w:qFormat/>
    <w:uiPriority w:val="99"/>
  </w:style>
  <w:style w:type="character" w:customStyle="1" w:styleId="14">
    <w:name w:val="HTML 预设格式 Char"/>
    <w:basedOn w:val="11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6">
    <w:name w:val="15"/>
    <w:basedOn w:val="11"/>
    <w:qFormat/>
    <w:uiPriority w:val="0"/>
    <w:rPr>
      <w:rFonts w:hint="default" w:ascii="Calibri" w:hAnsi="Calibri" w:cs="Calibri"/>
    </w:rPr>
  </w:style>
  <w:style w:type="character" w:customStyle="1" w:styleId="17">
    <w:name w:val="16"/>
    <w:basedOn w:val="11"/>
    <w:qFormat/>
    <w:uiPriority w:val="0"/>
    <w:rPr>
      <w:rFonts w:hint="default" w:ascii="Times New Roman" w:hAnsi="Times New Roman" w:cs="Times New Roman"/>
      <w:b/>
    </w:rPr>
  </w:style>
  <w:style w:type="character" w:customStyle="1" w:styleId="18">
    <w:name w:val="17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7147</Words>
  <Characters>9232</Characters>
  <Lines>142</Lines>
  <Paragraphs>39</Paragraphs>
  <TotalTime>44</TotalTime>
  <ScaleCrop>false</ScaleCrop>
  <LinksUpToDate>false</LinksUpToDate>
  <CharactersWithSpaces>10413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2022-03-24T02:29:00Z</dcterms:created>
  <dc:creator>dell</dc:creator>
  <cp:lastModifiedBy>马炜</cp:lastModifiedBy>
  <cp:lastPrinted>2022-03-28T03:41:00Z</cp:lastPrinted>
  <dcterms:modified xsi:type="dcterms:W3CDTF">2022-03-28T05:35:02Z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4AEB87EDC50E4AD79AF507E015A4DDE0</vt:lpwstr>
  </property>
</Properties>
</file>