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7E5B">
      <w:pPr>
        <w:spacing w:line="600" w:lineRule="exact"/>
        <w:rPr>
          <w:rFonts w:ascii="方正仿宋简体" w:hAnsi="宋体" w:eastAsia="方正仿宋简体" w:cs="宋体"/>
          <w:kern w:val="0"/>
          <w:sz w:val="32"/>
          <w:szCs w:val="32"/>
        </w:rPr>
      </w:pPr>
      <w:bookmarkStart w:id="0" w:name="_GoBack"/>
      <w:bookmarkEnd w:id="0"/>
      <w:r>
        <w:rPr>
          <w:rFonts w:hint="eastAsia" w:ascii="方正仿宋简体" w:hAnsi="宋体" w:eastAsia="方正仿宋简体" w:cs="宋体"/>
          <w:kern w:val="0"/>
          <w:sz w:val="32"/>
          <w:szCs w:val="32"/>
        </w:rPr>
        <w:t>附件</w:t>
      </w:r>
      <w:r>
        <w:rPr>
          <w:rFonts w:ascii="方正仿宋简体" w:hAnsi="宋体" w:eastAsia="方正仿宋简体" w:cs="宋体"/>
          <w:kern w:val="0"/>
          <w:sz w:val="32"/>
          <w:szCs w:val="32"/>
        </w:rPr>
        <w:t>3</w:t>
      </w:r>
    </w:p>
    <w:p w14:paraId="13D29E9D">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8"/>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1814"/>
        <w:gridCol w:w="1096"/>
        <w:gridCol w:w="67"/>
        <w:gridCol w:w="994"/>
        <w:gridCol w:w="565"/>
        <w:gridCol w:w="444"/>
        <w:gridCol w:w="661"/>
        <w:gridCol w:w="1621"/>
        <w:gridCol w:w="37"/>
      </w:tblGrid>
      <w:tr w14:paraId="0145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1"/>
            <w:tcBorders>
              <w:top w:val="nil"/>
              <w:left w:val="nil"/>
              <w:bottom w:val="nil"/>
              <w:right w:val="nil"/>
            </w:tcBorders>
            <w:noWrap w:val="0"/>
            <w:vAlign w:val="center"/>
          </w:tcPr>
          <w:p w14:paraId="17906B96">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14:paraId="09FD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56" w:hRule="exact"/>
          <w:jc w:val="center"/>
        </w:trPr>
        <w:tc>
          <w:tcPr>
            <w:tcW w:w="533" w:type="dxa"/>
            <w:vMerge w:val="restart"/>
            <w:noWrap w:val="0"/>
            <w:vAlign w:val="center"/>
          </w:tcPr>
          <w:p w14:paraId="40868F4D">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14:paraId="0CFCC601">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9"/>
            <w:noWrap w:val="0"/>
            <w:vAlign w:val="top"/>
          </w:tcPr>
          <w:p w14:paraId="48718DE0">
            <w:pPr>
              <w:spacing w:line="540" w:lineRule="exact"/>
              <w:jc w:val="left"/>
              <w:rPr>
                <w:rFonts w:ascii="楷体" w:hAnsi="楷体" w:eastAsia="楷体" w:cs="楷体"/>
                <w:szCs w:val="21"/>
              </w:rPr>
            </w:pPr>
            <w:r>
              <w:rPr>
                <w:rFonts w:hint="eastAsia" w:ascii="楷体" w:hAnsi="楷体" w:eastAsia="楷体" w:cs="楷体"/>
                <w:szCs w:val="21"/>
                <w:lang w:eastAsia="zh-CN"/>
              </w:rPr>
              <w:t>隆回县市场监督管理局</w:t>
            </w:r>
          </w:p>
        </w:tc>
      </w:tr>
      <w:tr w14:paraId="4A1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42" w:hRule="exact"/>
          <w:jc w:val="center"/>
        </w:trPr>
        <w:tc>
          <w:tcPr>
            <w:tcW w:w="533" w:type="dxa"/>
            <w:vMerge w:val="continue"/>
            <w:noWrap w:val="0"/>
            <w:vAlign w:val="center"/>
          </w:tcPr>
          <w:p w14:paraId="3F5B98DF">
            <w:pPr>
              <w:widowControl/>
              <w:jc w:val="left"/>
              <w:rPr>
                <w:rFonts w:ascii="楷体" w:hAnsi="楷体" w:eastAsia="楷体" w:cs="楷体"/>
                <w:szCs w:val="21"/>
              </w:rPr>
            </w:pPr>
          </w:p>
        </w:tc>
        <w:tc>
          <w:tcPr>
            <w:tcW w:w="1168" w:type="dxa"/>
            <w:noWrap w:val="0"/>
            <w:vAlign w:val="center"/>
          </w:tcPr>
          <w:p w14:paraId="5B5575C8">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3"/>
            <w:noWrap w:val="0"/>
            <w:vAlign w:val="top"/>
          </w:tcPr>
          <w:p w14:paraId="3C811A1D">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205</w:t>
            </w:r>
          </w:p>
        </w:tc>
        <w:tc>
          <w:tcPr>
            <w:tcW w:w="1559" w:type="dxa"/>
            <w:gridSpan w:val="2"/>
            <w:noWrap w:val="0"/>
            <w:vAlign w:val="center"/>
          </w:tcPr>
          <w:p w14:paraId="4393CDA2">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4"/>
            <w:noWrap w:val="0"/>
            <w:vAlign w:val="top"/>
          </w:tcPr>
          <w:p w14:paraId="0B9035F4">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225</w:t>
            </w:r>
          </w:p>
        </w:tc>
      </w:tr>
      <w:tr w14:paraId="73EE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590" w:hRule="exact"/>
          <w:jc w:val="center"/>
        </w:trPr>
        <w:tc>
          <w:tcPr>
            <w:tcW w:w="533" w:type="dxa"/>
            <w:vMerge w:val="continue"/>
            <w:noWrap w:val="0"/>
            <w:vAlign w:val="center"/>
          </w:tcPr>
          <w:p w14:paraId="3C0E1C69">
            <w:pPr>
              <w:widowControl/>
              <w:jc w:val="left"/>
              <w:rPr>
                <w:rFonts w:ascii="楷体" w:hAnsi="楷体" w:eastAsia="楷体" w:cs="楷体"/>
                <w:szCs w:val="21"/>
              </w:rPr>
            </w:pPr>
          </w:p>
        </w:tc>
        <w:tc>
          <w:tcPr>
            <w:tcW w:w="1168" w:type="dxa"/>
            <w:noWrap w:val="0"/>
            <w:vAlign w:val="center"/>
          </w:tcPr>
          <w:p w14:paraId="410292DE">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9"/>
            <w:noWrap w:val="0"/>
            <w:vAlign w:val="top"/>
          </w:tcPr>
          <w:p w14:paraId="015DA3C0">
            <w:pPr>
              <w:pStyle w:val="5"/>
              <w:spacing w:line="500" w:lineRule="exact"/>
              <w:rPr>
                <w:rFonts w:hint="eastAsia" w:ascii="楷体" w:hAnsi="楷体" w:eastAsia="楷体" w:cs="楷体"/>
                <w:szCs w:val="21"/>
                <w:lang w:val="en-US" w:eastAsia="zh-CN"/>
              </w:rPr>
            </w:pPr>
            <w:r>
              <w:rPr>
                <w:rFonts w:hint="default" w:ascii="楷体" w:hAnsi="楷体" w:eastAsia="楷体" w:cs="楷体"/>
                <w:szCs w:val="21"/>
                <w:lang w:val="en-US" w:eastAsia="zh-CN"/>
              </w:rPr>
              <w:t>负责市场综合监督管理。负责全县各类市场主体统一登记注册。负责组织和指导全县市场监管综合执法工作。</w:t>
            </w:r>
            <w:r>
              <w:rPr>
                <w:rFonts w:hint="eastAsia" w:ascii="楷体" w:hAnsi="楷体" w:eastAsia="楷体" w:cs="楷体"/>
                <w:szCs w:val="21"/>
                <w:lang w:val="en-US" w:eastAsia="zh-CN"/>
              </w:rPr>
              <w:t>依法推进竞争政策实施，实施公平竞争审查制度，依委托开展滥用市场支配地位和滥用行政权力排除、限制竞争等反垄断执法调查工作，指导企业在国外的反垄断应诉工作。负责监督管理市场秩序。负责宏观质量管理。负责产品质量安全监督管理。负责特种设备安全监督管理。负责食品安全监督管理综合协调。负责食品安全监督管理。负责统一管理计量工作。负责统一管理标准化工作。负责统一管理检验检测和认证认可工作。负责市场监督管理、知识产权领域科技和信息化建设、新闻宣传、对外交流与合作。按规定承担技术性贸易措施有关工作。负责实施知识产权战略，推进知识产权强县建设。负责保护知识产权。负责知识产权创造运用。负责组织开展有关服务领域消费维权工作，保护经营者、消费者合法权益。负责权限内药品、医疗器械、化妆品行政许可备案和安全监督管理；负责药品、医疗器械、保健食品广告内容的监测。制定全县药品、医疗器械、化妆品监督管理的稽查制度并组织实施；依法依规组织查处违法行为；组织开展相关质量抽验并发布有关信息；依法处理有关药品安全的咨询、投诉、举报；监督实施问题产品召回和处置制度。依法承担放射性药品、麻醉药品、毒性药品及精神药品、药品类易制毒化学品的监督管理工作。依法依规依职责组织指导查处市场监管领域边界活动违法行为。 承办县委、县人民政府交办的其他事项。</w:t>
            </w:r>
          </w:p>
          <w:p w14:paraId="3FF59E57">
            <w:pPr>
              <w:spacing w:line="340" w:lineRule="exact"/>
              <w:jc w:val="left"/>
              <w:rPr>
                <w:rFonts w:ascii="楷体" w:hAnsi="楷体" w:eastAsia="楷体" w:cs="楷体"/>
                <w:szCs w:val="21"/>
              </w:rPr>
            </w:pPr>
          </w:p>
        </w:tc>
      </w:tr>
      <w:tr w14:paraId="01B5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noWrap w:val="0"/>
            <w:vAlign w:val="center"/>
          </w:tcPr>
          <w:p w14:paraId="6A01B11D">
            <w:pPr>
              <w:widowControl/>
              <w:jc w:val="left"/>
              <w:rPr>
                <w:rFonts w:ascii="楷体" w:hAnsi="楷体" w:eastAsia="楷体" w:cs="楷体"/>
                <w:szCs w:val="21"/>
              </w:rPr>
            </w:pPr>
          </w:p>
        </w:tc>
        <w:tc>
          <w:tcPr>
            <w:tcW w:w="1168" w:type="dxa"/>
            <w:vMerge w:val="restart"/>
            <w:noWrap w:val="0"/>
            <w:vAlign w:val="center"/>
          </w:tcPr>
          <w:p w14:paraId="3EF1C511">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1814" w:type="dxa"/>
            <w:noWrap w:val="0"/>
            <w:vAlign w:val="center"/>
          </w:tcPr>
          <w:p w14:paraId="2C47605B">
            <w:pPr>
              <w:jc w:val="center"/>
              <w:rPr>
                <w:rFonts w:ascii="楷体" w:hAnsi="楷体" w:eastAsia="楷体" w:cs="楷体"/>
                <w:szCs w:val="21"/>
              </w:rPr>
            </w:pPr>
            <w:r>
              <w:rPr>
                <w:rFonts w:hint="eastAsia" w:ascii="楷体" w:hAnsi="楷体" w:eastAsia="楷体" w:cs="楷体"/>
                <w:szCs w:val="21"/>
              </w:rPr>
              <w:t>县财政预算安排</w:t>
            </w:r>
          </w:p>
        </w:tc>
        <w:tc>
          <w:tcPr>
            <w:tcW w:w="1096" w:type="dxa"/>
            <w:noWrap w:val="0"/>
            <w:vAlign w:val="center"/>
          </w:tcPr>
          <w:p w14:paraId="23930CA9">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4494.2</w:t>
            </w:r>
          </w:p>
        </w:tc>
        <w:tc>
          <w:tcPr>
            <w:tcW w:w="1061" w:type="dxa"/>
            <w:gridSpan w:val="2"/>
            <w:noWrap w:val="0"/>
            <w:vAlign w:val="center"/>
          </w:tcPr>
          <w:p w14:paraId="5B44A7BA">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1009" w:type="dxa"/>
            <w:gridSpan w:val="2"/>
            <w:noWrap w:val="0"/>
            <w:vAlign w:val="top"/>
          </w:tcPr>
          <w:p w14:paraId="1F6CABC8">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142.05</w:t>
            </w:r>
          </w:p>
        </w:tc>
        <w:tc>
          <w:tcPr>
            <w:tcW w:w="661" w:type="dxa"/>
            <w:vMerge w:val="restart"/>
            <w:noWrap w:val="0"/>
            <w:vAlign w:val="center"/>
          </w:tcPr>
          <w:p w14:paraId="219D1140">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1658" w:type="dxa"/>
            <w:gridSpan w:val="2"/>
            <w:vMerge w:val="restart"/>
            <w:noWrap w:val="0"/>
            <w:vAlign w:val="top"/>
          </w:tcPr>
          <w:p w14:paraId="795325B0">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4743.26（含上年结转资金）</w:t>
            </w:r>
          </w:p>
        </w:tc>
      </w:tr>
      <w:tr w14:paraId="750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noWrap w:val="0"/>
            <w:vAlign w:val="center"/>
          </w:tcPr>
          <w:p w14:paraId="18E27B05">
            <w:pPr>
              <w:widowControl/>
              <w:jc w:val="left"/>
              <w:rPr>
                <w:rFonts w:ascii="楷体" w:hAnsi="楷体" w:eastAsia="楷体" w:cs="楷体"/>
                <w:szCs w:val="21"/>
              </w:rPr>
            </w:pPr>
          </w:p>
        </w:tc>
        <w:tc>
          <w:tcPr>
            <w:tcW w:w="1168" w:type="dxa"/>
            <w:vMerge w:val="continue"/>
            <w:noWrap w:val="0"/>
            <w:vAlign w:val="center"/>
          </w:tcPr>
          <w:p w14:paraId="716D3350">
            <w:pPr>
              <w:spacing w:line="240" w:lineRule="atLeast"/>
              <w:jc w:val="center"/>
              <w:rPr>
                <w:rFonts w:ascii="楷体" w:hAnsi="楷体" w:eastAsia="楷体" w:cs="楷体"/>
                <w:szCs w:val="21"/>
              </w:rPr>
            </w:pPr>
          </w:p>
        </w:tc>
        <w:tc>
          <w:tcPr>
            <w:tcW w:w="1814" w:type="dxa"/>
            <w:noWrap w:val="0"/>
            <w:vAlign w:val="center"/>
          </w:tcPr>
          <w:p w14:paraId="1DE647E7">
            <w:pPr>
              <w:jc w:val="center"/>
              <w:rPr>
                <w:rFonts w:ascii="楷体" w:hAnsi="楷体" w:eastAsia="楷体" w:cs="楷体"/>
                <w:szCs w:val="21"/>
              </w:rPr>
            </w:pPr>
            <w:r>
              <w:rPr>
                <w:rFonts w:hint="eastAsia" w:ascii="楷体" w:hAnsi="楷体" w:eastAsia="楷体" w:cs="楷体"/>
                <w:szCs w:val="21"/>
              </w:rPr>
              <w:t>中央省市安排资金</w:t>
            </w:r>
          </w:p>
        </w:tc>
        <w:tc>
          <w:tcPr>
            <w:tcW w:w="1096" w:type="dxa"/>
            <w:noWrap w:val="0"/>
            <w:vAlign w:val="center"/>
          </w:tcPr>
          <w:p w14:paraId="75A65B1B">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94</w:t>
            </w:r>
          </w:p>
        </w:tc>
        <w:tc>
          <w:tcPr>
            <w:tcW w:w="1061" w:type="dxa"/>
            <w:gridSpan w:val="2"/>
            <w:noWrap w:val="0"/>
            <w:vAlign w:val="center"/>
          </w:tcPr>
          <w:p w14:paraId="55234E06">
            <w:pPr>
              <w:spacing w:line="560" w:lineRule="exact"/>
              <w:rPr>
                <w:rFonts w:hint="eastAsia" w:ascii="楷体" w:hAnsi="楷体" w:eastAsia="楷体" w:cs="楷体"/>
                <w:szCs w:val="21"/>
                <w:lang w:eastAsia="zh-CN"/>
              </w:rPr>
            </w:pPr>
            <w:r>
              <w:rPr>
                <w:rFonts w:hint="eastAsia" w:ascii="楷体" w:hAnsi="楷体" w:eastAsia="楷体" w:cs="楷体"/>
                <w:szCs w:val="21"/>
                <w:lang w:eastAsia="zh-CN"/>
              </w:rPr>
              <w:t>其他收入</w:t>
            </w:r>
          </w:p>
        </w:tc>
        <w:tc>
          <w:tcPr>
            <w:tcW w:w="1009" w:type="dxa"/>
            <w:gridSpan w:val="2"/>
            <w:noWrap w:val="0"/>
            <w:vAlign w:val="top"/>
          </w:tcPr>
          <w:p w14:paraId="610AE7CA">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13.01</w:t>
            </w:r>
          </w:p>
        </w:tc>
        <w:tc>
          <w:tcPr>
            <w:tcW w:w="661" w:type="dxa"/>
            <w:vMerge w:val="continue"/>
            <w:noWrap w:val="0"/>
            <w:vAlign w:val="center"/>
          </w:tcPr>
          <w:p w14:paraId="294C97A7">
            <w:pPr>
              <w:spacing w:line="560" w:lineRule="exact"/>
              <w:jc w:val="center"/>
              <w:rPr>
                <w:rFonts w:ascii="楷体" w:hAnsi="楷体" w:eastAsia="楷体" w:cs="楷体"/>
                <w:szCs w:val="21"/>
              </w:rPr>
            </w:pPr>
          </w:p>
        </w:tc>
        <w:tc>
          <w:tcPr>
            <w:tcW w:w="1658" w:type="dxa"/>
            <w:gridSpan w:val="2"/>
            <w:vMerge w:val="continue"/>
            <w:noWrap w:val="0"/>
            <w:vAlign w:val="top"/>
          </w:tcPr>
          <w:p w14:paraId="25458CFA">
            <w:pPr>
              <w:spacing w:line="560" w:lineRule="exact"/>
              <w:jc w:val="left"/>
              <w:rPr>
                <w:rFonts w:ascii="楷体" w:hAnsi="楷体" w:eastAsia="楷体" w:cs="楷体"/>
                <w:szCs w:val="21"/>
              </w:rPr>
            </w:pPr>
          </w:p>
        </w:tc>
      </w:tr>
      <w:tr w14:paraId="4589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noWrap w:val="0"/>
            <w:vAlign w:val="center"/>
          </w:tcPr>
          <w:p w14:paraId="0783F117">
            <w:pPr>
              <w:widowControl/>
              <w:jc w:val="left"/>
              <w:rPr>
                <w:rFonts w:ascii="楷体" w:hAnsi="楷体" w:eastAsia="楷体" w:cs="楷体"/>
                <w:szCs w:val="21"/>
              </w:rPr>
            </w:pPr>
          </w:p>
        </w:tc>
        <w:tc>
          <w:tcPr>
            <w:tcW w:w="1168" w:type="dxa"/>
            <w:vMerge w:val="restart"/>
            <w:noWrap w:val="0"/>
            <w:vAlign w:val="center"/>
          </w:tcPr>
          <w:p w14:paraId="469A40E0">
            <w:pPr>
              <w:jc w:val="center"/>
              <w:rPr>
                <w:rFonts w:ascii="楷体" w:hAnsi="楷体" w:eastAsia="楷体" w:cs="楷体"/>
                <w:szCs w:val="21"/>
              </w:rPr>
            </w:pPr>
            <w:r>
              <w:rPr>
                <w:rFonts w:hint="eastAsia" w:ascii="楷体" w:hAnsi="楷体" w:eastAsia="楷体" w:cs="楷体"/>
                <w:szCs w:val="21"/>
              </w:rPr>
              <w:t>年度支出</w:t>
            </w:r>
          </w:p>
          <w:p w14:paraId="2FEBA897">
            <w:pPr>
              <w:jc w:val="center"/>
              <w:rPr>
                <w:rFonts w:ascii="楷体" w:hAnsi="楷体" w:eastAsia="楷体" w:cs="楷体"/>
                <w:szCs w:val="21"/>
              </w:rPr>
            </w:pPr>
            <w:r>
              <w:rPr>
                <w:rFonts w:hint="eastAsia" w:ascii="楷体" w:hAnsi="楷体" w:eastAsia="楷体" w:cs="楷体"/>
                <w:szCs w:val="21"/>
              </w:rPr>
              <w:t>（万元）</w:t>
            </w:r>
          </w:p>
        </w:tc>
        <w:tc>
          <w:tcPr>
            <w:tcW w:w="1814" w:type="dxa"/>
            <w:noWrap w:val="0"/>
            <w:vAlign w:val="center"/>
          </w:tcPr>
          <w:p w14:paraId="2B42DDB0">
            <w:pPr>
              <w:jc w:val="center"/>
              <w:rPr>
                <w:rFonts w:ascii="楷体" w:hAnsi="楷体" w:eastAsia="楷体" w:cs="楷体"/>
                <w:szCs w:val="21"/>
              </w:rPr>
            </w:pPr>
            <w:r>
              <w:rPr>
                <w:rFonts w:hint="eastAsia" w:ascii="楷体" w:hAnsi="楷体" w:eastAsia="楷体" w:cs="楷体"/>
                <w:szCs w:val="21"/>
              </w:rPr>
              <w:t>基本支出</w:t>
            </w:r>
          </w:p>
        </w:tc>
        <w:tc>
          <w:tcPr>
            <w:tcW w:w="1096" w:type="dxa"/>
            <w:noWrap w:val="0"/>
            <w:vAlign w:val="center"/>
          </w:tcPr>
          <w:p w14:paraId="3F0307DB">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3280.93</w:t>
            </w:r>
          </w:p>
        </w:tc>
        <w:tc>
          <w:tcPr>
            <w:tcW w:w="1061" w:type="dxa"/>
            <w:gridSpan w:val="2"/>
            <w:vMerge w:val="restart"/>
            <w:noWrap w:val="0"/>
            <w:vAlign w:val="center"/>
          </w:tcPr>
          <w:p w14:paraId="4D4BB18C">
            <w:pPr>
              <w:jc w:val="center"/>
              <w:rPr>
                <w:rFonts w:ascii="楷体" w:hAnsi="楷体" w:eastAsia="楷体" w:cs="楷体"/>
                <w:szCs w:val="21"/>
              </w:rPr>
            </w:pPr>
            <w:r>
              <w:rPr>
                <w:rFonts w:hint="eastAsia" w:ascii="楷体" w:hAnsi="楷体" w:eastAsia="楷体" w:cs="楷体"/>
                <w:szCs w:val="21"/>
              </w:rPr>
              <w:t>项目支出</w:t>
            </w:r>
          </w:p>
        </w:tc>
        <w:tc>
          <w:tcPr>
            <w:tcW w:w="1009" w:type="dxa"/>
            <w:gridSpan w:val="2"/>
            <w:vMerge w:val="restart"/>
            <w:noWrap w:val="0"/>
            <w:vAlign w:val="center"/>
          </w:tcPr>
          <w:p w14:paraId="6A45B657">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1456.15</w:t>
            </w:r>
          </w:p>
        </w:tc>
        <w:tc>
          <w:tcPr>
            <w:tcW w:w="661" w:type="dxa"/>
            <w:vMerge w:val="restart"/>
            <w:noWrap w:val="0"/>
            <w:vAlign w:val="center"/>
          </w:tcPr>
          <w:p w14:paraId="4D3A4494">
            <w:pPr>
              <w:jc w:val="center"/>
              <w:rPr>
                <w:rFonts w:ascii="楷体" w:hAnsi="楷体" w:eastAsia="楷体" w:cs="楷体"/>
                <w:szCs w:val="21"/>
              </w:rPr>
            </w:pPr>
            <w:r>
              <w:rPr>
                <w:rFonts w:hint="eastAsia" w:ascii="楷体" w:hAnsi="楷体" w:eastAsia="楷体" w:cs="楷体"/>
                <w:szCs w:val="21"/>
              </w:rPr>
              <w:t>合计</w:t>
            </w:r>
          </w:p>
        </w:tc>
        <w:tc>
          <w:tcPr>
            <w:tcW w:w="1658" w:type="dxa"/>
            <w:gridSpan w:val="2"/>
            <w:vMerge w:val="restart"/>
            <w:noWrap w:val="0"/>
            <w:vAlign w:val="center"/>
          </w:tcPr>
          <w:p w14:paraId="2AFF08E6">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4737.08</w:t>
            </w:r>
          </w:p>
        </w:tc>
      </w:tr>
      <w:tr w14:paraId="0660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noWrap w:val="0"/>
            <w:vAlign w:val="center"/>
          </w:tcPr>
          <w:p w14:paraId="222ED2CA">
            <w:pPr>
              <w:widowControl/>
              <w:jc w:val="left"/>
              <w:rPr>
                <w:rFonts w:ascii="楷体" w:hAnsi="楷体" w:eastAsia="楷体" w:cs="楷体"/>
                <w:szCs w:val="21"/>
              </w:rPr>
            </w:pPr>
          </w:p>
        </w:tc>
        <w:tc>
          <w:tcPr>
            <w:tcW w:w="1168" w:type="dxa"/>
            <w:vMerge w:val="continue"/>
            <w:noWrap w:val="0"/>
            <w:vAlign w:val="center"/>
          </w:tcPr>
          <w:p w14:paraId="59035C56">
            <w:pPr>
              <w:jc w:val="center"/>
              <w:rPr>
                <w:rFonts w:ascii="楷体" w:hAnsi="楷体" w:eastAsia="楷体" w:cs="楷体"/>
                <w:szCs w:val="21"/>
              </w:rPr>
            </w:pPr>
          </w:p>
        </w:tc>
        <w:tc>
          <w:tcPr>
            <w:tcW w:w="1814" w:type="dxa"/>
            <w:noWrap w:val="0"/>
            <w:tcMar>
              <w:left w:w="0" w:type="dxa"/>
              <w:right w:w="0" w:type="dxa"/>
            </w:tcMar>
            <w:vAlign w:val="center"/>
          </w:tcPr>
          <w:p w14:paraId="5A346D11">
            <w:pPr>
              <w:jc w:val="center"/>
              <w:rPr>
                <w:rFonts w:ascii="楷体" w:hAnsi="楷体" w:eastAsia="楷体" w:cs="楷体"/>
                <w:szCs w:val="21"/>
              </w:rPr>
            </w:pPr>
            <w:r>
              <w:rPr>
                <w:rFonts w:hint="eastAsia" w:ascii="楷体" w:hAnsi="楷体" w:eastAsia="楷体" w:cs="楷体"/>
                <w:szCs w:val="21"/>
              </w:rPr>
              <w:t>其中三公经费支出</w:t>
            </w:r>
          </w:p>
        </w:tc>
        <w:tc>
          <w:tcPr>
            <w:tcW w:w="1096" w:type="dxa"/>
            <w:noWrap w:val="0"/>
            <w:vAlign w:val="center"/>
          </w:tcPr>
          <w:p w14:paraId="7A122AF9">
            <w:pPr>
              <w:jc w:val="center"/>
              <w:rPr>
                <w:rFonts w:ascii="楷体" w:hAnsi="楷体" w:eastAsia="楷体" w:cs="楷体"/>
                <w:szCs w:val="21"/>
              </w:rPr>
            </w:pPr>
            <w:r>
              <w:rPr>
                <w:rFonts w:hint="eastAsia" w:ascii="楷体" w:hAnsi="楷体" w:eastAsia="楷体" w:cs="楷体"/>
                <w:szCs w:val="21"/>
                <w:lang w:val="en-US" w:eastAsia="zh-CN"/>
              </w:rPr>
              <w:t>27.42</w:t>
            </w:r>
          </w:p>
        </w:tc>
        <w:tc>
          <w:tcPr>
            <w:tcW w:w="1061" w:type="dxa"/>
            <w:gridSpan w:val="2"/>
            <w:vMerge w:val="continue"/>
            <w:noWrap w:val="0"/>
            <w:vAlign w:val="top"/>
          </w:tcPr>
          <w:p w14:paraId="717A3A59">
            <w:pPr>
              <w:jc w:val="center"/>
              <w:rPr>
                <w:rFonts w:ascii="楷体" w:hAnsi="楷体" w:eastAsia="楷体" w:cs="楷体"/>
                <w:szCs w:val="21"/>
              </w:rPr>
            </w:pPr>
          </w:p>
        </w:tc>
        <w:tc>
          <w:tcPr>
            <w:tcW w:w="1009" w:type="dxa"/>
            <w:gridSpan w:val="2"/>
            <w:vMerge w:val="continue"/>
            <w:noWrap w:val="0"/>
            <w:vAlign w:val="top"/>
          </w:tcPr>
          <w:p w14:paraId="2DABFCC5">
            <w:pPr>
              <w:jc w:val="center"/>
              <w:rPr>
                <w:rFonts w:ascii="楷体" w:hAnsi="楷体" w:eastAsia="楷体" w:cs="楷体"/>
                <w:szCs w:val="21"/>
              </w:rPr>
            </w:pPr>
          </w:p>
        </w:tc>
        <w:tc>
          <w:tcPr>
            <w:tcW w:w="661" w:type="dxa"/>
            <w:vMerge w:val="continue"/>
            <w:noWrap w:val="0"/>
            <w:vAlign w:val="center"/>
          </w:tcPr>
          <w:p w14:paraId="4360EDA5">
            <w:pPr>
              <w:jc w:val="center"/>
              <w:rPr>
                <w:rFonts w:ascii="楷体" w:hAnsi="楷体" w:eastAsia="楷体" w:cs="楷体"/>
                <w:szCs w:val="21"/>
              </w:rPr>
            </w:pPr>
          </w:p>
        </w:tc>
        <w:tc>
          <w:tcPr>
            <w:tcW w:w="1658" w:type="dxa"/>
            <w:gridSpan w:val="2"/>
            <w:vMerge w:val="continue"/>
            <w:noWrap w:val="0"/>
            <w:vAlign w:val="center"/>
          </w:tcPr>
          <w:p w14:paraId="676D090A">
            <w:pPr>
              <w:jc w:val="center"/>
              <w:rPr>
                <w:rFonts w:ascii="楷体" w:hAnsi="楷体" w:eastAsia="楷体" w:cs="楷体"/>
                <w:szCs w:val="21"/>
              </w:rPr>
            </w:pPr>
          </w:p>
        </w:tc>
      </w:tr>
      <w:tr w14:paraId="3DDD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noWrap w:val="0"/>
            <w:vAlign w:val="center"/>
          </w:tcPr>
          <w:p w14:paraId="321E02B7">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14:paraId="42C25020">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9"/>
            <w:noWrap w:val="0"/>
            <w:vAlign w:val="center"/>
          </w:tcPr>
          <w:p w14:paraId="2A739BBD">
            <w:pPr>
              <w:rPr>
                <w:rFonts w:hint="eastAsia" w:ascii="楷体" w:hAnsi="楷体" w:eastAsia="楷体" w:cs="楷体"/>
                <w:szCs w:val="21"/>
                <w:lang w:eastAsia="zh-CN"/>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015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noWrap w:val="0"/>
            <w:vAlign w:val="center"/>
          </w:tcPr>
          <w:p w14:paraId="3ECC940A">
            <w:pPr>
              <w:widowControl/>
              <w:jc w:val="left"/>
              <w:rPr>
                <w:rFonts w:ascii="楷体" w:hAnsi="楷体" w:eastAsia="楷体" w:cs="楷体"/>
                <w:szCs w:val="21"/>
              </w:rPr>
            </w:pPr>
          </w:p>
        </w:tc>
        <w:tc>
          <w:tcPr>
            <w:tcW w:w="1168" w:type="dxa"/>
            <w:noWrap w:val="0"/>
            <w:vAlign w:val="center"/>
          </w:tcPr>
          <w:p w14:paraId="0A517469">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9"/>
            <w:noWrap w:val="0"/>
            <w:vAlign w:val="center"/>
          </w:tcPr>
          <w:p w14:paraId="13B05FA2">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30EB06A">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9C6AF7B">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C9B5D30">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tc>
      </w:tr>
      <w:tr w14:paraId="7E85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noWrap w:val="0"/>
            <w:vAlign w:val="center"/>
          </w:tcPr>
          <w:p w14:paraId="23D8071D">
            <w:pPr>
              <w:widowControl/>
              <w:jc w:val="left"/>
              <w:rPr>
                <w:rFonts w:ascii="楷体" w:hAnsi="楷体" w:eastAsia="楷体" w:cs="楷体"/>
                <w:szCs w:val="21"/>
              </w:rPr>
            </w:pPr>
          </w:p>
        </w:tc>
        <w:tc>
          <w:tcPr>
            <w:tcW w:w="1168" w:type="dxa"/>
            <w:noWrap w:val="0"/>
            <w:vAlign w:val="center"/>
          </w:tcPr>
          <w:p w14:paraId="22E90BE3">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9"/>
            <w:noWrap w:val="0"/>
            <w:vAlign w:val="center"/>
          </w:tcPr>
          <w:p w14:paraId="2A0277ED">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C1F3FC5">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0031712">
            <w:pPr>
              <w:rPr>
                <w:rFonts w:hint="eastAsia" w:ascii="楷体" w:hAnsi="楷体" w:eastAsia="楷体" w:cs="楷体"/>
                <w:szCs w:val="21"/>
                <w:lang w:eastAsia="zh-CN"/>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lang w:eastAsia="zh-CN"/>
              </w:rPr>
              <w:t>☑</w:t>
            </w:r>
          </w:p>
        </w:tc>
      </w:tr>
      <w:tr w14:paraId="417C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noWrap w:val="0"/>
            <w:vAlign w:val="center"/>
          </w:tcPr>
          <w:p w14:paraId="3FB95DB3">
            <w:pPr>
              <w:widowControl/>
              <w:jc w:val="left"/>
              <w:rPr>
                <w:rFonts w:ascii="楷体" w:hAnsi="楷体" w:eastAsia="楷体" w:cs="楷体"/>
                <w:szCs w:val="21"/>
              </w:rPr>
            </w:pPr>
          </w:p>
        </w:tc>
        <w:tc>
          <w:tcPr>
            <w:tcW w:w="1168" w:type="dxa"/>
            <w:noWrap w:val="0"/>
            <w:vAlign w:val="center"/>
          </w:tcPr>
          <w:p w14:paraId="41374E27">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9"/>
            <w:noWrap w:val="0"/>
            <w:vAlign w:val="center"/>
          </w:tcPr>
          <w:p w14:paraId="3C14F672">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715FE00D">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452.38</w:t>
            </w:r>
            <w:r>
              <w:rPr>
                <w:rFonts w:hint="eastAsia" w:ascii="楷体" w:hAnsi="楷体" w:eastAsia="楷体" w:cs="楷体"/>
                <w:szCs w:val="21"/>
              </w:rPr>
              <w:t>万元，实际采购金额</w:t>
            </w:r>
            <w:r>
              <w:rPr>
                <w:rFonts w:hint="eastAsia" w:ascii="楷体" w:hAnsi="楷体" w:eastAsia="楷体" w:cs="楷体"/>
                <w:szCs w:val="21"/>
                <w:lang w:val="en-US" w:eastAsia="zh-CN"/>
              </w:rPr>
              <w:t>452.38</w:t>
            </w:r>
            <w:r>
              <w:rPr>
                <w:rFonts w:hint="eastAsia" w:ascii="楷体" w:hAnsi="楷体" w:eastAsia="楷体" w:cs="楷体"/>
                <w:szCs w:val="21"/>
              </w:rPr>
              <w:t>万元</w:t>
            </w:r>
          </w:p>
        </w:tc>
      </w:tr>
      <w:tr w14:paraId="0CDB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noWrap w:val="0"/>
            <w:vAlign w:val="center"/>
          </w:tcPr>
          <w:p w14:paraId="6FED9722">
            <w:pPr>
              <w:widowControl/>
              <w:jc w:val="left"/>
              <w:rPr>
                <w:rFonts w:ascii="楷体" w:hAnsi="楷体" w:eastAsia="楷体" w:cs="楷体"/>
                <w:szCs w:val="21"/>
              </w:rPr>
            </w:pPr>
          </w:p>
        </w:tc>
        <w:tc>
          <w:tcPr>
            <w:tcW w:w="1168" w:type="dxa"/>
            <w:noWrap w:val="0"/>
            <w:vAlign w:val="center"/>
          </w:tcPr>
          <w:p w14:paraId="1FEFC662">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9"/>
            <w:noWrap w:val="0"/>
            <w:vAlign w:val="center"/>
          </w:tcPr>
          <w:p w14:paraId="47968308">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lang w:val="en-US" w:eastAsia="zh-CN"/>
              </w:rPr>
              <w:t>26.28</w:t>
            </w:r>
            <w:r>
              <w:rPr>
                <w:rFonts w:ascii="楷体" w:hAnsi="楷体" w:eastAsia="楷体" w:cs="楷体"/>
                <w:szCs w:val="21"/>
              </w:rPr>
              <w:t xml:space="preserve"> </w:t>
            </w:r>
            <w:r>
              <w:rPr>
                <w:rFonts w:hint="eastAsia" w:ascii="楷体" w:hAnsi="楷体" w:eastAsia="楷体" w:cs="楷体"/>
                <w:szCs w:val="21"/>
              </w:rPr>
              <w:t>万元</w:t>
            </w:r>
          </w:p>
          <w:p w14:paraId="130B9E45">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lang w:val="en-US" w:eastAsia="zh-CN"/>
              </w:rPr>
              <w:t>6.18</w:t>
            </w:r>
            <w:r>
              <w:rPr>
                <w:rFonts w:ascii="楷体" w:hAnsi="楷体" w:eastAsia="楷体" w:cs="楷体"/>
                <w:szCs w:val="21"/>
              </w:rPr>
              <w:t xml:space="preserve"> </w:t>
            </w:r>
            <w:r>
              <w:rPr>
                <w:rFonts w:hint="eastAsia" w:ascii="楷体" w:hAnsi="楷体" w:eastAsia="楷体" w:cs="楷体"/>
                <w:szCs w:val="21"/>
              </w:rPr>
              <w:t>万元</w:t>
            </w:r>
          </w:p>
          <w:p w14:paraId="4D5B44AF">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1407EB11">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lang w:val="en-US" w:eastAsia="zh-CN"/>
              </w:rPr>
              <w:t>2021</w:t>
            </w:r>
            <w:r>
              <w:rPr>
                <w:rFonts w:hint="eastAsia" w:ascii="楷体" w:hAnsi="楷体" w:eastAsia="楷体" w:cs="楷体"/>
                <w:szCs w:val="21"/>
              </w:rPr>
              <w:t>年</w:t>
            </w:r>
            <w:r>
              <w:rPr>
                <w:rFonts w:hint="eastAsia" w:ascii="楷体" w:hAnsi="楷体" w:eastAsia="楷体" w:cs="楷体"/>
                <w:szCs w:val="21"/>
                <w:lang w:val="en-US" w:eastAsia="zh-CN"/>
              </w:rPr>
              <w:t>01</w:t>
            </w:r>
            <w:r>
              <w:rPr>
                <w:rFonts w:hint="eastAsia" w:ascii="楷体" w:hAnsi="楷体" w:eastAsia="楷体" w:cs="楷体"/>
                <w:szCs w:val="21"/>
              </w:rPr>
              <w:t>月</w:t>
            </w:r>
            <w:r>
              <w:rPr>
                <w:rFonts w:hint="eastAsia" w:ascii="楷体" w:hAnsi="楷体" w:eastAsia="楷体" w:cs="楷体"/>
                <w:szCs w:val="21"/>
                <w:lang w:val="en-US" w:eastAsia="zh-CN"/>
              </w:rPr>
              <w:t>25</w:t>
            </w:r>
            <w:r>
              <w:rPr>
                <w:rFonts w:hint="eastAsia" w:ascii="楷体" w:hAnsi="楷体" w:eastAsia="楷体" w:cs="楷体"/>
                <w:szCs w:val="21"/>
              </w:rPr>
              <w:t>日</w:t>
            </w:r>
          </w:p>
          <w:p w14:paraId="0E3BC110">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7A9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591B762A">
            <w:pPr>
              <w:widowControl/>
              <w:jc w:val="left"/>
              <w:rPr>
                <w:rFonts w:ascii="楷体" w:hAnsi="楷体" w:eastAsia="楷体" w:cs="楷体"/>
                <w:szCs w:val="21"/>
              </w:rPr>
            </w:pPr>
          </w:p>
        </w:tc>
        <w:tc>
          <w:tcPr>
            <w:tcW w:w="1168" w:type="dxa"/>
            <w:noWrap w:val="0"/>
            <w:vAlign w:val="center"/>
          </w:tcPr>
          <w:p w14:paraId="37326D0C">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9"/>
            <w:noWrap w:val="0"/>
            <w:vAlign w:val="center"/>
          </w:tcPr>
          <w:p w14:paraId="0E86EA07">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725DE28">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p w14:paraId="65A3A414">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Arial" w:hAnsi="Arial" w:cs="Arial"/>
                <w:szCs w:val="21"/>
              </w:rPr>
              <w:t xml:space="preserve">  </w:t>
            </w:r>
            <w:r>
              <w:rPr>
                <w:rFonts w:hint="eastAsia" w:ascii="楷体" w:hAnsi="楷体" w:eastAsia="楷体" w:cs="楷体"/>
                <w:szCs w:val="21"/>
              </w:rPr>
              <w:t>否□</w:t>
            </w:r>
          </w:p>
        </w:tc>
      </w:tr>
      <w:tr w14:paraId="55DF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7E825C5D">
            <w:pPr>
              <w:widowControl/>
              <w:jc w:val="left"/>
              <w:rPr>
                <w:rFonts w:ascii="楷体" w:hAnsi="楷体" w:eastAsia="楷体" w:cs="楷体"/>
                <w:szCs w:val="21"/>
              </w:rPr>
            </w:pPr>
          </w:p>
        </w:tc>
        <w:tc>
          <w:tcPr>
            <w:tcW w:w="1168" w:type="dxa"/>
            <w:noWrap w:val="0"/>
            <w:vAlign w:val="center"/>
          </w:tcPr>
          <w:p w14:paraId="751B39A9">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9"/>
            <w:noWrap w:val="0"/>
            <w:vAlign w:val="center"/>
          </w:tcPr>
          <w:p w14:paraId="7203487D">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3D658F1B">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无□</w:t>
            </w:r>
          </w:p>
          <w:p w14:paraId="00680F40">
            <w:pPr>
              <w:ind w:left="3885" w:hanging="3885" w:hangingChars="1850"/>
              <w:rPr>
                <w:rFonts w:hint="eastAsia" w:ascii="楷体" w:hAnsi="楷体" w:eastAsia="楷体" w:cs="楷体"/>
                <w:szCs w:val="21"/>
                <w:lang w:eastAsia="zh-CN"/>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58BF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noWrap w:val="0"/>
            <w:vAlign w:val="center"/>
          </w:tcPr>
          <w:p w14:paraId="5F0A109D">
            <w:pPr>
              <w:widowControl/>
              <w:jc w:val="left"/>
              <w:rPr>
                <w:rFonts w:ascii="楷体" w:hAnsi="楷体" w:eastAsia="楷体" w:cs="楷体"/>
                <w:szCs w:val="21"/>
              </w:rPr>
            </w:pPr>
          </w:p>
        </w:tc>
        <w:tc>
          <w:tcPr>
            <w:tcW w:w="1168" w:type="dxa"/>
            <w:noWrap w:val="0"/>
            <w:vAlign w:val="center"/>
          </w:tcPr>
          <w:p w14:paraId="560D2ADC">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9"/>
            <w:noWrap w:val="0"/>
            <w:vAlign w:val="center"/>
          </w:tcPr>
          <w:p w14:paraId="31128B31">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5EB6A32">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C3DF56A">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3B563D05">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tc>
      </w:tr>
      <w:tr w14:paraId="7876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1" w:hRule="exact"/>
          <w:jc w:val="center"/>
        </w:trPr>
        <w:tc>
          <w:tcPr>
            <w:tcW w:w="533" w:type="dxa"/>
            <w:vMerge w:val="continue"/>
            <w:noWrap w:val="0"/>
            <w:vAlign w:val="center"/>
          </w:tcPr>
          <w:p w14:paraId="03C1BEF4">
            <w:pPr>
              <w:widowControl/>
              <w:jc w:val="left"/>
              <w:rPr>
                <w:rFonts w:ascii="楷体" w:hAnsi="楷体" w:eastAsia="楷体" w:cs="楷体"/>
                <w:szCs w:val="21"/>
              </w:rPr>
            </w:pPr>
          </w:p>
        </w:tc>
        <w:tc>
          <w:tcPr>
            <w:tcW w:w="1168" w:type="dxa"/>
            <w:noWrap w:val="0"/>
            <w:vAlign w:val="center"/>
          </w:tcPr>
          <w:p w14:paraId="2BA0FAEA">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9"/>
            <w:noWrap w:val="0"/>
            <w:vAlign w:val="top"/>
          </w:tcPr>
          <w:p w14:paraId="55460150">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286F2E2">
            <w:pPr>
              <w:spacing w:line="560" w:lineRule="exact"/>
              <w:jc w:val="left"/>
              <w:rPr>
                <w:rFonts w:ascii="楷体" w:hAnsi="楷体" w:eastAsia="楷体" w:cs="楷体"/>
                <w:szCs w:val="21"/>
              </w:rPr>
            </w:pPr>
          </w:p>
        </w:tc>
      </w:tr>
      <w:tr w14:paraId="2314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2325" w:hRule="atLeast"/>
          <w:jc w:val="center"/>
        </w:trPr>
        <w:tc>
          <w:tcPr>
            <w:tcW w:w="533" w:type="dxa"/>
            <w:noWrap w:val="0"/>
            <w:vAlign w:val="center"/>
          </w:tcPr>
          <w:p w14:paraId="7BD2DE50">
            <w:pPr>
              <w:spacing w:line="320" w:lineRule="exact"/>
              <w:jc w:val="center"/>
              <w:rPr>
                <w:rFonts w:ascii="楷体" w:hAnsi="楷体" w:eastAsia="楷体" w:cs="楷体"/>
                <w:szCs w:val="21"/>
              </w:rPr>
            </w:pPr>
            <w:r>
              <w:rPr>
                <w:rFonts w:hint="eastAsia" w:ascii="楷体" w:hAnsi="楷体" w:eastAsia="楷体" w:cs="楷体"/>
                <w:szCs w:val="21"/>
              </w:rPr>
              <w:t>部门</w:t>
            </w:r>
          </w:p>
          <w:p w14:paraId="72B23683">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0"/>
            <w:noWrap w:val="0"/>
            <w:vAlign w:val="center"/>
          </w:tcPr>
          <w:p w14:paraId="45B744DA">
            <w:pPr>
              <w:pStyle w:val="11"/>
              <w:spacing w:line="560" w:lineRule="exact"/>
              <w:ind w:left="0" w:leftChars="0" w:firstLine="0" w:firstLineChars="0"/>
              <w:rPr>
                <w:rFonts w:hint="eastAsia" w:ascii="楷体" w:hAnsi="楷体" w:eastAsia="楷体" w:cs="楷体"/>
                <w:kern w:val="2"/>
                <w:sz w:val="21"/>
                <w:szCs w:val="21"/>
                <w:lang w:val="en-US" w:eastAsia="zh-CN" w:bidi="ar-SA"/>
              </w:rPr>
            </w:pPr>
            <w:r>
              <w:rPr>
                <w:rFonts w:hint="eastAsia" w:ascii="Times New Roman" w:hAnsi="Times New Roman" w:eastAsia="宋体" w:cs="Times New Roman"/>
                <w:kern w:val="2"/>
                <w:sz w:val="21"/>
                <w:szCs w:val="24"/>
                <w:lang w:val="en-US" w:eastAsia="zh-CN" w:bidi="ar-SA"/>
              </w:rPr>
              <w:t>（</w:t>
            </w:r>
            <w:r>
              <w:rPr>
                <w:rFonts w:hint="eastAsia" w:ascii="楷体" w:hAnsi="楷体" w:eastAsia="楷体" w:cs="楷体"/>
                <w:kern w:val="2"/>
                <w:sz w:val="21"/>
                <w:szCs w:val="21"/>
                <w:lang w:val="en-US" w:eastAsia="zh-CN" w:bidi="ar-SA"/>
              </w:rPr>
              <w:t>1）党建引领开新局，积极推进学习型基层监管队伍建设。</w:t>
            </w:r>
          </w:p>
          <w:p w14:paraId="734B6193">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（2）制度机制建立完善取得新进展。</w:t>
            </w:r>
          </w:p>
          <w:p w14:paraId="06FFF468">
            <w:pPr>
              <w:pStyle w:val="2"/>
              <w:ind w:left="0" w:leftChars="0" w:firstLine="0" w:firstLineChars="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（3）市场安全保证做到心中有底，严执法强监管有力有效。</w:t>
            </w:r>
          </w:p>
          <w:p w14:paraId="59DCBE56">
            <w:pPr>
              <w:pStyle w:val="2"/>
              <w:ind w:left="0" w:leftChars="0" w:firstLine="0" w:firstLineChars="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（4）市场秩序做到规范有序。</w:t>
            </w:r>
          </w:p>
          <w:p w14:paraId="26D1472A">
            <w:pPr>
              <w:pStyle w:val="2"/>
              <w:ind w:left="0" w:leftChars="0" w:firstLine="0" w:firstLineChars="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（5）品牌发展上有了新的突破。</w:t>
            </w:r>
          </w:p>
          <w:p w14:paraId="0528ADE7">
            <w:pPr>
              <w:pStyle w:val="2"/>
              <w:ind w:left="0" w:leftChars="0" w:firstLine="0" w:firstLineChars="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（6）行政审批方面成效显著。</w:t>
            </w:r>
          </w:p>
          <w:p w14:paraId="190A999D">
            <w:pPr>
              <w:pStyle w:val="2"/>
              <w:ind w:left="0" w:leftChars="0" w:firstLine="0" w:firstLineChars="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（7）科普宣传有力度。</w:t>
            </w:r>
          </w:p>
          <w:p w14:paraId="20CCFA65">
            <w:pPr>
              <w:pStyle w:val="2"/>
              <w:ind w:left="0" w:leftChars="0" w:firstLine="0" w:firstLineChars="0"/>
              <w:rPr>
                <w:rFonts w:hint="eastAsia" w:cs="Times New Roman"/>
                <w:kern w:val="2"/>
                <w:sz w:val="21"/>
                <w:szCs w:val="24"/>
                <w:lang w:val="en-US" w:eastAsia="zh-CN" w:bidi="ar-SA"/>
              </w:rPr>
            </w:pPr>
          </w:p>
        </w:tc>
      </w:tr>
      <w:tr w14:paraId="7661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697" w:hRule="atLeast"/>
          <w:jc w:val="center"/>
        </w:trPr>
        <w:tc>
          <w:tcPr>
            <w:tcW w:w="533" w:type="dxa"/>
            <w:noWrap w:val="0"/>
            <w:vAlign w:val="center"/>
          </w:tcPr>
          <w:p w14:paraId="388A4C0C">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0"/>
            <w:noWrap w:val="0"/>
            <w:vAlign w:val="center"/>
          </w:tcPr>
          <w:p w14:paraId="4B18B18A">
            <w:pPr>
              <w:jc w:val="center"/>
              <w:rPr>
                <w:rFonts w:ascii="楷体" w:hAnsi="楷体" w:eastAsia="楷体" w:cs="楷体"/>
                <w:szCs w:val="21"/>
              </w:rPr>
            </w:pPr>
            <w:r>
              <w:rPr>
                <w:rFonts w:hint="eastAsia" w:ascii="楷体" w:hAnsi="楷体" w:eastAsia="楷体" w:cs="楷体"/>
                <w:b/>
                <w:bCs/>
                <w:sz w:val="36"/>
                <w:szCs w:val="36"/>
                <w:lang w:eastAsia="zh-CN"/>
              </w:rPr>
              <w:t>优</w:t>
            </w:r>
          </w:p>
        </w:tc>
      </w:tr>
      <w:tr w14:paraId="3D92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34" w:hRule="atLeast"/>
          <w:jc w:val="center"/>
        </w:trPr>
        <w:tc>
          <w:tcPr>
            <w:tcW w:w="533" w:type="dxa"/>
            <w:noWrap w:val="0"/>
            <w:vAlign w:val="center"/>
          </w:tcPr>
          <w:p w14:paraId="3B1F8CED">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0"/>
            <w:noWrap w:val="0"/>
            <w:vAlign w:val="center"/>
          </w:tcPr>
          <w:p w14:paraId="70C69B17">
            <w:pPr>
              <w:numPr>
                <w:ilvl w:val="0"/>
                <w:numId w:val="1"/>
              </w:numPr>
              <w:jc w:val="both"/>
              <w:rPr>
                <w:rFonts w:hint="eastAsia" w:ascii="楷体" w:hAnsi="楷体" w:eastAsia="楷体" w:cs="楷体"/>
                <w:szCs w:val="21"/>
              </w:rPr>
            </w:pPr>
            <w:r>
              <w:rPr>
                <w:rFonts w:hint="eastAsia" w:ascii="楷体" w:hAnsi="楷体" w:eastAsia="楷体" w:cs="楷体"/>
                <w:szCs w:val="21"/>
              </w:rPr>
              <w:t>预算编制工作有待细化。</w:t>
            </w:r>
          </w:p>
          <w:p w14:paraId="7882411B">
            <w:pPr>
              <w:numPr>
                <w:ilvl w:val="0"/>
                <w:numId w:val="0"/>
              </w:numPr>
              <w:jc w:val="both"/>
              <w:rPr>
                <w:rFonts w:hint="eastAsia" w:ascii="楷体" w:hAnsi="楷体" w:eastAsia="楷体" w:cs="楷体"/>
                <w:szCs w:val="21"/>
              </w:rPr>
            </w:pPr>
            <w:r>
              <w:rPr>
                <w:rFonts w:hint="eastAsia" w:ascii="楷体" w:hAnsi="楷体" w:eastAsia="楷体" w:cs="楷体"/>
                <w:szCs w:val="21"/>
              </w:rPr>
              <w:t>（二）专项工作经费不足。</w:t>
            </w:r>
          </w:p>
          <w:p w14:paraId="3D6142AA">
            <w:pPr>
              <w:jc w:val="both"/>
              <w:rPr>
                <w:rFonts w:hint="eastAsia" w:ascii="楷体" w:hAnsi="楷体" w:eastAsia="楷体" w:cs="楷体"/>
                <w:szCs w:val="21"/>
              </w:rPr>
            </w:pPr>
            <w:r>
              <w:rPr>
                <w:rFonts w:hint="eastAsia" w:ascii="楷体" w:hAnsi="楷体" w:eastAsia="楷体" w:cs="楷体"/>
                <w:szCs w:val="21"/>
              </w:rPr>
              <w:t>（三）派出机构经费不足。</w:t>
            </w:r>
          </w:p>
          <w:p w14:paraId="0C6F2448">
            <w:pPr>
              <w:jc w:val="both"/>
              <w:rPr>
                <w:rFonts w:hint="eastAsia" w:ascii="楷体" w:hAnsi="楷体" w:eastAsia="楷体" w:cs="楷体"/>
                <w:szCs w:val="21"/>
              </w:rPr>
            </w:pPr>
            <w:r>
              <w:rPr>
                <w:rFonts w:hint="eastAsia" w:ascii="楷体" w:hAnsi="楷体" w:eastAsia="楷体" w:cs="楷体"/>
                <w:szCs w:val="21"/>
              </w:rPr>
              <w:t>（四）财务管理有待创新。</w:t>
            </w:r>
          </w:p>
          <w:p w14:paraId="27BE087C">
            <w:pPr>
              <w:jc w:val="both"/>
              <w:rPr>
                <w:rFonts w:ascii="楷体" w:hAnsi="楷体" w:eastAsia="楷体" w:cs="楷体"/>
                <w:szCs w:val="21"/>
              </w:rPr>
            </w:pPr>
            <w:r>
              <w:rPr>
                <w:rFonts w:hint="eastAsia" w:ascii="楷体" w:hAnsi="楷体" w:eastAsia="楷体" w:cs="楷体"/>
                <w:szCs w:val="21"/>
              </w:rPr>
              <w:t>（五）资产管理有待加强。</w:t>
            </w:r>
          </w:p>
        </w:tc>
      </w:tr>
      <w:tr w14:paraId="206E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noWrap w:val="0"/>
            <w:vAlign w:val="top"/>
          </w:tcPr>
          <w:p w14:paraId="3814F627">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0"/>
            <w:noWrap w:val="0"/>
            <w:vAlign w:val="top"/>
          </w:tcPr>
          <w:p w14:paraId="1C666D3E">
            <w:pPr>
              <w:ind w:firstLine="3360" w:firstLineChars="1600"/>
              <w:rPr>
                <w:rFonts w:ascii="楷体" w:hAnsi="楷体" w:eastAsia="楷体" w:cs="楷体"/>
                <w:szCs w:val="21"/>
              </w:rPr>
            </w:pPr>
          </w:p>
          <w:p w14:paraId="3BF1CDA1">
            <w:pPr>
              <w:ind w:firstLine="3360" w:firstLineChars="1600"/>
              <w:rPr>
                <w:rFonts w:ascii="楷体" w:hAnsi="楷体" w:eastAsia="楷体" w:cs="楷体"/>
                <w:szCs w:val="21"/>
              </w:rPr>
            </w:pPr>
          </w:p>
          <w:p w14:paraId="1A066B95">
            <w:pPr>
              <w:ind w:firstLine="3360" w:firstLineChars="1600"/>
              <w:rPr>
                <w:rFonts w:ascii="楷体" w:hAnsi="楷体" w:eastAsia="楷体" w:cs="楷体"/>
                <w:szCs w:val="21"/>
              </w:rPr>
            </w:pPr>
          </w:p>
          <w:p w14:paraId="1ECB4866">
            <w:pPr>
              <w:ind w:firstLine="3360" w:firstLineChars="1600"/>
              <w:rPr>
                <w:rFonts w:ascii="楷体" w:hAnsi="楷体" w:eastAsia="楷体" w:cs="楷体"/>
                <w:szCs w:val="21"/>
              </w:rPr>
            </w:pPr>
          </w:p>
          <w:p w14:paraId="35E177F6">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6058EE5F">
      <w:pPr>
        <w:spacing w:line="560" w:lineRule="exact"/>
        <w:rPr>
          <w:rFonts w:eastAsia="黑体"/>
          <w:kern w:val="0"/>
        </w:rPr>
      </w:pPr>
      <w:r>
        <w:rPr>
          <w:rFonts w:hint="eastAsia" w:eastAsia="黑体"/>
          <w:kern w:val="0"/>
        </w:rPr>
        <w:t>注：自评结论填“优、良、中、差”。</w:t>
      </w:r>
    </w:p>
    <w:p w14:paraId="425A04D2">
      <w:pPr>
        <w:spacing w:line="560" w:lineRule="exact"/>
        <w:rPr>
          <w:rFonts w:eastAsia="黑体"/>
          <w:kern w:val="0"/>
        </w:rPr>
      </w:pPr>
    </w:p>
    <w:p w14:paraId="36A12D19">
      <w:pPr>
        <w:pStyle w:val="2"/>
        <w:rPr>
          <w:rFonts w:eastAsia="黑体"/>
          <w:kern w:val="0"/>
        </w:rPr>
      </w:pPr>
    </w:p>
    <w:p w14:paraId="118FE347">
      <w:pPr>
        <w:pStyle w:val="2"/>
        <w:rPr>
          <w:rFonts w:eastAsia="黑体"/>
          <w:kern w:val="0"/>
        </w:rPr>
      </w:pPr>
    </w:p>
    <w:p w14:paraId="27FB0A02">
      <w:pPr>
        <w:pStyle w:val="2"/>
        <w:rPr>
          <w:rFonts w:eastAsia="黑体"/>
          <w:kern w:val="0"/>
        </w:rPr>
      </w:pPr>
    </w:p>
    <w:p w14:paraId="5D72619C">
      <w:pPr>
        <w:pStyle w:val="2"/>
        <w:rPr>
          <w:rFonts w:eastAsia="黑体"/>
          <w:kern w:val="0"/>
        </w:rPr>
      </w:pPr>
    </w:p>
    <w:p w14:paraId="228A4FE8">
      <w:pPr>
        <w:pStyle w:val="2"/>
        <w:rPr>
          <w:rFonts w:eastAsia="黑体"/>
          <w:kern w:val="0"/>
        </w:rPr>
      </w:pPr>
    </w:p>
    <w:p w14:paraId="055A129A">
      <w:pPr>
        <w:pStyle w:val="2"/>
        <w:rPr>
          <w:rFonts w:eastAsia="黑体"/>
          <w:kern w:val="0"/>
        </w:rPr>
      </w:pPr>
    </w:p>
    <w:p w14:paraId="7D108895">
      <w:pPr>
        <w:pStyle w:val="2"/>
        <w:rPr>
          <w:rFonts w:eastAsia="黑体"/>
          <w:kern w:val="0"/>
        </w:rPr>
      </w:pPr>
    </w:p>
    <w:p w14:paraId="5CDB9527">
      <w:pPr>
        <w:pStyle w:val="2"/>
        <w:rPr>
          <w:rFonts w:eastAsia="黑体"/>
          <w:kern w:val="0"/>
        </w:rPr>
      </w:pPr>
    </w:p>
    <w:p w14:paraId="08C224A5">
      <w:pPr>
        <w:pStyle w:val="2"/>
        <w:rPr>
          <w:rFonts w:eastAsia="黑体"/>
          <w:kern w:val="0"/>
        </w:rPr>
      </w:pPr>
    </w:p>
    <w:p w14:paraId="07F11DD4">
      <w:pPr>
        <w:pStyle w:val="2"/>
        <w:rPr>
          <w:rFonts w:eastAsia="黑体"/>
          <w:kern w:val="0"/>
        </w:rPr>
      </w:pPr>
    </w:p>
    <w:p w14:paraId="6550731E">
      <w:pPr>
        <w:spacing w:line="560" w:lineRule="exact"/>
        <w:rPr>
          <w:rFonts w:ascii="黑体" w:hAnsi="宋体" w:eastAsia="黑体" w:cs="宋体"/>
          <w:kern w:val="0"/>
          <w:sz w:val="32"/>
          <w:szCs w:val="32"/>
        </w:rPr>
      </w:pPr>
    </w:p>
    <w:p w14:paraId="1C4FCF6B">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w:t>
      </w:r>
      <w:r>
        <w:rPr>
          <w:rFonts w:ascii="黑体" w:hAnsi="宋体" w:eastAsia="黑体" w:cs="宋体"/>
          <w:kern w:val="0"/>
          <w:sz w:val="32"/>
          <w:szCs w:val="32"/>
        </w:rPr>
        <w:t>4</w:t>
      </w:r>
    </w:p>
    <w:p w14:paraId="38800A65">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rPr>
        <w:t>部门整体支出绩效自评报告</w:t>
      </w:r>
    </w:p>
    <w:p w14:paraId="14E22BFE">
      <w:pPr>
        <w:ind w:firstLine="420" w:firstLineChars="200"/>
      </w:pPr>
    </w:p>
    <w:p w14:paraId="2A573D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265B8E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（一）部门基本情况</w:t>
      </w:r>
    </w:p>
    <w:p w14:paraId="3F2CA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隆回县市场监督管理局是根据中共隆回县委办公室、隆回县人民政府办公室《关于印发&lt;隆回县市场监督管理局职能配置、内设机构和人员编制规定&gt;的通知》（隆办文〔2019〕87号）文件精神于2019年4月成立的正科级行政单位。202</w:t>
      </w:r>
      <w:r>
        <w:rPr>
          <w:rFonts w:hint="eastAsia" w:ascii="仿宋" w:hAnsi="仿宋" w:eastAsia="仿宋" w:cs="仿宋"/>
          <w:sz w:val="32"/>
          <w:szCs w:val="32"/>
          <w:lang w:val="en-US" w:eastAsia="zh-CN"/>
        </w:rPr>
        <w:t>1</w:t>
      </w:r>
      <w:r>
        <w:rPr>
          <w:rFonts w:hint="eastAsia" w:ascii="仿宋" w:hAnsi="仿宋" w:eastAsia="仿宋" w:cs="仿宋"/>
          <w:sz w:val="32"/>
          <w:szCs w:val="32"/>
        </w:rPr>
        <w:t>年，机关内设19个股室， 12个基层监管所（分局），4个直属事业机构。 在职干部职工22</w:t>
      </w:r>
      <w:r>
        <w:rPr>
          <w:rFonts w:hint="eastAsia" w:ascii="仿宋" w:hAnsi="仿宋" w:eastAsia="仿宋" w:cs="仿宋"/>
          <w:sz w:val="32"/>
          <w:szCs w:val="32"/>
          <w:lang w:val="en-US" w:eastAsia="zh-CN"/>
        </w:rPr>
        <w:t>5</w:t>
      </w:r>
      <w:r>
        <w:rPr>
          <w:rFonts w:hint="eastAsia" w:ascii="仿宋" w:hAnsi="仿宋" w:eastAsia="仿宋" w:cs="仿宋"/>
          <w:sz w:val="32"/>
          <w:szCs w:val="32"/>
        </w:rPr>
        <w:t>人，遗属补助人数</w:t>
      </w:r>
      <w:r>
        <w:rPr>
          <w:rFonts w:hint="eastAsia" w:ascii="仿宋" w:hAnsi="仿宋" w:eastAsia="仿宋" w:cs="仿宋"/>
          <w:sz w:val="32"/>
          <w:szCs w:val="32"/>
          <w:lang w:val="en-US" w:eastAsia="zh-CN"/>
        </w:rPr>
        <w:t>9</w:t>
      </w:r>
      <w:r>
        <w:rPr>
          <w:rFonts w:hint="eastAsia" w:ascii="仿宋" w:hAnsi="仿宋" w:eastAsia="仿宋" w:cs="仿宋"/>
          <w:sz w:val="32"/>
          <w:szCs w:val="32"/>
        </w:rPr>
        <w:t>人，</w:t>
      </w:r>
      <w:r>
        <w:rPr>
          <w:rFonts w:hint="eastAsia" w:ascii="仿宋" w:hAnsi="仿宋" w:eastAsia="仿宋" w:cs="仿宋"/>
          <w:sz w:val="32"/>
          <w:szCs w:val="32"/>
          <w:lang w:eastAsia="zh-CN"/>
        </w:rPr>
        <w:t>车辆</w:t>
      </w:r>
      <w:r>
        <w:rPr>
          <w:rFonts w:hint="eastAsia" w:ascii="仿宋" w:hAnsi="仿宋" w:eastAsia="仿宋" w:cs="仿宋"/>
          <w:sz w:val="32"/>
          <w:szCs w:val="32"/>
        </w:rPr>
        <w:t>数13台，房屋构筑物面积</w:t>
      </w:r>
      <w:r>
        <w:rPr>
          <w:rFonts w:hint="eastAsia" w:ascii="仿宋" w:hAnsi="仿宋" w:eastAsia="仿宋" w:cs="仿宋"/>
          <w:sz w:val="30"/>
          <w:szCs w:val="30"/>
        </w:rPr>
        <w:t>25,257</w:t>
      </w:r>
      <w:r>
        <w:rPr>
          <w:rFonts w:hint="eastAsia" w:ascii="仿宋" w:hAnsi="仿宋" w:eastAsia="仿宋" w:cs="仿宋"/>
          <w:sz w:val="32"/>
          <w:szCs w:val="32"/>
        </w:rPr>
        <w:t>平方米。</w:t>
      </w:r>
    </w:p>
    <w:p w14:paraId="57CC7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2021</w:t>
      </w:r>
      <w:r>
        <w:rPr>
          <w:rFonts w:hint="eastAsia" w:ascii="仿宋" w:hAnsi="仿宋" w:eastAsia="仿宋" w:cs="仿宋"/>
          <w:sz w:val="32"/>
          <w:szCs w:val="32"/>
        </w:rPr>
        <w:t>年的重点工作</w:t>
      </w:r>
    </w:p>
    <w:p w14:paraId="05ECC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）加强队伍能力建设。多渠道、多层次加强队伍教育培训，提升市场监管能力；开展廉洁单位创建，狠抓队伍作风建设，坚决查处队伍腐败行为。</w:t>
      </w:r>
    </w:p>
    <w:p w14:paraId="1D5DA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全力做好后疫情时代市场安全监管。一是按照“四个最严”要求，最严管控食品安全风险。瞄准创建全省食品安全工作先进县目标，压实市场监管责任，始终保持市场高压严管态势，抓牢折实食品安全全过程全链条监管，持续提升人民群众食品安全获得感。二是切实加强药品安全监管。加强全县医疗单位、零售药店、个体诊所、乡村卫生室等药品和医疗机械安全监管，确保全县群众用药安全。三是高度重视特种设备安全。强力推进“强执法防事故”“打非治违”等专项行动，深入开展电梯、气瓶充装、燃气压力管道、锅炉、起重机械、场（厂）内专用机动车辆等专项检查，确保我县特种设备的安全运行。四是加强产品质量安全监管。以儿童学生用品、食品相关产品、烟花爆竹、道路交通运输产品等为重点持续开展工业产品专项整治行动，确保不发生系统性质量安全问题。</w:t>
      </w:r>
    </w:p>
    <w:p w14:paraId="5D4BAB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）着力打造一流营商环境。贯彻落实《优化营商环境条例》，巩固深化第一批、贯彻落实第二批“一件事一次办”改革，打造商事制度改革升级版。</w:t>
      </w:r>
    </w:p>
    <w:p w14:paraId="4B9775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大力加强品牌培育。结合知识产权“十四五”规划编制，围绕发明专利考核工作，以电子信息、装备制造、轻工食品、饲料加工、生物制药、生产性服务业等6大产业的商标品牌培育为重点工作，引导企业创专利、创品牌，努力推动隆回产品由“多数量”向“高质量”转变。</w:t>
      </w:r>
    </w:p>
    <w:p w14:paraId="07796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）努力维护市场竞争秩序。全面强化市场价格、网络和广告、虚假宣传、反垄断、打击传销等市场监督检查，严厉查处各类市场违法行为。</w:t>
      </w:r>
    </w:p>
    <w:p w14:paraId="4D630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）加大市场监管科普力度。在微信公众号、政府网、电视台等多方宣传市场安全监管动态，教育和督促市场经营单位主体提高责任意识，提高社会公众市场安全认知水平。</w:t>
      </w:r>
    </w:p>
    <w:p w14:paraId="329EB9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）部门整体支出情况</w:t>
      </w:r>
    </w:p>
    <w:p w14:paraId="02020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2021年本单位年度总支出4737.08万元。其中</w:t>
      </w:r>
      <w:r>
        <w:rPr>
          <w:rFonts w:hint="eastAsia" w:ascii="仿宋_GB2312" w:hAnsi="宋体" w:eastAsia="仿宋_GB2312" w:cs="仿宋_GB2312"/>
          <w:sz w:val="30"/>
          <w:szCs w:val="30"/>
        </w:rPr>
        <w:t>一般公共服务4664</w:t>
      </w:r>
      <w:r>
        <w:rPr>
          <w:rFonts w:hint="eastAsia" w:ascii="仿宋_GB2312" w:hAnsi="宋体" w:eastAsia="仿宋_GB2312" w:cs="仿宋_GB2312"/>
          <w:sz w:val="30"/>
          <w:szCs w:val="30"/>
          <w:lang w:val="en-US" w:eastAsia="zh-CN"/>
        </w:rPr>
        <w:t>.</w:t>
      </w:r>
      <w:r>
        <w:rPr>
          <w:rFonts w:hint="eastAsia" w:ascii="仿宋_GB2312" w:hAnsi="宋体" w:eastAsia="仿宋_GB2312" w:cs="仿宋_GB2312"/>
          <w:sz w:val="30"/>
          <w:szCs w:val="30"/>
        </w:rPr>
        <w:t>34万元</w:t>
      </w:r>
      <w:r>
        <w:rPr>
          <w:rFonts w:hint="eastAsia" w:ascii="仿宋_GB2312" w:hAnsi="宋体" w:eastAsia="仿宋_GB2312" w:cs="仿宋_GB2312"/>
          <w:sz w:val="30"/>
          <w:szCs w:val="30"/>
          <w:lang w:eastAsia="zh-CN"/>
        </w:rPr>
        <w:t>；社会保障和就业支出24</w:t>
      </w:r>
      <w:r>
        <w:rPr>
          <w:rFonts w:hint="eastAsia" w:ascii="仿宋_GB2312" w:hAnsi="宋体" w:eastAsia="仿宋_GB2312" w:cs="仿宋_GB2312"/>
          <w:sz w:val="30"/>
          <w:szCs w:val="30"/>
          <w:lang w:val="en-US" w:eastAsia="zh-CN"/>
        </w:rPr>
        <w:t>.</w:t>
      </w:r>
      <w:r>
        <w:rPr>
          <w:rFonts w:hint="eastAsia" w:ascii="仿宋_GB2312" w:hAnsi="宋体" w:eastAsia="仿宋_GB2312" w:cs="仿宋_GB2312"/>
          <w:sz w:val="30"/>
          <w:szCs w:val="30"/>
          <w:lang w:eastAsia="zh-CN"/>
        </w:rPr>
        <w:t>0</w:t>
      </w:r>
      <w:r>
        <w:rPr>
          <w:rFonts w:hint="eastAsia" w:ascii="仿宋_GB2312" w:hAnsi="宋体" w:eastAsia="仿宋_GB2312" w:cs="仿宋_GB2312"/>
          <w:sz w:val="30"/>
          <w:szCs w:val="30"/>
          <w:lang w:val="en-US" w:eastAsia="zh-CN"/>
        </w:rPr>
        <w:t>1</w:t>
      </w:r>
      <w:r>
        <w:rPr>
          <w:rFonts w:hint="eastAsia" w:ascii="仿宋_GB2312" w:hAnsi="宋体" w:eastAsia="仿宋_GB2312" w:cs="仿宋_GB2312"/>
          <w:sz w:val="30"/>
          <w:szCs w:val="30"/>
        </w:rPr>
        <w:t>万元</w:t>
      </w:r>
      <w:r>
        <w:rPr>
          <w:rFonts w:hint="eastAsia" w:ascii="仿宋_GB2312" w:hAnsi="宋体" w:eastAsia="仿宋_GB2312" w:cs="仿宋_GB2312"/>
          <w:sz w:val="30"/>
          <w:szCs w:val="30"/>
          <w:lang w:eastAsia="zh-CN"/>
        </w:rPr>
        <w:t>；</w:t>
      </w:r>
      <w:r>
        <w:rPr>
          <w:rFonts w:hint="eastAsia" w:ascii="仿宋_GB2312" w:hAnsi="宋体" w:eastAsia="仿宋_GB2312" w:cs="仿宋_GB2312"/>
          <w:sz w:val="30"/>
          <w:szCs w:val="30"/>
          <w:lang w:val="en-US" w:eastAsia="zh-CN"/>
        </w:rPr>
        <w:t>卫生健康支出42.05万元；农林水支出6.68万元。</w:t>
      </w:r>
    </w:p>
    <w:p w14:paraId="2428CF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3176A3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（一）基本支出情况</w:t>
      </w:r>
    </w:p>
    <w:p w14:paraId="06D2D229">
      <w:pPr>
        <w:spacing w:line="600" w:lineRule="exact"/>
        <w:ind w:firstLine="640" w:firstLineChars="200"/>
        <w:rPr>
          <w:rFonts w:hint="eastAsia" w:eastAsia="仿宋_GB2312"/>
          <w:sz w:val="32"/>
          <w:szCs w:val="32"/>
        </w:rPr>
      </w:pPr>
      <w:r>
        <w:rPr>
          <w:rFonts w:hint="eastAsia" w:ascii="仿宋" w:hAnsi="仿宋" w:eastAsia="仿宋" w:cs="仿宋"/>
          <w:sz w:val="32"/>
          <w:szCs w:val="32"/>
          <w:lang w:val="en-US" w:eastAsia="zh-CN"/>
        </w:rPr>
        <w:t>基本支出情况。2021年基本支出3280.93万元。其中人员经费2487.38万元，日常公用经费793.55万元。</w:t>
      </w:r>
      <w:r>
        <w:rPr>
          <w:rFonts w:hint="eastAsia" w:ascii="Times New Roman" w:hAnsi="Times New Roman" w:eastAsia="仿宋_GB2312" w:cs="Times New Roman"/>
          <w:sz w:val="32"/>
          <w:szCs w:val="32"/>
          <w:lang w:val="en-US" w:eastAsia="zh-CN"/>
        </w:rPr>
        <w:t>是指为保障单位机构正常运转、完成日常工作任务而发生的各项支出，包括用于基本工资、津贴补贴等人员经费以及办公费、印刷费、水电费及办公设备购置等日常公用经费。</w:t>
      </w:r>
    </w:p>
    <w:p w14:paraId="369104D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项目支出情况</w:t>
      </w:r>
    </w:p>
    <w:p w14:paraId="4471E5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sz w:val="32"/>
          <w:szCs w:val="32"/>
          <w:lang w:val="en-US" w:eastAsia="zh-CN"/>
        </w:rPr>
        <w:t>2021年项目支出1456.15万元。</w:t>
      </w:r>
      <w:r>
        <w:rPr>
          <w:rFonts w:hint="eastAsia" w:ascii="Times New Roman" w:hAnsi="Times New Roman" w:eastAsia="仿宋_GB2312" w:cs="Times New Roman"/>
          <w:sz w:val="32"/>
          <w:szCs w:val="32"/>
        </w:rPr>
        <w:t>是指单位为完成</w:t>
      </w:r>
      <w:r>
        <w:rPr>
          <w:rFonts w:hint="eastAsia" w:ascii="Times New Roman" w:hAnsi="Times New Roman" w:eastAsia="仿宋_GB2312" w:cs="Times New Roman"/>
          <w:sz w:val="32"/>
          <w:szCs w:val="32"/>
          <w:lang w:eastAsia="zh-CN"/>
        </w:rPr>
        <w:t>既</w:t>
      </w:r>
      <w:r>
        <w:rPr>
          <w:rFonts w:hint="eastAsia" w:ascii="Times New Roman" w:hAnsi="Times New Roman" w:eastAsia="仿宋_GB2312" w:cs="Times New Roman"/>
          <w:sz w:val="32"/>
          <w:szCs w:val="32"/>
        </w:rPr>
        <w:t>定行政工作或事业发展目标而发生的支出，</w:t>
      </w:r>
      <w:r>
        <w:rPr>
          <w:rFonts w:hint="eastAsia" w:ascii="仿宋" w:hAnsi="仿宋" w:eastAsia="仿宋" w:cs="仿宋"/>
          <w:sz w:val="32"/>
          <w:szCs w:val="32"/>
          <w:lang w:val="en-US" w:eastAsia="zh-CN"/>
        </w:rPr>
        <w:t>用于市场监管领域专项监管、食品安全抽检、知识产权申报及奖励等项目。</w:t>
      </w:r>
    </w:p>
    <w:p w14:paraId="523C3B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（三）</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p>
    <w:p w14:paraId="1991DC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1．因公出国（境）费用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2021年本单位因公出国（境）费用为0元。</w:t>
      </w:r>
    </w:p>
    <w:p w14:paraId="2B7F7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2．公务接待费</w:t>
      </w:r>
      <w:r>
        <w:rPr>
          <w:rFonts w:hint="eastAsia" w:ascii="仿宋" w:hAnsi="仿宋" w:eastAsia="仿宋" w:cs="仿宋"/>
          <w:sz w:val="32"/>
          <w:szCs w:val="32"/>
          <w:lang w:eastAsia="zh-CN"/>
        </w:rPr>
        <w:t>：</w:t>
      </w:r>
      <w:r>
        <w:rPr>
          <w:rFonts w:hint="eastAsia" w:ascii="仿宋_GB2312" w:hAnsi="宋体" w:eastAsia="仿宋_GB2312" w:cs="仿宋_GB2312"/>
          <w:sz w:val="30"/>
          <w:szCs w:val="30"/>
          <w:lang w:val="en-US" w:eastAsia="zh-CN"/>
        </w:rPr>
        <w:t>5.76</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173403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仿宋" w:hAnsi="仿宋" w:eastAsia="仿宋" w:cs="仿宋"/>
          <w:sz w:val="32"/>
          <w:szCs w:val="32"/>
        </w:rPr>
        <w:t>3．公务用车购置及运行费</w:t>
      </w:r>
      <w:r>
        <w:rPr>
          <w:rFonts w:hint="eastAsia" w:ascii="仿宋" w:hAnsi="仿宋" w:eastAsia="仿宋" w:cs="仿宋"/>
          <w:sz w:val="32"/>
          <w:szCs w:val="32"/>
          <w:lang w:eastAsia="zh-CN"/>
        </w:rPr>
        <w:t>：现有公车</w:t>
      </w:r>
      <w:r>
        <w:rPr>
          <w:rFonts w:hint="eastAsia" w:ascii="仿宋" w:hAnsi="仿宋" w:eastAsia="仿宋" w:cs="仿宋"/>
          <w:sz w:val="32"/>
          <w:szCs w:val="32"/>
          <w:lang w:val="en-US" w:eastAsia="zh-CN"/>
        </w:rPr>
        <w:t>13台（其中</w:t>
      </w:r>
      <w:r>
        <w:rPr>
          <w:rFonts w:hint="eastAsia" w:ascii="仿宋" w:hAnsi="仿宋" w:eastAsia="仿宋" w:cs="仿宋"/>
          <w:sz w:val="32"/>
          <w:szCs w:val="32"/>
          <w:lang w:eastAsia="zh-CN"/>
        </w:rPr>
        <w:t>公务车（执法车）</w:t>
      </w:r>
      <w:r>
        <w:rPr>
          <w:rFonts w:hint="eastAsia" w:ascii="仿宋" w:hAnsi="仿宋" w:eastAsia="仿宋" w:cs="仿宋"/>
          <w:sz w:val="32"/>
          <w:szCs w:val="32"/>
          <w:lang w:val="en-US" w:eastAsia="zh-CN"/>
        </w:rPr>
        <w:t>12台，特种车辆（检测车）1台），车辆</w:t>
      </w:r>
      <w:r>
        <w:rPr>
          <w:rFonts w:hint="eastAsia" w:ascii="仿宋" w:hAnsi="仿宋" w:eastAsia="仿宋" w:cs="仿宋"/>
          <w:sz w:val="32"/>
          <w:szCs w:val="32"/>
        </w:rPr>
        <w:t>运行</w:t>
      </w:r>
      <w:r>
        <w:rPr>
          <w:rFonts w:hint="eastAsia" w:ascii="仿宋" w:hAnsi="仿宋" w:eastAsia="仿宋" w:cs="仿宋"/>
          <w:sz w:val="32"/>
          <w:szCs w:val="32"/>
          <w:lang w:eastAsia="zh-CN"/>
        </w:rPr>
        <w:t>维护</w:t>
      </w:r>
      <w:r>
        <w:rPr>
          <w:rFonts w:hint="eastAsia" w:ascii="仿宋" w:hAnsi="仿宋" w:eastAsia="仿宋" w:cs="仿宋"/>
          <w:sz w:val="32"/>
          <w:szCs w:val="32"/>
        </w:rPr>
        <w:t>费</w:t>
      </w:r>
      <w:r>
        <w:rPr>
          <w:rFonts w:hint="eastAsia" w:ascii="仿宋_GB2312" w:hAnsi="宋体" w:eastAsia="仿宋_GB2312" w:cs="仿宋_GB2312"/>
          <w:sz w:val="30"/>
          <w:szCs w:val="30"/>
          <w:lang w:val="en-US" w:eastAsia="zh-CN"/>
        </w:rPr>
        <w:t>21.66</w:t>
      </w:r>
      <w:r>
        <w:rPr>
          <w:rFonts w:hint="eastAsia" w:ascii="仿宋" w:hAnsi="仿宋" w:eastAsia="仿宋" w:cs="仿宋"/>
          <w:sz w:val="32"/>
          <w:szCs w:val="32"/>
        </w:rPr>
        <w:t>万元</w:t>
      </w:r>
      <w:r>
        <w:rPr>
          <w:rFonts w:hint="eastAsia" w:ascii="仿宋" w:hAnsi="仿宋" w:eastAsia="仿宋" w:cs="仿宋"/>
          <w:sz w:val="32"/>
          <w:szCs w:val="32"/>
          <w:lang w:eastAsia="zh-CN"/>
        </w:rPr>
        <w:t>，无车辆购置费。</w:t>
      </w:r>
    </w:p>
    <w:p w14:paraId="0A2088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三、部门整体支出绩效情况</w:t>
      </w:r>
    </w:p>
    <w:p w14:paraId="32A09C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（1）党建引领开新局</w:t>
      </w:r>
    </w:p>
    <w:p w14:paraId="128750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政治建设为统领，强化“四个意识”，借助“廉洁单位”“文明单位”创建的强劲东风，不断推动全面从严治党主体责任落地落实。扎实抓好党史学习教育，扎实抓好干部队伍建设，做到巩固脱贫攻坚与乡村振兴有效衔接开局良好，开展了为期6个月5个方面23个具体损害营商环境问题的专项整治，着力解决市场主体反映强烈的作风顽疾，坚决查处侵害群众利益、破坏营商环境的人和事。积极推进学习型基层监管队伍建设，努力打造“学习型市场监管所”。</w:t>
      </w:r>
    </w:p>
    <w:p w14:paraId="1DC0DE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（2）制度机制建立完善取得新进展</w:t>
      </w:r>
    </w:p>
    <w:p w14:paraId="64451B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全市第一个也是唯一一个出台了市场监管领域危害后果轻微违法行为首错不罚清单88条，2次修改完善依法行政工作制度，落实好4次巡察整改要求，行政执法三项制度推进有力。继续完善出台财务管理制度、事业单位公职公资车补办法、晋级考核办法、“双随机、一公开”监管联席会议制度及创新企业年报工作机制，基本做到了靠制度来管人管事。</w:t>
      </w:r>
    </w:p>
    <w:p w14:paraId="0F39F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（3）市场安全保证做到心中有底</w:t>
      </w:r>
    </w:p>
    <w:p w14:paraId="100C22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立不同市场主体动态监管台帐。以网格化监管框架为基础，对全县的零售药店、医疗机构、商场超市、餐饮店、百货、农贸市场、生产企业、特种设备、网络交易平台等不同市场主体经营状况进行多次全面摸底，建立了全覆盖的动态监管台帐，与联通公司合作适时向市场主体推送监管信息，确保市场监管日常工作落实落地。</w:t>
      </w:r>
    </w:p>
    <w:p w14:paraId="1480C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执法强监管有力有效。突出食品、药品、特种设备、产商品及市场领域疫情防控重点工作，狠抓校园及周边食品安全、“蓝天保卫战”餐饮油烟、餐饮环节违法添加罂粟壳（粉）、“放心早餐”、“护老”、“护苗”、“护源”、小作坊、冷链食品、地沟油、“长江禁捕”、酒类、中药饮片、特殊药品和专管药品、疫苗、医疗器械、化妆品、食盐、液化石油气瓶、天然气压力管道、锅炉、起重机械、电梯、消防产品、农资产品、交通问题顽瘴痼疾、建材产品、儿童和学生用品、成品油等专项整治，对全县51517户各类市场主体特别是1778家餐饮服务单位、1416家小餐饮、102家食品生产加工小作坊、5695家食品销售经营户、691家商场超市、22家网络餐饮平台、2家药品批发企业、1家药品零售连锁企业、570家医疗机构、235家药品零售企业、145家冷链生产经营单位、22家进口冷链食品经营单位、1399台电梯、194台压力容器、7台大型游乐设施、10万余只气瓶及100余千米压力管道等进行重点监管，全年共立案704起，移送公安5起。</w:t>
      </w:r>
    </w:p>
    <w:p w14:paraId="19FBE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（4）市场秩序做到规范有序</w:t>
      </w:r>
    </w:p>
    <w:p w14:paraId="255D5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市场秩序，坚持问题导向，护公平、重维权，对涉企收费、教育收费、医疗服务、药品价格、重要农产品上市售卖价格及时检查，快递二次收费案件办理、假冒伪劣、广告、网络电商违法、知识产权侵权等专项打击有力有效，尤其是成品油、农资市场、计量领域作弊、禁毒反电诈、交通顽瘴固疾整治、消费投诉举报72小时机制、12315中心工作扎实有效，赢民心、顺民意，全县市场秩序和消费环境逐向良好。</w:t>
      </w:r>
    </w:p>
    <w:p w14:paraId="4E684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（5）品牌发展上有了新的突破</w:t>
      </w:r>
    </w:p>
    <w:p w14:paraId="5FCFC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省级食品安全县宣传工作有新特色，自去年创建省级食品安全示范县工作开展以来，食品安全教育首次纳入县委干部教育工作领导小组培训计划，组织了全县140名食品安全工作骨干进行为期两天的集中培训；开展“放心早餐示范店”创建，全县首批9家“放心早餐示范店”挂牌；积极探索集体聚餐规范管理模式，集中培训农村聚集性餐饮从业人员1000人，并对聚集性餐饮服务从业人员进行属地管理，实行登记备案制，核发《隆回县集体聚餐服务备案登记证》，做到“一户一档”，积极培植聚集性餐饮龙头企业“湖南仟宴餐饮服务有限公司”，发展壮大新型农村集体经济服务，助力乡村振兴；开展餐饮文明桌签行动，向县城内餐饮单位免费发放20000张食品安全宣传桌签牌，向社会公众发放50000个宣传购物袋。食品安全工作2000字宣传文章首次现身湖南日报，新湖南客户端、华声在线等频道也同步推介。</w:t>
      </w:r>
    </w:p>
    <w:p w14:paraId="5F452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质量工作、知识产权建设强县工作继续得到省市高度关注。以质量宣传、质量服务、质量监管为抓手，积极培育商标品牌，引导企业申报地理标志商标、马德里商标、ＰＣＴ专利，积极宣传“隆回希品”、“邵阳红”优质产品，隆回辣椒、隆回虎皮大蒜、隆回虎爪生姜、一都野茶山地标申请等都取得新的进展， 2021年全县成功申报了2件PCT专利。</w:t>
      </w:r>
    </w:p>
    <w:p w14:paraId="211EDF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湖南省金银花产品质量监督检验中心项目建设，与湖南省“芙蓉学者”、湖南农大食科学院教授、博导刘霞教授团队就技术人员培训达成了初步意向，为加强检测能力建设、提升服务水平、促进全县检验检测工作有序健康发展提供了技术保证。</w:t>
      </w:r>
    </w:p>
    <w:p w14:paraId="01D80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（6）行政审批方面成效显著</w:t>
      </w:r>
    </w:p>
    <w:p w14:paraId="5C7D99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认真落实《优化营商市场监管30条》，“一次事一次办”、“一企一证”、“证照分离”、食药许可、医疗器械经营许可备案及换证、知识产权培育运用和保护等多项改革举措压茬推进，注册登记日益便利，尤其是在减少材料、压缩时限上成效明显，企业开办时间平均压缩到3天以内，其中设立登记时间已压缩至1天以内。在12月底前已全部完成572个村的村级建筑劳务服务有限公司注册登记，得到县委县政府主要领导肯定。全年办理各类商事主体登记6270件，其中企业登记1397件，全程电子化企业业务登记1097件，个体工商户登记4873件，年报完成率为93.95%。市场主体三年存活率居全市第一。</w:t>
      </w:r>
    </w:p>
    <w:p w14:paraId="5533EF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（7）科普宣传有力度</w:t>
      </w:r>
    </w:p>
    <w:p w14:paraId="143613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3.15”“食品安全宣传周”“化妆品科普宣传周”、“5.20世界计量日”、毒蘑菇、知识产权宣传周、省级食品安全示范县创建等宣传活动，其中“3.15”集中销毁30余万元假冒伪劣商品。举办全县药品经营企业疟疾防治知识暨“两法”培训班、全县食品安全骨干培训班、全县市场经营主体代表禁毒知识培训班、全县农村餐饮服务从业人员集中培训班等，共有222名药品经营企业负责人、170余家市场主体、140余名食品安全骨干、1000名农村餐饮服务人员参加了培训。先后9次集中约谈了县内食品生产、餐饮、特种设备、快递物流、零售药店等单位负责人。</w:t>
      </w:r>
    </w:p>
    <w:p w14:paraId="08395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市场监管工作取得了一些成绩，也存在着一些不足。一是干部队伍力量薄弱，人员老化，特别是基层监管所事多压力大，导致无人干事；二是监管队伍专业人员严重缺乏，一些专业性、技术性强的工作则无人能干；三是设施设备差，达不到检测要求，特别是质量监管抽检经费少，并且争取难。 </w:t>
      </w:r>
    </w:p>
    <w:p w14:paraId="6CE26C7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存在的问题</w:t>
      </w:r>
    </w:p>
    <w:p w14:paraId="7C6246A3">
      <w:pPr>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预算编制工作有待细化。</w:t>
      </w:r>
      <w:r>
        <w:rPr>
          <w:rFonts w:hint="eastAsia" w:ascii="Times New Roman" w:hAnsi="Times New Roman" w:eastAsia="仿宋_GB2312" w:cs="Times New Roman"/>
          <w:sz w:val="32"/>
          <w:szCs w:val="32"/>
        </w:rPr>
        <w:t>预算编制不够明确和细化，预算编制的合理性需要提高，预算执行力度还要进一步加强。</w:t>
      </w:r>
    </w:p>
    <w:p w14:paraId="25BDF8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二）专项工作经费不足。机构改革后，我局承担了原工商局、食药局、质监局、价格监督局所有职能，监管范围广责任重，常规性监管专项活动较多，经费需求较大，但目前经费预算不足，为了保证正常工作的开展，给我局财政运转带来了巨大的压力。</w:t>
      </w:r>
    </w:p>
    <w:p w14:paraId="0392C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三）派出机构经费不足。我局由于职能职责的设置，有多个派出的基层所，派出基层所大多分布比较偏远，县财政预算编制方案没有体现这一特殊性，在经费预算中没有分级分档预算，导致基层所的经费严重不足。</w:t>
      </w:r>
    </w:p>
    <w:p w14:paraId="14253C9D">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财务管理有待创新。财务管理水平和逐年上升的财务要求不匹配，相对落后。</w:t>
      </w:r>
    </w:p>
    <w:p w14:paraId="2DF285C8">
      <w:pPr>
        <w:spacing w:line="600" w:lineRule="exact"/>
        <w:ind w:firstLine="640" w:firstLineChars="200"/>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资产管理有待加强。对国有资产管理不较规范，往来款项未及时清理，管理方法不科学。</w:t>
      </w:r>
    </w:p>
    <w:p w14:paraId="657E54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sz w:val="32"/>
          <w:szCs w:val="32"/>
        </w:rPr>
      </w:pPr>
      <w:r>
        <w:rPr>
          <w:rFonts w:hint="eastAsia" w:ascii="黑体" w:hAnsi="黑体" w:eastAsia="黑体"/>
          <w:b/>
          <w:bCs/>
          <w:sz w:val="32"/>
          <w:szCs w:val="32"/>
        </w:rPr>
        <w:t>五、改进措施和有关建议</w:t>
      </w:r>
    </w:p>
    <w:p w14:paraId="5ACD595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部门预算编制科学化</w:t>
      </w:r>
      <w:r>
        <w:rPr>
          <w:rFonts w:hint="eastAsia" w:ascii="仿宋_GB2312" w:hAnsi="仿宋_GB2312" w:eastAsia="仿宋_GB2312" w:cs="仿宋_GB2312"/>
          <w:sz w:val="32"/>
          <w:szCs w:val="32"/>
          <w:lang w:eastAsia="zh-CN"/>
        </w:rPr>
        <w:t>，增加专项资金预算。一是预算编制方案应在普遍性的基础上结合当年县重点工作及相关文件精神确定编制口径，确保预算全覆盖，经费有保障。二是</w:t>
      </w:r>
      <w:r>
        <w:rPr>
          <w:rFonts w:hint="eastAsia" w:ascii="仿宋_GB2312" w:hAnsi="仿宋_GB2312" w:eastAsia="仿宋_GB2312" w:cs="仿宋_GB2312"/>
          <w:sz w:val="32"/>
          <w:szCs w:val="32"/>
        </w:rPr>
        <w:t>完善部门综合预算管理，将全部收入按“全口径预算管理”的要求，将全部收入纳入部门预算管理，提高收入预算编制的科学性和准确性</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是对</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支出经费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按照实际需求予以保证</w:t>
      </w:r>
      <w:r>
        <w:rPr>
          <w:rFonts w:hint="eastAsia" w:ascii="仿宋_GB2312" w:hAnsi="仿宋_GB2312" w:eastAsia="仿宋_GB2312" w:cs="仿宋_GB2312"/>
          <w:sz w:val="32"/>
          <w:szCs w:val="32"/>
          <w:lang w:eastAsia="zh-CN"/>
        </w:rPr>
        <w:t>。四是增加调整预算程序，在预算执行期间可根据实际情况向财政提交调整</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保证预算全面覆盖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提高预算编制的合理性、计划性和严谨性。</w:t>
      </w:r>
    </w:p>
    <w:p w14:paraId="2BA96F74">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（二）进一步完善财务管理。严格预算执行、严控各项支出，确保实现部门整体支出绩效最大化。</w:t>
      </w:r>
      <w:r>
        <w:rPr>
          <w:rFonts w:hint="eastAsia" w:eastAsia="仿宋_GB2312"/>
          <w:sz w:val="32"/>
          <w:szCs w:val="32"/>
        </w:rPr>
        <w:t>完善资产管理</w:t>
      </w:r>
      <w:r>
        <w:rPr>
          <w:rFonts w:hint="eastAsia" w:eastAsia="仿宋_GB2312"/>
          <w:sz w:val="32"/>
          <w:szCs w:val="32"/>
          <w:lang w:eastAsia="zh-CN"/>
        </w:rPr>
        <w:t>，</w:t>
      </w:r>
      <w:r>
        <w:rPr>
          <w:rFonts w:hint="eastAsia" w:eastAsia="仿宋_GB2312"/>
          <w:sz w:val="32"/>
          <w:szCs w:val="32"/>
        </w:rPr>
        <w:t>严格编制政府采购年初预算和计划，规范各类资产的购置审批、采购、使用管理、处置和报废、管理岗位职责等制度，加强单位内部的资产管理工作。</w:t>
      </w:r>
    </w:p>
    <w:p w14:paraId="2BF935DE">
      <w:pPr>
        <w:spacing w:line="360" w:lineRule="auto"/>
        <w:ind w:firstLine="63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（三）加强财务管理，健全单位财务管理制度体系，</w:t>
      </w:r>
      <w:r>
        <w:rPr>
          <w:rFonts w:hint="eastAsia" w:ascii="仿宋_GB2312" w:hAnsi="仿宋_GB2312" w:eastAsia="仿宋_GB2312" w:cs="仿宋_GB2312"/>
          <w:b w:val="0"/>
          <w:bCs/>
          <w:sz w:val="32"/>
          <w:szCs w:val="32"/>
          <w:lang w:eastAsia="zh-CN"/>
        </w:rPr>
        <w:t>完善专项资金监管，</w:t>
      </w:r>
      <w:r>
        <w:rPr>
          <w:rFonts w:hint="eastAsia" w:ascii="仿宋_GB2312" w:hAnsi="仿宋_GB2312" w:eastAsia="仿宋_GB2312" w:cs="仿宋_GB2312"/>
          <w:b w:val="0"/>
          <w:bCs/>
          <w:sz w:val="32"/>
          <w:szCs w:val="32"/>
        </w:rPr>
        <w:t>规范单位财务行为。严格财务审核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对不符合制度、附件不规范不齐全的开支，要求退回予以补充和更正，以保证各项支出的合规、合理。严格控制“三公”经费的规模和比例，把关“三公”经费支出的审核、审批，细化“三公”经费的管理，合理压缩“三公”经费支出。</w:t>
      </w:r>
    </w:p>
    <w:p w14:paraId="55505AE6">
      <w:pPr>
        <w:wordWrap/>
        <w:spacing w:line="600" w:lineRule="exact"/>
        <w:ind w:firstLine="640" w:firstLineChars="200"/>
        <w:jc w:val="both"/>
        <w:rPr>
          <w:rFonts w:hint="eastAsia" w:ascii="黑体" w:hAnsi="宋体" w:eastAsia="黑体" w:cs="宋体"/>
          <w:kern w:val="0"/>
          <w:sz w:val="32"/>
          <w:szCs w:val="32"/>
          <w:lang w:val="en-US" w:eastAsia="zh-CN"/>
        </w:rPr>
      </w:pPr>
      <w:r>
        <w:rPr>
          <w:rFonts w:hint="eastAsia" w:ascii="黑体" w:hAnsi="宋体" w:eastAsia="黑体" w:cs="宋体"/>
          <w:kern w:val="0"/>
          <w:sz w:val="32"/>
          <w:szCs w:val="32"/>
          <w:lang w:val="en-US" w:eastAsia="zh-CN"/>
        </w:rPr>
        <w:t xml:space="preserve">                            </w:t>
      </w:r>
    </w:p>
    <w:p w14:paraId="06FB324B">
      <w:pPr>
        <w:wordWrap/>
        <w:spacing w:line="600" w:lineRule="exact"/>
        <w:ind w:firstLine="5120" w:firstLineChars="1600"/>
        <w:jc w:val="both"/>
        <w:rPr>
          <w:rFonts w:hint="default" w:eastAsia="仿宋_GB2312"/>
          <w:sz w:val="32"/>
          <w:szCs w:val="32"/>
          <w:lang w:val="en-US" w:eastAsia="zh-CN"/>
        </w:rPr>
      </w:pPr>
      <w:r>
        <w:rPr>
          <w:rFonts w:hint="eastAsia" w:ascii="黑体" w:hAnsi="宋体" w:eastAsia="黑体" w:cs="宋体"/>
          <w:kern w:val="0"/>
          <w:sz w:val="32"/>
          <w:szCs w:val="32"/>
          <w:lang w:val="en-US" w:eastAsia="zh-CN"/>
        </w:rPr>
        <w:t xml:space="preserve"> </w:t>
      </w:r>
      <w:r>
        <w:rPr>
          <w:rFonts w:hint="eastAsia" w:eastAsia="仿宋_GB2312"/>
          <w:sz w:val="32"/>
          <w:szCs w:val="32"/>
          <w:lang w:eastAsia="zh-CN"/>
        </w:rPr>
        <w:t>隆回县市场监督管理</w:t>
      </w:r>
      <w:r>
        <w:rPr>
          <w:rFonts w:hint="eastAsia" w:eastAsia="仿宋_GB2312"/>
          <w:sz w:val="32"/>
          <w:szCs w:val="32"/>
          <w:lang w:val="en-US" w:eastAsia="zh-CN"/>
        </w:rPr>
        <w:t xml:space="preserve"> </w:t>
      </w:r>
    </w:p>
    <w:p w14:paraId="63FD7D8D">
      <w:pPr>
        <w:wordWrap w:val="0"/>
        <w:spacing w:line="600" w:lineRule="exact"/>
        <w:ind w:firstLine="640" w:firstLineChars="200"/>
        <w:jc w:val="center"/>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202</w:t>
      </w:r>
      <w:r>
        <w:rPr>
          <w:rFonts w:hint="eastAsia" w:eastAsia="仿宋_GB2312"/>
          <w:sz w:val="32"/>
          <w:szCs w:val="32"/>
          <w:lang w:val="en-US" w:eastAsia="zh-CN"/>
        </w:rPr>
        <w:t>2</w:t>
      </w:r>
      <w:r>
        <w:rPr>
          <w:rFonts w:hint="eastAsia" w:eastAsia="仿宋_GB2312"/>
          <w:sz w:val="32"/>
          <w:szCs w:val="32"/>
        </w:rPr>
        <w:t>年4月2</w:t>
      </w:r>
      <w:r>
        <w:rPr>
          <w:rFonts w:hint="eastAsia" w:eastAsia="仿宋_GB2312"/>
          <w:sz w:val="32"/>
          <w:szCs w:val="32"/>
          <w:lang w:val="en-US" w:eastAsia="zh-CN"/>
        </w:rPr>
        <w:t>0</w:t>
      </w:r>
      <w:r>
        <w:rPr>
          <w:rFonts w:hint="eastAsia" w:eastAsia="仿宋_GB2312"/>
          <w:sz w:val="32"/>
          <w:szCs w:val="32"/>
        </w:rPr>
        <w:t>日</w:t>
      </w:r>
    </w:p>
    <w:p w14:paraId="32D7E52C">
      <w:pPr>
        <w:spacing w:line="560" w:lineRule="exact"/>
        <w:rPr>
          <w:rFonts w:hint="default" w:ascii="黑体" w:hAnsi="宋体" w:eastAsia="黑体" w:cs="宋体"/>
          <w:kern w:val="0"/>
          <w:sz w:val="32"/>
          <w:szCs w:val="32"/>
          <w:lang w:val="en-US" w:eastAsia="zh-CN"/>
        </w:rPr>
      </w:pPr>
    </w:p>
    <w:p w14:paraId="0CC04DBA">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14:paraId="3F3B1089">
      <w:pPr>
        <w:spacing w:line="560" w:lineRule="exact"/>
        <w:rPr>
          <w:rFonts w:ascii="黑体" w:hAnsi="宋体" w:eastAsia="黑体" w:cs="宋体"/>
          <w:kern w:val="0"/>
          <w:sz w:val="32"/>
          <w:szCs w:val="32"/>
        </w:rPr>
      </w:pPr>
    </w:p>
    <w:p w14:paraId="636F6E34">
      <w:pPr>
        <w:spacing w:line="560" w:lineRule="exact"/>
        <w:rPr>
          <w:rFonts w:ascii="黑体" w:hAnsi="宋体" w:eastAsia="黑体" w:cs="宋体"/>
          <w:kern w:val="0"/>
          <w:sz w:val="32"/>
          <w:szCs w:val="32"/>
        </w:rPr>
      </w:pPr>
    </w:p>
    <w:p w14:paraId="0593E42F"/>
    <w:p w14:paraId="2BBBE5CE"/>
    <w:p w14:paraId="6B7C9743"/>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DB17">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CF52E">
                          <w:pPr>
                            <w:pStyle w:val="6"/>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3CF52E">
                    <w:pPr>
                      <w:pStyle w:val="6"/>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7E98">
    <w:pPr>
      <w:pStyle w:val="6"/>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14:paraId="5E263F48">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8E1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FE6ED"/>
    <w:multiLevelType w:val="singleLevel"/>
    <w:tmpl w:val="9C8FE6ED"/>
    <w:lvl w:ilvl="0" w:tentative="0">
      <w:start w:val="1"/>
      <w:numFmt w:val="chineseCounting"/>
      <w:suff w:val="nothing"/>
      <w:lvlText w:val="（%1）"/>
      <w:lvlJc w:val="left"/>
      <w:rPr>
        <w:rFonts w:hint="eastAsia"/>
      </w:rPr>
    </w:lvl>
  </w:abstractNum>
  <w:abstractNum w:abstractNumId="1">
    <w:nsid w:val="E0EF59B5"/>
    <w:multiLevelType w:val="singleLevel"/>
    <w:tmpl w:val="E0EF59B5"/>
    <w:lvl w:ilvl="0" w:tentative="0">
      <w:start w:val="4"/>
      <w:numFmt w:val="chineseCounting"/>
      <w:suff w:val="nothing"/>
      <w:lvlText w:val="%1、"/>
      <w:lvlJc w:val="left"/>
      <w:rPr>
        <w:rFonts w:hint="eastAsia"/>
      </w:rPr>
    </w:lvl>
  </w:abstractNum>
  <w:abstractNum w:abstractNumId="2">
    <w:nsid w:val="7C4E71FE"/>
    <w:multiLevelType w:val="singleLevel"/>
    <w:tmpl w:val="7C4E71F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jZhYWNjMGI5ZWMxZGYyOWIwMzYyNzQ0ZmQ0YTUifQ=="/>
  </w:docVars>
  <w:rsids>
    <w:rsidRoot w:val="18D538B0"/>
    <w:rsid w:val="001F3ADA"/>
    <w:rsid w:val="00445595"/>
    <w:rsid w:val="0059719E"/>
    <w:rsid w:val="01600BAC"/>
    <w:rsid w:val="0160265D"/>
    <w:rsid w:val="018E17F6"/>
    <w:rsid w:val="027C0F8A"/>
    <w:rsid w:val="037405E1"/>
    <w:rsid w:val="04C717D3"/>
    <w:rsid w:val="05544226"/>
    <w:rsid w:val="067A7CBC"/>
    <w:rsid w:val="07524795"/>
    <w:rsid w:val="08346591"/>
    <w:rsid w:val="08C72F61"/>
    <w:rsid w:val="09D347BB"/>
    <w:rsid w:val="0A686BF6"/>
    <w:rsid w:val="0FAB0EE6"/>
    <w:rsid w:val="10703EDE"/>
    <w:rsid w:val="10C304B2"/>
    <w:rsid w:val="117C2E73"/>
    <w:rsid w:val="11E9622E"/>
    <w:rsid w:val="12607728"/>
    <w:rsid w:val="13113C31"/>
    <w:rsid w:val="13C57FC2"/>
    <w:rsid w:val="13EB2DF0"/>
    <w:rsid w:val="14E13C46"/>
    <w:rsid w:val="153A4AE6"/>
    <w:rsid w:val="16071199"/>
    <w:rsid w:val="16342D5F"/>
    <w:rsid w:val="16D42F8F"/>
    <w:rsid w:val="1767588B"/>
    <w:rsid w:val="177E3384"/>
    <w:rsid w:val="18D538B0"/>
    <w:rsid w:val="18E032C2"/>
    <w:rsid w:val="1CCF110C"/>
    <w:rsid w:val="1F3B7074"/>
    <w:rsid w:val="20BB5D9B"/>
    <w:rsid w:val="20EC5803"/>
    <w:rsid w:val="21991BAE"/>
    <w:rsid w:val="21B552CB"/>
    <w:rsid w:val="22D16A5E"/>
    <w:rsid w:val="2351194D"/>
    <w:rsid w:val="245C61AD"/>
    <w:rsid w:val="2483632E"/>
    <w:rsid w:val="25B05D49"/>
    <w:rsid w:val="27221F7E"/>
    <w:rsid w:val="27683B32"/>
    <w:rsid w:val="29982084"/>
    <w:rsid w:val="2A706BB3"/>
    <w:rsid w:val="2A7D74CC"/>
    <w:rsid w:val="2AE87C87"/>
    <w:rsid w:val="2C2B5641"/>
    <w:rsid w:val="2C2C761B"/>
    <w:rsid w:val="2C3543ED"/>
    <w:rsid w:val="2E0F19C7"/>
    <w:rsid w:val="2E2B5E45"/>
    <w:rsid w:val="2E4C5B33"/>
    <w:rsid w:val="2E515D05"/>
    <w:rsid w:val="2E6C3ADF"/>
    <w:rsid w:val="2F2D326E"/>
    <w:rsid w:val="2FC02FA6"/>
    <w:rsid w:val="2FF745A3"/>
    <w:rsid w:val="302A3C52"/>
    <w:rsid w:val="303D3420"/>
    <w:rsid w:val="304F36B8"/>
    <w:rsid w:val="30F75AD1"/>
    <w:rsid w:val="316450AF"/>
    <w:rsid w:val="335115F0"/>
    <w:rsid w:val="3546366F"/>
    <w:rsid w:val="357070B5"/>
    <w:rsid w:val="362508B9"/>
    <w:rsid w:val="37DA3515"/>
    <w:rsid w:val="38FC5F19"/>
    <w:rsid w:val="38FC7F68"/>
    <w:rsid w:val="3A08216A"/>
    <w:rsid w:val="3A754CC9"/>
    <w:rsid w:val="3AB72586"/>
    <w:rsid w:val="3BEA370A"/>
    <w:rsid w:val="3BF375EE"/>
    <w:rsid w:val="3DB86D41"/>
    <w:rsid w:val="3E285C74"/>
    <w:rsid w:val="3ECD3124"/>
    <w:rsid w:val="3F0B4C4E"/>
    <w:rsid w:val="3F9A003D"/>
    <w:rsid w:val="3FE33226"/>
    <w:rsid w:val="402A4D1A"/>
    <w:rsid w:val="40F164D7"/>
    <w:rsid w:val="42DE6CA5"/>
    <w:rsid w:val="443F5AC6"/>
    <w:rsid w:val="475F4422"/>
    <w:rsid w:val="47724161"/>
    <w:rsid w:val="478A5A2C"/>
    <w:rsid w:val="4874505C"/>
    <w:rsid w:val="48B545A9"/>
    <w:rsid w:val="49136AFE"/>
    <w:rsid w:val="49201968"/>
    <w:rsid w:val="4BB905DA"/>
    <w:rsid w:val="4E0B709E"/>
    <w:rsid w:val="4E165AE9"/>
    <w:rsid w:val="4F1D2EA8"/>
    <w:rsid w:val="507C62DD"/>
    <w:rsid w:val="54C62A70"/>
    <w:rsid w:val="55FF7C6A"/>
    <w:rsid w:val="563C6D66"/>
    <w:rsid w:val="565C4B5A"/>
    <w:rsid w:val="56880ED2"/>
    <w:rsid w:val="578E37A1"/>
    <w:rsid w:val="58C76ABA"/>
    <w:rsid w:val="5B184523"/>
    <w:rsid w:val="5CA442C0"/>
    <w:rsid w:val="5CD821BC"/>
    <w:rsid w:val="5E9B5B97"/>
    <w:rsid w:val="5EBF3B22"/>
    <w:rsid w:val="5FBE7D8F"/>
    <w:rsid w:val="5FFA4F90"/>
    <w:rsid w:val="60D1764E"/>
    <w:rsid w:val="61734F92"/>
    <w:rsid w:val="62363572"/>
    <w:rsid w:val="62B90694"/>
    <w:rsid w:val="635B32B1"/>
    <w:rsid w:val="63AD5DD7"/>
    <w:rsid w:val="63B56229"/>
    <w:rsid w:val="63C90AB0"/>
    <w:rsid w:val="63ED0C43"/>
    <w:rsid w:val="64610CE9"/>
    <w:rsid w:val="65ED7F30"/>
    <w:rsid w:val="660C32CE"/>
    <w:rsid w:val="68ED6F8B"/>
    <w:rsid w:val="6A522671"/>
    <w:rsid w:val="6ACB22C2"/>
    <w:rsid w:val="6C027255"/>
    <w:rsid w:val="6C6A0E2B"/>
    <w:rsid w:val="6C801864"/>
    <w:rsid w:val="6E615BFD"/>
    <w:rsid w:val="709661BE"/>
    <w:rsid w:val="70B86135"/>
    <w:rsid w:val="712559EA"/>
    <w:rsid w:val="71E82A49"/>
    <w:rsid w:val="71ED1E0E"/>
    <w:rsid w:val="74C57072"/>
    <w:rsid w:val="767C2482"/>
    <w:rsid w:val="76BB24DB"/>
    <w:rsid w:val="78853E63"/>
    <w:rsid w:val="79646ED0"/>
    <w:rsid w:val="79A436FA"/>
    <w:rsid w:val="7A3613CA"/>
    <w:rsid w:val="7AB4796D"/>
    <w:rsid w:val="7BFD33BD"/>
    <w:rsid w:val="7C38637B"/>
    <w:rsid w:val="7CDB3EC8"/>
    <w:rsid w:val="7D2A54B9"/>
    <w:rsid w:val="7FA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Body text|1"/>
    <w:basedOn w:val="1"/>
    <w:qFormat/>
    <w:uiPriority w:val="0"/>
    <w:pPr>
      <w:spacing w:line="449" w:lineRule="auto"/>
      <w:ind w:firstLine="400"/>
    </w:pPr>
    <w:rPr>
      <w:rFonts w:ascii="宋体" w:hAnsi="宋体" w:cs="宋体"/>
      <w:sz w:val="28"/>
      <w:szCs w:val="28"/>
      <w:lang w:val="zh-TW" w:eastAsia="zh-TW" w:bidi="zh-TW"/>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6162</Words>
  <Characters>6431</Characters>
  <Lines>0</Lines>
  <Paragraphs>0</Paragraphs>
  <TotalTime>52</TotalTime>
  <ScaleCrop>false</ScaleCrop>
  <LinksUpToDate>false</LinksUpToDate>
  <CharactersWithSpaces>6592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2022-04-29T03:46:00Z</cp:lastPrinted>
  <dcterms:modified xsi:type="dcterms:W3CDTF">2025-12-17T09:39:02Z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FC4AD5B48165493FADE0A0374E14E380</vt:lpwstr>
  </property>
  <property fmtid="{D5CDD505-2E9C-101B-9397-08002B2CF9AE}" pid="4" name="KSOTemplateDocerSaveRecord">
    <vt:lpwstr>eyJoZGlkIjoiMzUyMGJjZGJkYTMxNmM2MGVkODM5NTNmZjk2YzllNDIiLCJ1c2VySWQiOiIyNzg1MzQ3NzgifQ==</vt:lpwstr>
  </property>
</Properties>
</file>