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9" w:rsidRPr="00000969" w:rsidRDefault="00000969" w:rsidP="00000969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pPr w:leftFromText="180" w:rightFromText="180" w:vertAnchor="text" w:horzAnchor="page" w:tblpX="1719" w:tblpY="542"/>
        <w:tblOverlap w:val="never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 w:rsidR="00585D0D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0D" w:rsidRDefault="00000969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585D0D" w:rsidRDefault="00000969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585D0D" w:rsidRDefault="00000969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隆回县五里公路超限检测站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585D0D" w:rsidRDefault="00000969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585D0D" w:rsidRDefault="0000096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585D0D" w:rsidRDefault="00000969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38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2032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585D0D" w:rsidRDefault="00000969">
            <w:pPr>
              <w:spacing w:line="340" w:lineRule="exac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、宣传、贯彻、执行国家有关车辆超限治理的法律、法规、规章和政策；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2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、制定公路超限检测站的各项管理制度；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3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、依法对在公路上行使的车辆进行超限检测、认定、查处和纠正违法行为；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4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、监督当事人对超限运输车辆采取卸载、分装等消除违法状态的改正措施；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5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、收集、整理、上报有关检测、执法等数据和动态信息；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6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、管理、维护公路超限检测站的设施、设备和信息系统；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7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、法律、法规规定的其他职责；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8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承办县委、县政府和上级主管部门交办的其他事项。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585D0D" w:rsidRDefault="00000969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660.5</w:t>
            </w:r>
          </w:p>
        </w:tc>
        <w:tc>
          <w:tcPr>
            <w:tcW w:w="1552" w:type="dxa"/>
            <w:gridSpan w:val="2"/>
            <w:vAlign w:val="center"/>
          </w:tcPr>
          <w:p w:rsidR="00585D0D" w:rsidRDefault="00000969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:rsidR="00585D0D" w:rsidRDefault="00585D0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585D0D" w:rsidRDefault="00000969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 w:rsidR="00585D0D" w:rsidRDefault="0000096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736.15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585D0D" w:rsidRDefault="00585D0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585D0D" w:rsidRDefault="00000969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:rsidR="00585D0D" w:rsidRDefault="0000096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75.65</w:t>
            </w:r>
          </w:p>
        </w:tc>
        <w:tc>
          <w:tcPr>
            <w:tcW w:w="494" w:type="dxa"/>
            <w:vMerge/>
            <w:vAlign w:val="center"/>
          </w:tcPr>
          <w:p w:rsidR="00585D0D" w:rsidRDefault="00585D0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:rsidR="00585D0D" w:rsidRDefault="00585D0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724.42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724.42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585D0D" w:rsidRDefault="00585D0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18.26</w:t>
            </w:r>
          </w:p>
        </w:tc>
        <w:tc>
          <w:tcPr>
            <w:tcW w:w="1559" w:type="dxa"/>
            <w:gridSpan w:val="3"/>
            <w:vMerge/>
          </w:tcPr>
          <w:p w:rsidR="00585D0D" w:rsidRDefault="00585D0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:rsidR="00585D0D" w:rsidRDefault="00585D0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585D0D" w:rsidRDefault="00585D0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85D0D" w:rsidRDefault="00585D0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585D0D" w:rsidRDefault="00000969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</w:p>
          <w:p w:rsidR="00585D0D" w:rsidRDefault="00000969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</w:t>
            </w:r>
            <w:r>
              <w:rPr>
                <w:rFonts w:ascii="楷体" w:eastAsia="楷体" w:hAnsi="楷体" w:cs="楷体" w:hint="eastAsia"/>
                <w:szCs w:val="21"/>
              </w:rPr>
              <w:t>43.8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203.41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21.27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25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585D0D" w:rsidRDefault="00000969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00096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585D0D" w:rsidRDefault="00585D0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85D0D" w:rsidRDefault="00000969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585D0D" w:rsidRDefault="0000096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85D0D" w:rsidRDefault="00585D0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585D0D" w:rsidRDefault="00000969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585D0D" w:rsidRDefault="00000969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bottom"/>
          </w:tcPr>
          <w:p w:rsidR="00585D0D" w:rsidRDefault="0000096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、宣传、贯彻、执行国家有关车辆超限治理的法律、法规、规章和政策。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br/>
              <w:t>2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、依法对在隆回县境内公路上行驶的车辆进行超限检测，认定、查处和纠正违法行为；监督当事人对超限运输车辆采取卸载、分装等消除违法状态的改正措施。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br/>
              <w:t>3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、收集、整理、上报有关检测、执法等数据和动态信息。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br/>
              <w:t>4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、完成市对县治超绩效考核工作指标。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br/>
              <w:t>5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、严控“三公经费”和重点费用开支，“三公经费”在去年支出基础上不增长。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br/>
              <w:t>6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18"/>
                <w:szCs w:val="18"/>
                <w:lang/>
              </w:rPr>
              <w:t>、法律、法规规定的其他职责。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585D0D" w:rsidRDefault="00000969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585D0D" w:rsidRDefault="0000096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585D0D" w:rsidRDefault="00000969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585D0D" w:rsidRDefault="00000969">
            <w:pPr>
              <w:numPr>
                <w:ilvl w:val="0"/>
                <w:numId w:val="1"/>
              </w:numPr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完善资产管理制度</w:t>
            </w:r>
            <w:r>
              <w:rPr>
                <w:rFonts w:ascii="楷体_GB2312" w:eastAsia="楷体_GB2312" w:hAnsi="楷体_GB2312" w:cs="楷体_GB2312" w:hint="eastAsia"/>
              </w:rPr>
              <w:t>，</w:t>
            </w:r>
            <w:r>
              <w:rPr>
                <w:rFonts w:ascii="楷体_GB2312" w:eastAsia="楷体_GB2312" w:hAnsi="楷体_GB2312" w:cs="楷体_GB2312" w:hint="eastAsia"/>
              </w:rPr>
              <w:t>加强提高资产的使用率</w:t>
            </w:r>
            <w:r>
              <w:rPr>
                <w:rFonts w:ascii="楷体_GB2312" w:eastAsia="楷体_GB2312" w:hAnsi="楷体_GB2312" w:cs="楷体_GB2312" w:hint="eastAsia"/>
              </w:rPr>
              <w:t>。</w:t>
            </w:r>
          </w:p>
          <w:p w:rsidR="00585D0D" w:rsidRDefault="00000969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</w:rPr>
              <w:t>2</w:t>
            </w:r>
            <w:r>
              <w:rPr>
                <w:rFonts w:ascii="楷体_GB2312" w:eastAsia="楷体_GB2312" w:hAnsi="楷体_GB2312" w:cs="楷体_GB2312" w:hint="eastAsia"/>
              </w:rPr>
              <w:t>、进一步完善财务管理制度</w:t>
            </w:r>
            <w:r>
              <w:rPr>
                <w:rFonts w:ascii="楷体_GB2312" w:eastAsia="楷体_GB2312" w:hAnsi="楷体_GB2312" w:cs="楷体_GB2312" w:hint="eastAsia"/>
              </w:rPr>
              <w:t>，</w:t>
            </w:r>
            <w:r>
              <w:rPr>
                <w:rFonts w:ascii="楷体_GB2312" w:eastAsia="楷体_GB2312" w:hAnsi="楷体_GB2312" w:cs="楷体_GB2312" w:hint="eastAsia"/>
              </w:rPr>
              <w:t>合理规范使用经费。</w:t>
            </w:r>
          </w:p>
        </w:tc>
      </w:tr>
      <w:tr w:rsidR="0058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585D0D" w:rsidRDefault="00000969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585D0D" w:rsidRDefault="00585D0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85D0D" w:rsidRDefault="00585D0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85D0D" w:rsidRDefault="00585D0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85D0D" w:rsidRDefault="00585D0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85D0D" w:rsidRDefault="00000969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585D0D" w:rsidRDefault="00585D0D">
      <w:pPr>
        <w:rPr>
          <w:rFonts w:ascii="宋体"/>
          <w:szCs w:val="21"/>
        </w:rPr>
      </w:pPr>
    </w:p>
    <w:p w:rsidR="00585D0D" w:rsidRDefault="00000969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 w:hint="eastAsia"/>
          <w:szCs w:val="21"/>
        </w:rPr>
        <w:t>黄海能</w:t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13789154057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26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585D0D" w:rsidRDefault="00000969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585D0D" w:rsidRDefault="00585D0D">
      <w:pPr>
        <w:spacing w:line="560" w:lineRule="exact"/>
        <w:rPr>
          <w:rFonts w:eastAsia="黑体"/>
          <w:kern w:val="0"/>
        </w:rPr>
      </w:pPr>
    </w:p>
    <w:p w:rsidR="00585D0D" w:rsidRDefault="00585D0D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585D0D" w:rsidRDefault="00000969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585D0D" w:rsidRDefault="00000969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隆回县五里公路超限检测站</w:t>
      </w:r>
    </w:p>
    <w:p w:rsidR="00585D0D" w:rsidRDefault="00000969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2020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部门整体支出绩效自评报告</w:t>
      </w:r>
    </w:p>
    <w:p w:rsidR="00585D0D" w:rsidRDefault="00585D0D">
      <w:pPr>
        <w:rPr>
          <w:rFonts w:eastAsia="仿宋_GB2312"/>
          <w:sz w:val="32"/>
          <w:szCs w:val="32"/>
        </w:rPr>
      </w:pPr>
    </w:p>
    <w:p w:rsidR="00585D0D" w:rsidRDefault="00585D0D">
      <w:pPr>
        <w:ind w:firstLineChars="200" w:firstLine="420"/>
      </w:pPr>
    </w:p>
    <w:p w:rsidR="00585D0D" w:rsidRDefault="0000096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为了切实做好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年度部门整体支出绩效自评工作，提高财政资金使用效益，根据隆回县财政局《关于开展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年部门整体支出和县级财政资金支出绩效评价工作的通知》，结合实际，现将我单位整体支出绩效自评结果报告如下：</w:t>
      </w:r>
    </w:p>
    <w:p w:rsidR="00585D0D" w:rsidRDefault="000009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（一）部门基本情况</w:t>
      </w:r>
    </w:p>
    <w:p w:rsidR="00585D0D" w:rsidRDefault="00000969" w:rsidP="00000969">
      <w:pPr>
        <w:pStyle w:val="2"/>
        <w:ind w:firstLine="640"/>
        <w:rPr>
          <w:rFonts w:eastAsia="仿宋_GB2312"/>
        </w:rPr>
      </w:pPr>
      <w:r>
        <w:rPr>
          <w:rFonts w:eastAsia="仿宋_GB2312" w:hint="eastAsia"/>
        </w:rPr>
        <w:t>隆回县五里公路超限检测站编制人数为</w:t>
      </w:r>
      <w:r>
        <w:rPr>
          <w:rFonts w:eastAsia="仿宋_GB2312" w:hint="eastAsia"/>
        </w:rPr>
        <w:t>31</w:t>
      </w:r>
      <w:r>
        <w:rPr>
          <w:rFonts w:eastAsia="仿宋_GB2312" w:hint="eastAsia"/>
        </w:rPr>
        <w:t>人，实际人数</w:t>
      </w:r>
      <w:r>
        <w:rPr>
          <w:rFonts w:eastAsia="仿宋_GB2312" w:hint="eastAsia"/>
        </w:rPr>
        <w:t>39</w:t>
      </w:r>
      <w:r>
        <w:rPr>
          <w:rFonts w:eastAsia="仿宋_GB2312" w:hint="eastAsia"/>
        </w:rPr>
        <w:t>人，其中在职</w:t>
      </w:r>
      <w:r>
        <w:rPr>
          <w:rFonts w:eastAsia="仿宋_GB2312" w:hint="eastAsia"/>
        </w:rPr>
        <w:t>38</w:t>
      </w:r>
      <w:r>
        <w:rPr>
          <w:rFonts w:eastAsia="仿宋_GB2312" w:hint="eastAsia"/>
        </w:rPr>
        <w:t>人，退休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人。小车编制数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台，实际</w:t>
      </w:r>
      <w:r>
        <w:rPr>
          <w:rFonts w:eastAsia="仿宋_GB2312" w:hint="eastAsia"/>
        </w:rPr>
        <w:t>7</w:t>
      </w:r>
      <w:r>
        <w:rPr>
          <w:rFonts w:eastAsia="仿宋_GB2312" w:hint="eastAsia"/>
        </w:rPr>
        <w:t>台，房屋面积</w:t>
      </w:r>
      <w:r>
        <w:rPr>
          <w:rFonts w:eastAsia="仿宋_GB2312" w:hint="eastAsia"/>
        </w:rPr>
        <w:t>754.17</w:t>
      </w:r>
      <w:r>
        <w:rPr>
          <w:rFonts w:eastAsia="仿宋_GB2312" w:hint="eastAsia"/>
        </w:rPr>
        <w:t>平方米，本单位共设有</w:t>
      </w:r>
      <w:r>
        <w:rPr>
          <w:rFonts w:eastAsia="仿宋_GB2312" w:hint="eastAsia"/>
        </w:rPr>
        <w:t>4</w:t>
      </w:r>
      <w:r>
        <w:rPr>
          <w:rFonts w:eastAsia="仿宋_GB2312" w:hint="eastAsia"/>
        </w:rPr>
        <w:t>个股室：办公室、财务股、法规股、安机股。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年的重点工作</w:t>
      </w:r>
    </w:p>
    <w:p w:rsidR="00585D0D" w:rsidRDefault="00000969" w:rsidP="00000969">
      <w:pPr>
        <w:pStyle w:val="2"/>
        <w:numPr>
          <w:ilvl w:val="0"/>
          <w:numId w:val="2"/>
        </w:numPr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宣传、贯彻、执行国家有关车辆超限治理的法律、法规、规章和政策；</w:t>
      </w:r>
    </w:p>
    <w:p w:rsidR="00585D0D" w:rsidRDefault="00000969" w:rsidP="00000969">
      <w:pPr>
        <w:pStyle w:val="2"/>
        <w:numPr>
          <w:ilvl w:val="0"/>
          <w:numId w:val="2"/>
        </w:numPr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依法对在公路上行使的车辆进行超限检测，认定、查处和纠正违法行为；</w:t>
      </w:r>
    </w:p>
    <w:p w:rsidR="00585D0D" w:rsidRDefault="00000969" w:rsidP="00000969">
      <w:pPr>
        <w:pStyle w:val="2"/>
        <w:numPr>
          <w:ilvl w:val="0"/>
          <w:numId w:val="2"/>
        </w:numPr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监督当事人对超限运输车辆采取卸载、分装等消除违法状态的改正措施；</w:t>
      </w:r>
    </w:p>
    <w:p w:rsidR="00585D0D" w:rsidRDefault="00000969" w:rsidP="00000969">
      <w:pPr>
        <w:pStyle w:val="2"/>
        <w:numPr>
          <w:ilvl w:val="0"/>
          <w:numId w:val="2"/>
        </w:numPr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收集、整理、上报有关检测、执法等数据和动态信息；</w:t>
      </w:r>
    </w:p>
    <w:p w:rsidR="00585D0D" w:rsidRDefault="00000969" w:rsidP="00000969">
      <w:pPr>
        <w:pStyle w:val="2"/>
        <w:numPr>
          <w:ilvl w:val="0"/>
          <w:numId w:val="2"/>
        </w:numPr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管理、维护公路超限检测站的设施、设备和信息系统。</w:t>
      </w:r>
    </w:p>
    <w:p w:rsidR="00585D0D" w:rsidRDefault="00000969">
      <w:pPr>
        <w:numPr>
          <w:ilvl w:val="0"/>
          <w:numId w:val="3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部门整体支出情况</w:t>
      </w:r>
    </w:p>
    <w:p w:rsidR="00585D0D" w:rsidRDefault="00000969">
      <w:pPr>
        <w:pStyle w:val="2"/>
        <w:ind w:firstLineChars="0" w:firstLine="0"/>
        <w:rPr>
          <w:rFonts w:ascii="仿宋_GB2312" w:eastAsia="仿宋_GB2312" w:hAnsi="仿宋_GB2312" w:cs="仿宋_GB231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年度决算支出为</w:t>
      </w:r>
      <w:r>
        <w:rPr>
          <w:rFonts w:ascii="仿宋_GB2312" w:eastAsia="仿宋_GB2312" w:hAnsi="仿宋_GB2312" w:cs="仿宋_GB2312" w:hint="eastAsia"/>
        </w:rPr>
        <w:t>724.42</w:t>
      </w:r>
      <w:r>
        <w:rPr>
          <w:rFonts w:ascii="仿宋_GB2312" w:eastAsia="仿宋_GB2312" w:hAnsi="仿宋_GB2312" w:cs="仿宋_GB2312" w:hint="eastAsia"/>
        </w:rPr>
        <w:t>万元。其中：工资福利支出</w:t>
      </w:r>
      <w:r>
        <w:rPr>
          <w:rFonts w:ascii="仿宋_GB2312" w:eastAsia="仿宋_GB2312" w:hAnsi="仿宋_GB2312" w:cs="仿宋_GB2312" w:hint="eastAsia"/>
        </w:rPr>
        <w:t>531.85</w:t>
      </w:r>
      <w:r>
        <w:rPr>
          <w:rFonts w:ascii="仿宋_GB2312" w:eastAsia="仿宋_GB2312" w:hAnsi="仿宋_GB2312" w:cs="仿宋_GB2312" w:hint="eastAsia"/>
        </w:rPr>
        <w:t>万元，商品和服务支出</w:t>
      </w:r>
      <w:r>
        <w:rPr>
          <w:rFonts w:ascii="仿宋_GB2312" w:eastAsia="仿宋_GB2312" w:hAnsi="仿宋_GB2312" w:cs="仿宋_GB2312" w:hint="eastAsia"/>
        </w:rPr>
        <w:t>172.55</w:t>
      </w:r>
      <w:r>
        <w:rPr>
          <w:rFonts w:ascii="仿宋_GB2312" w:eastAsia="仿宋_GB2312" w:hAnsi="仿宋_GB2312" w:cs="仿宋_GB2312" w:hint="eastAsia"/>
        </w:rPr>
        <w:t>万元，对个人和家庭的补助</w:t>
      </w:r>
      <w:r>
        <w:rPr>
          <w:rFonts w:ascii="仿宋_GB2312" w:eastAsia="仿宋_GB2312" w:hAnsi="仿宋_GB2312" w:cs="仿宋_GB2312" w:hint="eastAsia"/>
        </w:rPr>
        <w:t>2.31</w:t>
      </w:r>
      <w:r>
        <w:rPr>
          <w:rFonts w:ascii="仿宋_GB2312" w:eastAsia="仿宋_GB2312" w:hAnsi="仿宋_GB2312" w:cs="仿宋_GB2312" w:hint="eastAsia"/>
        </w:rPr>
        <w:t>万元，资本性支出</w:t>
      </w:r>
      <w:r>
        <w:rPr>
          <w:rFonts w:ascii="仿宋_GB2312" w:eastAsia="仿宋_GB2312" w:hAnsi="仿宋_GB2312" w:cs="仿宋_GB2312" w:hint="eastAsia"/>
        </w:rPr>
        <w:t>17.71</w:t>
      </w:r>
      <w:r>
        <w:rPr>
          <w:rFonts w:ascii="仿宋_GB2312" w:eastAsia="仿宋_GB2312" w:hAnsi="仿宋_GB2312" w:cs="仿宋_GB2312" w:hint="eastAsia"/>
        </w:rPr>
        <w:t>万元。</w:t>
      </w:r>
    </w:p>
    <w:p w:rsidR="00585D0D" w:rsidRDefault="000009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二、部门整体支出管理及</w:t>
      </w:r>
      <w:r>
        <w:rPr>
          <w:rFonts w:ascii="黑体" w:eastAsia="黑体" w:hAnsi="黑体" w:hint="eastAsia"/>
          <w:sz w:val="32"/>
          <w:szCs w:val="32"/>
        </w:rPr>
        <w:t>使用情况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（一）基本支出情况</w:t>
      </w:r>
    </w:p>
    <w:p w:rsidR="00585D0D" w:rsidRDefault="00000969" w:rsidP="00000969">
      <w:pPr>
        <w:pStyle w:val="2"/>
        <w:ind w:firstLine="640"/>
      </w:pPr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年度决算数为</w:t>
      </w:r>
      <w:r>
        <w:rPr>
          <w:rFonts w:ascii="仿宋_GB2312" w:eastAsia="仿宋_GB2312" w:hAnsi="仿宋_GB2312" w:cs="仿宋_GB2312" w:hint="eastAsia"/>
        </w:rPr>
        <w:t>724.42</w:t>
      </w:r>
      <w:r>
        <w:rPr>
          <w:rFonts w:ascii="仿宋_GB2312" w:eastAsia="仿宋_GB2312" w:hAnsi="仿宋_GB2312" w:cs="仿宋_GB2312" w:hint="eastAsia"/>
        </w:rPr>
        <w:t>万元，其中人员经费支出</w:t>
      </w:r>
      <w:r>
        <w:rPr>
          <w:rFonts w:ascii="仿宋_GB2312" w:eastAsia="仿宋_GB2312" w:hAnsi="仿宋_GB2312" w:cs="仿宋_GB2312" w:hint="eastAsia"/>
        </w:rPr>
        <w:t>534.16</w:t>
      </w:r>
      <w:r>
        <w:rPr>
          <w:rFonts w:ascii="仿宋_GB2312" w:eastAsia="仿宋_GB2312" w:hAnsi="仿宋_GB2312" w:cs="仿宋_GB2312" w:hint="eastAsia"/>
        </w:rPr>
        <w:t>万元，公用经费支出</w:t>
      </w:r>
      <w:r>
        <w:rPr>
          <w:rFonts w:ascii="仿宋_GB2312" w:eastAsia="仿宋_GB2312" w:hAnsi="仿宋_GB2312" w:cs="仿宋_GB2312" w:hint="eastAsia"/>
        </w:rPr>
        <w:t>190.26</w:t>
      </w:r>
      <w:r>
        <w:rPr>
          <w:rFonts w:ascii="仿宋_GB2312" w:eastAsia="仿宋_GB2312" w:hAnsi="仿宋_GB2312" w:cs="仿宋_GB2312" w:hint="eastAsia"/>
        </w:rPr>
        <w:t>万元。</w:t>
      </w:r>
    </w:p>
    <w:p w:rsidR="00585D0D" w:rsidRDefault="00000969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项目支出情况</w:t>
      </w:r>
    </w:p>
    <w:p w:rsidR="00585D0D" w:rsidRDefault="00000969">
      <w:pPr>
        <w:pStyle w:val="2"/>
        <w:ind w:firstLineChars="0" w:firstLine="0"/>
        <w:rPr>
          <w:rFonts w:ascii="仿宋_GB2312" w:eastAsia="仿宋_GB2312" w:hAnsi="仿宋_GB2312" w:cs="仿宋_GB231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年度项目支出为</w:t>
      </w:r>
      <w:r>
        <w:rPr>
          <w:rFonts w:ascii="仿宋_GB2312" w:eastAsia="仿宋_GB2312" w:hAnsi="仿宋_GB2312" w:cs="仿宋_GB2312" w:hint="eastAsia"/>
        </w:rPr>
        <w:t>0</w:t>
      </w:r>
      <w:r>
        <w:rPr>
          <w:rFonts w:ascii="仿宋_GB2312" w:eastAsia="仿宋_GB2312" w:hAnsi="仿宋_GB2312" w:cs="仿宋_GB2312" w:hint="eastAsia"/>
        </w:rPr>
        <w:t>。</w:t>
      </w:r>
    </w:p>
    <w:p w:rsidR="00585D0D" w:rsidRDefault="00000969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经费情况</w:t>
      </w:r>
    </w:p>
    <w:p w:rsidR="00585D0D" w:rsidRDefault="00000969">
      <w:pPr>
        <w:pStyle w:val="2"/>
        <w:ind w:firstLineChars="0" w:firstLine="0"/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cs="仿宋_GB2312" w:hint="eastAsia"/>
        </w:rPr>
        <w:t>2020</w:t>
      </w:r>
      <w:r>
        <w:rPr>
          <w:rFonts w:ascii="仿宋_GB2312" w:eastAsia="仿宋_GB2312" w:hAnsi="仿宋_GB2312" w:cs="仿宋_GB2312" w:hint="eastAsia"/>
        </w:rPr>
        <w:t>年我单位三公经费为</w:t>
      </w:r>
      <w:r>
        <w:rPr>
          <w:rFonts w:ascii="仿宋_GB2312" w:eastAsia="仿宋_GB2312" w:hAnsi="仿宋_GB2312" w:cs="仿宋_GB2312" w:hint="eastAsia"/>
        </w:rPr>
        <w:t>18.26</w:t>
      </w:r>
      <w:r>
        <w:rPr>
          <w:rFonts w:ascii="仿宋_GB2312" w:eastAsia="仿宋_GB2312" w:hAnsi="仿宋_GB2312" w:cs="仿宋_GB2312" w:hint="eastAsia"/>
        </w:rPr>
        <w:t>万元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1</w:t>
      </w:r>
      <w:r>
        <w:rPr>
          <w:rFonts w:eastAsia="仿宋_GB2312" w:hint="eastAsia"/>
          <w:sz w:val="32"/>
          <w:szCs w:val="32"/>
        </w:rPr>
        <w:t>．因公出国（境）费用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元；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2</w:t>
      </w:r>
      <w:r>
        <w:rPr>
          <w:rFonts w:eastAsia="仿宋_GB2312" w:hint="eastAsia"/>
          <w:sz w:val="32"/>
          <w:szCs w:val="32"/>
        </w:rPr>
        <w:t>．公务接待费</w:t>
      </w:r>
      <w:r>
        <w:rPr>
          <w:rFonts w:eastAsia="仿宋_GB2312" w:hint="eastAsia"/>
          <w:sz w:val="32"/>
          <w:szCs w:val="32"/>
        </w:rPr>
        <w:t>0.41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；</w:t>
      </w:r>
    </w:p>
    <w:p w:rsidR="00585D0D" w:rsidRDefault="000009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3</w:t>
      </w:r>
      <w:r>
        <w:rPr>
          <w:rFonts w:eastAsia="仿宋_GB2312" w:hint="eastAsia"/>
          <w:sz w:val="32"/>
          <w:szCs w:val="32"/>
        </w:rPr>
        <w:t>．公务用车购置及运行费</w:t>
      </w:r>
      <w:r>
        <w:rPr>
          <w:rFonts w:eastAsia="仿宋_GB2312" w:hint="eastAsia"/>
          <w:sz w:val="32"/>
          <w:szCs w:val="32"/>
        </w:rPr>
        <w:t>17.85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</w:p>
    <w:p w:rsidR="00585D0D" w:rsidRDefault="000009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三、部门整体支出绩效情况</w:t>
      </w:r>
    </w:p>
    <w:p w:rsidR="00585D0D" w:rsidRDefault="0000096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财务管理制度建设情况：资金拨付严格按程序申报、审批，合理合规使用资金，确保财政资金安全。</w:t>
      </w:r>
    </w:p>
    <w:p w:rsidR="00585D0D" w:rsidRDefault="00000969" w:rsidP="00000969">
      <w:pPr>
        <w:pStyle w:val="2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资产管理：及时按照要求报送资产情况报表，确保各项资产核算准确、账实相符、管理到位。</w:t>
      </w:r>
    </w:p>
    <w:p w:rsidR="00585D0D" w:rsidRDefault="00000969" w:rsidP="00000969">
      <w:pPr>
        <w:pStyle w:val="2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预决算公开：及时在县人民政府门户网站上进行了预决算公开。</w:t>
      </w:r>
    </w:p>
    <w:p w:rsidR="00585D0D" w:rsidRDefault="00000969" w:rsidP="00000969">
      <w:pPr>
        <w:pStyle w:val="2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认真履行职责，及时报送财政各类报表及有关资料。</w:t>
      </w:r>
    </w:p>
    <w:p w:rsidR="00585D0D" w:rsidRDefault="00000969">
      <w:pPr>
        <w:numPr>
          <w:ilvl w:val="0"/>
          <w:numId w:val="5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存在的问题</w:t>
      </w:r>
    </w:p>
    <w:p w:rsidR="00585D0D" w:rsidRDefault="00000969">
      <w:pPr>
        <w:pStyle w:val="2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、</w:t>
      </w:r>
      <w:r>
        <w:rPr>
          <w:rFonts w:ascii="仿宋_GB2312" w:eastAsia="仿宋_GB2312" w:hAnsi="仿宋_GB2312" w:cs="仿宋_GB2312" w:hint="eastAsia"/>
          <w:szCs w:val="32"/>
        </w:rPr>
        <w:t>财务管理有待创新。财务管理水平和逐年上升的财务要求不匹配，相对落后。</w:t>
      </w:r>
    </w:p>
    <w:p w:rsidR="00585D0D" w:rsidRDefault="00000969">
      <w:pPr>
        <w:pStyle w:val="2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</w:t>
      </w:r>
      <w:r>
        <w:rPr>
          <w:rFonts w:ascii="仿宋_GB2312" w:eastAsia="仿宋_GB2312" w:hAnsi="仿宋_GB2312" w:cs="仿宋_GB2312" w:hint="eastAsia"/>
          <w:szCs w:val="32"/>
        </w:rPr>
        <w:t>、收支矛盾突出，每年的绩效考核、专项奖励未进预算经费，大大增加了单位的支出压力。</w:t>
      </w:r>
    </w:p>
    <w:p w:rsidR="00585D0D" w:rsidRDefault="0000096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五、改进措施和有关建议</w:t>
      </w:r>
    </w:p>
    <w:p w:rsidR="00585D0D" w:rsidRDefault="00000969" w:rsidP="00000969">
      <w:pPr>
        <w:pStyle w:val="2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、加强财务管理，严格财务审核。加强单位财务管理，在费用报账支付时，按照预算规定的费用项目和用途进行资金使用审核、列报支付、财务核算，杜绝超支现象的发生。</w:t>
      </w:r>
    </w:p>
    <w:p w:rsidR="00585D0D" w:rsidRDefault="00000969" w:rsidP="00000969">
      <w:pPr>
        <w:pStyle w:val="2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、完善资产管理，抓好“三公”经费控制。把关“三</w:t>
      </w: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公”经费支出的审核、审批，杜绝挪用和挤占其他预算资金行为；合理压缩“三公”经费支出。</w:t>
      </w:r>
    </w:p>
    <w:p w:rsidR="00585D0D" w:rsidRDefault="00585D0D" w:rsidP="00000969">
      <w:pPr>
        <w:pStyle w:val="2"/>
        <w:ind w:firstLine="640"/>
        <w:rPr>
          <w:rFonts w:ascii="仿宋_GB2312" w:eastAsia="仿宋_GB2312" w:hAnsi="仿宋_GB2312" w:cs="仿宋_GB2312"/>
        </w:rPr>
      </w:pPr>
    </w:p>
    <w:p w:rsidR="00585D0D" w:rsidRDefault="00000969">
      <w:pPr>
        <w:pStyle w:val="2"/>
        <w:ind w:firstLineChars="1300" w:firstLine="41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隆回县五里公路超限检测站</w:t>
      </w:r>
    </w:p>
    <w:p w:rsidR="00585D0D" w:rsidRDefault="00585D0D">
      <w:pPr>
        <w:pStyle w:val="2"/>
        <w:ind w:firstLineChars="1500" w:firstLine="4800"/>
        <w:rPr>
          <w:rFonts w:ascii="仿宋_GB2312" w:eastAsia="仿宋_GB2312" w:hAnsi="仿宋_GB2312" w:cs="仿宋_GB2312"/>
        </w:rPr>
      </w:pPr>
    </w:p>
    <w:p w:rsidR="00585D0D" w:rsidRDefault="00000969">
      <w:pPr>
        <w:pStyle w:val="2"/>
        <w:ind w:firstLineChars="1600" w:firstLine="51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2021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4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>26</w:t>
      </w:r>
      <w:r>
        <w:rPr>
          <w:rFonts w:ascii="仿宋_GB2312" w:eastAsia="仿宋_GB2312" w:hAnsi="仿宋_GB2312" w:cs="仿宋_GB2312" w:hint="eastAsia"/>
        </w:rPr>
        <w:t>日</w:t>
      </w:r>
    </w:p>
    <w:p w:rsidR="00585D0D" w:rsidRDefault="00585D0D"/>
    <w:sectPr w:rsidR="00585D0D" w:rsidSect="0058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041"/>
    <w:multiLevelType w:val="singleLevel"/>
    <w:tmpl w:val="293100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9F1C1C5"/>
    <w:multiLevelType w:val="singleLevel"/>
    <w:tmpl w:val="29F1C1C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abstractNum w:abstractNumId="3">
    <w:nsid w:val="6BCDCF09"/>
    <w:multiLevelType w:val="singleLevel"/>
    <w:tmpl w:val="6BCDCF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D166F6B"/>
    <w:multiLevelType w:val="singleLevel"/>
    <w:tmpl w:val="6D166F6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5D0D"/>
    <w:rsid w:val="00000969"/>
    <w:rsid w:val="00585D0D"/>
    <w:rsid w:val="00DA1C89"/>
    <w:rsid w:val="010F5159"/>
    <w:rsid w:val="040B4248"/>
    <w:rsid w:val="053C2500"/>
    <w:rsid w:val="0566315C"/>
    <w:rsid w:val="06743B34"/>
    <w:rsid w:val="0B356076"/>
    <w:rsid w:val="0BA50476"/>
    <w:rsid w:val="0BD84725"/>
    <w:rsid w:val="0C4F2E4B"/>
    <w:rsid w:val="0CAC0012"/>
    <w:rsid w:val="0CB1136A"/>
    <w:rsid w:val="0D85702C"/>
    <w:rsid w:val="0E44499C"/>
    <w:rsid w:val="0E557FBA"/>
    <w:rsid w:val="0F0D75E5"/>
    <w:rsid w:val="0F895D39"/>
    <w:rsid w:val="0FA01DE9"/>
    <w:rsid w:val="0FAD32B4"/>
    <w:rsid w:val="103D6354"/>
    <w:rsid w:val="10A629CE"/>
    <w:rsid w:val="10C34909"/>
    <w:rsid w:val="11B37F23"/>
    <w:rsid w:val="11D973A8"/>
    <w:rsid w:val="11E51C09"/>
    <w:rsid w:val="12FB4991"/>
    <w:rsid w:val="132C0150"/>
    <w:rsid w:val="13887301"/>
    <w:rsid w:val="150C5B47"/>
    <w:rsid w:val="15EA0360"/>
    <w:rsid w:val="19BE1513"/>
    <w:rsid w:val="1B6F7A56"/>
    <w:rsid w:val="1B822E61"/>
    <w:rsid w:val="21DA29AB"/>
    <w:rsid w:val="24243707"/>
    <w:rsid w:val="250450F4"/>
    <w:rsid w:val="274321C8"/>
    <w:rsid w:val="27690909"/>
    <w:rsid w:val="27851967"/>
    <w:rsid w:val="28220A4A"/>
    <w:rsid w:val="28860C9A"/>
    <w:rsid w:val="29DF0B4F"/>
    <w:rsid w:val="2AF31E18"/>
    <w:rsid w:val="2CFE7AFF"/>
    <w:rsid w:val="2EE60209"/>
    <w:rsid w:val="2FEC51AB"/>
    <w:rsid w:val="302B1736"/>
    <w:rsid w:val="303F40CF"/>
    <w:rsid w:val="30BC6411"/>
    <w:rsid w:val="30EA77B2"/>
    <w:rsid w:val="31780389"/>
    <w:rsid w:val="32161821"/>
    <w:rsid w:val="32790B03"/>
    <w:rsid w:val="34510F58"/>
    <w:rsid w:val="38CE43AF"/>
    <w:rsid w:val="3B0A37C6"/>
    <w:rsid w:val="3B26318D"/>
    <w:rsid w:val="3E460A60"/>
    <w:rsid w:val="3EAF386F"/>
    <w:rsid w:val="3FFE0662"/>
    <w:rsid w:val="416820E1"/>
    <w:rsid w:val="4255145E"/>
    <w:rsid w:val="427F5A04"/>
    <w:rsid w:val="43057CE2"/>
    <w:rsid w:val="440A2D9E"/>
    <w:rsid w:val="442436D2"/>
    <w:rsid w:val="44666850"/>
    <w:rsid w:val="456826B1"/>
    <w:rsid w:val="47783236"/>
    <w:rsid w:val="47F52BFC"/>
    <w:rsid w:val="486360AD"/>
    <w:rsid w:val="48793362"/>
    <w:rsid w:val="48C13226"/>
    <w:rsid w:val="4AE82B5F"/>
    <w:rsid w:val="4C722CCB"/>
    <w:rsid w:val="4FA16984"/>
    <w:rsid w:val="4FA84090"/>
    <w:rsid w:val="4FAB3100"/>
    <w:rsid w:val="50C40688"/>
    <w:rsid w:val="524D0CA2"/>
    <w:rsid w:val="577244FA"/>
    <w:rsid w:val="58B750B6"/>
    <w:rsid w:val="5D8560C7"/>
    <w:rsid w:val="5F11680F"/>
    <w:rsid w:val="60454239"/>
    <w:rsid w:val="60EA4EDA"/>
    <w:rsid w:val="61B403C3"/>
    <w:rsid w:val="639E7DA1"/>
    <w:rsid w:val="6400113C"/>
    <w:rsid w:val="65D828F5"/>
    <w:rsid w:val="6636129B"/>
    <w:rsid w:val="677B3A4E"/>
    <w:rsid w:val="68F81F65"/>
    <w:rsid w:val="690B7AC7"/>
    <w:rsid w:val="690B7EF0"/>
    <w:rsid w:val="6AED5B0B"/>
    <w:rsid w:val="6C1A3C84"/>
    <w:rsid w:val="6D856425"/>
    <w:rsid w:val="72D1387C"/>
    <w:rsid w:val="73391AF1"/>
    <w:rsid w:val="75661D77"/>
    <w:rsid w:val="76366818"/>
    <w:rsid w:val="77D95749"/>
    <w:rsid w:val="781174F9"/>
    <w:rsid w:val="784334B1"/>
    <w:rsid w:val="7883533A"/>
    <w:rsid w:val="7A1D752D"/>
    <w:rsid w:val="7A952D53"/>
    <w:rsid w:val="7C0F6034"/>
    <w:rsid w:val="7E225D86"/>
    <w:rsid w:val="7F8C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85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85D0D"/>
    <w:pPr>
      <w:ind w:firstLine="420"/>
    </w:pPr>
  </w:style>
  <w:style w:type="paragraph" w:styleId="a3">
    <w:name w:val="Body Text Indent"/>
    <w:basedOn w:val="a"/>
    <w:qFormat/>
    <w:rsid w:val="00585D0D"/>
    <w:pPr>
      <w:ind w:firstLineChars="200" w:firstLine="64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2021-04-27T04:20:00Z</cp:lastPrinted>
  <dcterms:created xsi:type="dcterms:W3CDTF">2014-10-29T12:08:00Z</dcterms:created>
  <dcterms:modified xsi:type="dcterms:W3CDTF">2022-08-23T03:14:00Z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