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C5BC9">
      <w:pPr>
        <w:jc w:val="center"/>
        <w:rPr>
          <w:rFonts w:hint="eastAsia" w:ascii="仿宋" w:hAnsi="仿宋" w:eastAsia="仿宋" w:cs="仿宋_GB2312"/>
          <w:b/>
          <w:sz w:val="44"/>
          <w:szCs w:val="44"/>
        </w:rPr>
      </w:pPr>
      <w:bookmarkStart w:id="0" w:name="_GoBack"/>
      <w:bookmarkEnd w:id="0"/>
      <w:r>
        <w:rPr>
          <w:rFonts w:hint="eastAsia" w:ascii="仿宋" w:hAnsi="仿宋" w:eastAsia="仿宋" w:cs="仿宋_GB2312"/>
          <w:b/>
          <w:sz w:val="44"/>
          <w:szCs w:val="44"/>
        </w:rPr>
        <w:t>中国共产党隆回县委员会政法委员会</w:t>
      </w:r>
    </w:p>
    <w:p w14:paraId="4831C749">
      <w:pPr>
        <w:jc w:val="center"/>
        <w:rPr>
          <w:rFonts w:hint="eastAsia" w:ascii="仿宋" w:hAnsi="仿宋" w:eastAsia="仿宋" w:cs="仿宋_GB2312"/>
          <w:b/>
          <w:sz w:val="44"/>
          <w:szCs w:val="44"/>
        </w:rPr>
      </w:pPr>
      <w:r>
        <w:rPr>
          <w:rFonts w:hint="eastAsia" w:ascii="仿宋" w:hAnsi="仿宋" w:eastAsia="仿宋" w:cs="仿宋_GB2312"/>
          <w:b/>
          <w:sz w:val="44"/>
          <w:szCs w:val="44"/>
          <w:lang w:eastAsia="zh-CN"/>
        </w:rPr>
        <w:t>2024年</w:t>
      </w:r>
      <w:r>
        <w:rPr>
          <w:rFonts w:hint="eastAsia" w:ascii="仿宋" w:hAnsi="仿宋" w:eastAsia="仿宋" w:cs="仿宋_GB2312"/>
          <w:b/>
          <w:sz w:val="44"/>
          <w:szCs w:val="44"/>
        </w:rPr>
        <w:t>整体支出绩效自评报告</w:t>
      </w:r>
    </w:p>
    <w:p w14:paraId="31B26E94">
      <w:pPr>
        <w:jc w:val="center"/>
        <w:rPr>
          <w:rFonts w:ascii="仿宋" w:hAnsi="仿宋" w:eastAsia="仿宋" w:cs="仿宋_GB2312"/>
          <w:b/>
          <w:sz w:val="44"/>
          <w:szCs w:val="44"/>
        </w:rPr>
      </w:pPr>
    </w:p>
    <w:p w14:paraId="052EDDD3">
      <w:pPr>
        <w:spacing w:line="560" w:lineRule="exact"/>
        <w:ind w:firstLine="643" w:firstLineChars="200"/>
        <w:rPr>
          <w:rFonts w:ascii="黑体" w:hAnsi="黑体" w:eastAsia="黑体" w:cs="仿宋_GB2312"/>
          <w:b/>
          <w:sz w:val="32"/>
          <w:szCs w:val="32"/>
        </w:rPr>
      </w:pPr>
      <w:r>
        <w:rPr>
          <w:rFonts w:hint="eastAsia" w:ascii="黑体" w:hAnsi="黑体" w:eastAsia="黑体" w:cs="仿宋_GB2312"/>
          <w:b/>
          <w:sz w:val="32"/>
          <w:szCs w:val="32"/>
        </w:rPr>
        <w:t>一、部门概况</w:t>
      </w:r>
    </w:p>
    <w:p w14:paraId="1FE09BC7">
      <w:pPr>
        <w:spacing w:line="560" w:lineRule="exact"/>
        <w:ind w:firstLine="643" w:firstLineChars="200"/>
        <w:rPr>
          <w:rFonts w:ascii="楷体" w:hAnsi="楷体" w:eastAsia="楷体" w:cs="仿宋_GB2312"/>
          <w:b/>
          <w:sz w:val="32"/>
          <w:szCs w:val="32"/>
        </w:rPr>
      </w:pPr>
      <w:r>
        <w:rPr>
          <w:rFonts w:hint="eastAsia" w:ascii="楷体" w:hAnsi="楷体" w:eastAsia="楷体" w:cs="仿宋_GB2312"/>
          <w:b/>
          <w:sz w:val="32"/>
          <w:szCs w:val="32"/>
        </w:rPr>
        <w:t>（一）部门基本情况</w:t>
      </w:r>
    </w:p>
    <w:p w14:paraId="7827B5C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olor w:val="000000"/>
          <w:sz w:val="32"/>
          <w:szCs w:val="32"/>
          <w:lang w:val="en-US" w:eastAsia="zh-CN"/>
        </w:rPr>
      </w:pPr>
      <w:r>
        <w:rPr>
          <w:rFonts w:hint="eastAsia" w:ascii="仿宋" w:hAnsi="仿宋" w:eastAsia="仿宋" w:cs="仿宋_GB2312"/>
          <w:sz w:val="32"/>
          <w:szCs w:val="32"/>
        </w:rPr>
        <w:t>县委政法委</w:t>
      </w:r>
      <w:r>
        <w:rPr>
          <w:rFonts w:ascii="仿宋" w:hAnsi="仿宋" w:eastAsia="仿宋" w:cs="仿宋_GB2312"/>
          <w:sz w:val="32"/>
          <w:szCs w:val="32"/>
        </w:rPr>
        <w:t>是</w:t>
      </w:r>
      <w:r>
        <w:rPr>
          <w:rFonts w:hint="eastAsia" w:ascii="仿宋" w:hAnsi="仿宋" w:eastAsia="仿宋"/>
          <w:color w:val="000000"/>
          <w:sz w:val="32"/>
          <w:szCs w:val="32"/>
        </w:rPr>
        <w:t>县委工作机关，</w:t>
      </w:r>
      <w:r>
        <w:rPr>
          <w:rFonts w:ascii="仿宋" w:hAnsi="仿宋" w:eastAsia="仿宋" w:cs="仿宋_GB2312"/>
          <w:sz w:val="32"/>
          <w:szCs w:val="32"/>
        </w:rPr>
        <w:t>其主要职责是：</w:t>
      </w:r>
      <w:r>
        <w:rPr>
          <w:rFonts w:hint="eastAsia" w:ascii="仿宋" w:hAnsi="仿宋" w:eastAsia="仿宋"/>
          <w:color w:val="000000"/>
          <w:sz w:val="32"/>
          <w:szCs w:val="32"/>
        </w:rPr>
        <w:t>以习近平新时代中国特色社会主义思想为指南，坚持党对政法工作的绝对领导，深入推进平安隆回、法治隆回建设、过硬政法队伍建设，坚决维护国家政治安全，确保社会大局稳定、促进社会公平正义，保障人民安居乐业；了解掌握和分析研判政法工作情况动态，分析社会稳定形势，创新完善多部门参与的综治维稳工作机制，协调推动预防、化解影响稳定的社会矛盾和风险，协调应对和处置重大突发事件；加强对政法工作的督查，统筹协调社会治安综合治理维护社会稳定、反邪教有关法律法规政策的实施工作；组织开展政法领域的调查研究，研究拟订政法工作的重要措施，及时向县委提出决策建议；掌握分析政法舆情动态，指导协调政法部门媒体网络宣传工作，指导政法部门做好涉及政法工作的重大宣传工作；监督和支持政法各部门依法行使职权，指导和协调政法各部门密切配合，研究和协调重大、疑难案件，推动严格执法、公正司法；组织研究政法改革中带有方向性、倾向性和普遍性的重大问题，深化政法改革；指导推动政法系统党的建设和政法队伍建设，代管县法学会；完成县委交办的其他任务。</w:t>
      </w:r>
      <w:r>
        <w:rPr>
          <w:rFonts w:hint="eastAsia" w:ascii="仿宋" w:hAnsi="仿宋" w:eastAsia="仿宋"/>
          <w:color w:val="000000"/>
          <w:sz w:val="32"/>
          <w:szCs w:val="32"/>
          <w:lang w:val="en-US" w:eastAsia="zh-CN"/>
        </w:rPr>
        <w:t xml:space="preserve">  </w:t>
      </w:r>
    </w:p>
    <w:p w14:paraId="1B171696">
      <w:pPr>
        <w:pStyle w:val="8"/>
        <w:spacing w:line="560" w:lineRule="exact"/>
        <w:ind w:firstLine="643" w:firstLineChars="200"/>
        <w:jc w:val="both"/>
        <w:rPr>
          <w:rFonts w:hint="eastAsia" w:ascii="黑体" w:hAnsi="黑体" w:eastAsia="黑体"/>
          <w:color w:val="auto"/>
          <w:sz w:val="32"/>
          <w:szCs w:val="32"/>
        </w:rPr>
      </w:pPr>
      <w:r>
        <w:rPr>
          <w:rFonts w:hint="eastAsia" w:ascii="楷体" w:hAnsi="楷体" w:eastAsia="楷体" w:cs="仿宋_GB2312"/>
          <w:b/>
          <w:color w:val="auto"/>
          <w:sz w:val="32"/>
          <w:szCs w:val="32"/>
        </w:rPr>
        <w:t>（二）</w:t>
      </w:r>
      <w:r>
        <w:rPr>
          <w:rFonts w:hint="eastAsia" w:ascii="楷体" w:hAnsi="楷体" w:eastAsia="楷体" w:cs="仿宋_GB2312"/>
          <w:b/>
          <w:color w:val="auto"/>
          <w:sz w:val="32"/>
          <w:szCs w:val="32"/>
          <w:lang w:eastAsia="zh-CN"/>
        </w:rPr>
        <w:t>2024年</w:t>
      </w:r>
      <w:r>
        <w:rPr>
          <w:rFonts w:hint="eastAsia" w:ascii="楷体" w:hAnsi="楷体" w:eastAsia="楷体" w:cs="仿宋_GB2312"/>
          <w:b/>
          <w:color w:val="auto"/>
          <w:sz w:val="32"/>
          <w:szCs w:val="32"/>
        </w:rPr>
        <w:t>的重点工作</w:t>
      </w:r>
    </w:p>
    <w:p w14:paraId="7F046E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1.全面贯彻党的路线方针政策和中央、省委、市委、县委关于政法工作的决策部署及工作要求，推进平安隆回、法治隆回建设，坚决维护国家政治安全、确保社会大局稳定、促进社会公平正义、保障人民安居乐业；</w:t>
      </w:r>
    </w:p>
    <w:p w14:paraId="0924A3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2.了解掌握和分析研判全县政法工作情况动态，分析政治安全和社会稳定形势，协调推动预防、化解影响稳定的社会矛盾和风险，协调应对和妥善处置重大突发事件加强对全县政法工作的督查，统筹协调社会治安综合治理、维护政治安全、维护社会稳定、反邪教、反暴恐等有关法律法规政策的实施工作，推进扫黑除恶斗争常态化开展，深入推进“利剑护蕾·雷霆行动”。</w:t>
      </w:r>
    </w:p>
    <w:p w14:paraId="4F8B91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3.掌握分析全县政法舆情动态，指导协调政法部门和有关单位做好依法办理、宣传报道和舆论引导等工作；</w:t>
      </w:r>
    </w:p>
    <w:p w14:paraId="28C5100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cs="宋体"/>
          <w:color w:val="000000"/>
          <w:kern w:val="0"/>
          <w:sz w:val="32"/>
          <w:szCs w:val="32"/>
          <w:lang w:val="en-US" w:eastAsia="zh-CN" w:bidi="ar-SA"/>
        </w:rPr>
      </w:pPr>
      <w:r>
        <w:rPr>
          <w:rFonts w:hint="eastAsia" w:ascii="仿宋" w:hAnsi="仿宋" w:eastAsia="仿宋" w:cs="宋体"/>
          <w:color w:val="000000"/>
          <w:kern w:val="0"/>
          <w:sz w:val="32"/>
          <w:szCs w:val="32"/>
          <w:lang w:val="en-US" w:eastAsia="zh-CN" w:bidi="ar-SA"/>
        </w:rPr>
        <w:t>4.监督和支持政法各部门依法行使职权，指导和协调政法各部门密切配合，研究和协调重大、疑难案件，督促和推动大案要案的查处工作，推进严格执法、公正司法；</w:t>
      </w:r>
    </w:p>
    <w:p w14:paraId="3215A1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rPr>
      </w:pPr>
      <w:r>
        <w:rPr>
          <w:rFonts w:hint="eastAsia" w:ascii="仿宋" w:hAnsi="仿宋" w:eastAsia="仿宋" w:cs="宋体"/>
          <w:color w:val="000000"/>
          <w:kern w:val="0"/>
          <w:sz w:val="32"/>
          <w:szCs w:val="32"/>
          <w:lang w:val="en-US" w:eastAsia="zh-CN" w:bidi="ar-SA"/>
        </w:rPr>
        <w:t>5.指导和推动全县政法系统党的建设和政法队伍建设，协助县委及其组织部门加强政法部门领导班子和干部队伍建设，协助县委和纪检监察机关做好监督检查、审查调查工作。</w:t>
      </w:r>
    </w:p>
    <w:p w14:paraId="2127689C">
      <w:pPr>
        <w:spacing w:line="560" w:lineRule="exact"/>
        <w:ind w:firstLine="643" w:firstLineChars="200"/>
        <w:rPr>
          <w:rFonts w:ascii="楷体" w:hAnsi="楷体" w:eastAsia="楷体" w:cs="仿宋_GB2312"/>
          <w:b/>
          <w:sz w:val="32"/>
          <w:szCs w:val="32"/>
        </w:rPr>
      </w:pPr>
      <w:r>
        <w:rPr>
          <w:rFonts w:hint="eastAsia" w:ascii="楷体" w:hAnsi="楷体" w:eastAsia="楷体" w:cs="仿宋_GB2312"/>
          <w:b/>
          <w:sz w:val="32"/>
          <w:szCs w:val="32"/>
        </w:rPr>
        <w:t>（三）部门整体支出情况</w:t>
      </w:r>
    </w:p>
    <w:p w14:paraId="6939867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2024年度收入742.8万元，其中：县财政预算安排727.21万元，其他收入15.59万元。2024年部门整体支出746.67万元，其中：基本支出436.88万元，项目支出309.79万元。</w:t>
      </w:r>
    </w:p>
    <w:p w14:paraId="1BADDAE1">
      <w:pPr>
        <w:spacing w:line="560" w:lineRule="exact"/>
        <w:ind w:firstLine="640" w:firstLineChars="200"/>
        <w:rPr>
          <w:rFonts w:ascii="黑体" w:hAnsi="黑体" w:eastAsia="黑体"/>
          <w:sz w:val="32"/>
          <w:szCs w:val="32"/>
        </w:rPr>
      </w:pPr>
      <w:r>
        <w:rPr>
          <w:rFonts w:ascii="黑体" w:hAnsi="黑体" w:eastAsia="黑体"/>
          <w:sz w:val="32"/>
          <w:szCs w:val="32"/>
        </w:rPr>
        <w:t>二、部门整体支出管理及使用情况</w:t>
      </w:r>
    </w:p>
    <w:p w14:paraId="2C6FAB01">
      <w:pPr>
        <w:spacing w:line="560" w:lineRule="exact"/>
        <w:ind w:firstLine="643" w:firstLineChars="200"/>
        <w:rPr>
          <w:rFonts w:ascii="楷体" w:hAnsi="楷体" w:eastAsia="楷体" w:cs="仿宋_GB2312"/>
          <w:b/>
          <w:sz w:val="32"/>
          <w:szCs w:val="32"/>
        </w:rPr>
      </w:pPr>
      <w:r>
        <w:rPr>
          <w:rFonts w:hint="eastAsia" w:ascii="楷体" w:hAnsi="楷体" w:eastAsia="楷体" w:cs="仿宋_GB2312"/>
          <w:b/>
          <w:sz w:val="32"/>
          <w:szCs w:val="32"/>
        </w:rPr>
        <w:t>（一）基本支出</w:t>
      </w:r>
    </w:p>
    <w:p w14:paraId="24CB1F86">
      <w:pPr>
        <w:pStyle w:val="2"/>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基本经费支出用于保障单位机构正常运转、完成日常工作任务而发生的各项支出，包括用于基本工资、津贴补贴、奖金、机关事业单位养老保险和其他社会保障缴费、其他工资福利等人员经费以及办公费、印刷费、水电费及办公设备购置等日常公用经费。2024年基本支出</w:t>
      </w:r>
      <w:r>
        <w:rPr>
          <w:rFonts w:hint="eastAsia" w:ascii="仿宋" w:hAnsi="仿宋" w:eastAsia="仿宋"/>
          <w:color w:val="000000"/>
          <w:sz w:val="32"/>
          <w:szCs w:val="32"/>
          <w:lang w:val="en-US" w:eastAsia="zh-CN"/>
        </w:rPr>
        <w:t>436.88</w:t>
      </w:r>
      <w:r>
        <w:rPr>
          <w:rFonts w:hint="eastAsia" w:ascii="仿宋" w:hAnsi="仿宋" w:eastAsia="仿宋" w:cs="仿宋"/>
          <w:kern w:val="2"/>
          <w:sz w:val="30"/>
          <w:szCs w:val="30"/>
          <w:lang w:val="en-US" w:eastAsia="zh-CN" w:bidi="ar-SA"/>
        </w:rPr>
        <w:t>万元，其中：工资福利支出387.3万元，商品和服务支出31.95万元，对个人和家庭的补助支出17.63万元。</w:t>
      </w:r>
    </w:p>
    <w:p w14:paraId="623DC867">
      <w:pPr>
        <w:spacing w:line="560" w:lineRule="exact"/>
        <w:ind w:firstLine="643" w:firstLineChars="200"/>
        <w:rPr>
          <w:rFonts w:ascii="楷体" w:hAnsi="楷体" w:eastAsia="楷体" w:cs="仿宋_GB2312"/>
          <w:b/>
          <w:sz w:val="32"/>
          <w:szCs w:val="32"/>
        </w:rPr>
      </w:pPr>
      <w:r>
        <w:rPr>
          <w:rFonts w:hint="eastAsia" w:ascii="楷体" w:hAnsi="楷体" w:eastAsia="楷体" w:cs="仿宋_GB2312"/>
          <w:b/>
          <w:sz w:val="32"/>
          <w:szCs w:val="32"/>
        </w:rPr>
        <w:t>（二）项目支出</w:t>
      </w:r>
    </w:p>
    <w:p w14:paraId="6E381E95">
      <w:pPr>
        <w:pStyle w:val="2"/>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项目支出是指基本支出以外为完成相关行政任务和事业发展目标所发生的各项支出，2024年项目支出</w:t>
      </w:r>
      <w:r>
        <w:rPr>
          <w:rFonts w:hint="eastAsia" w:ascii="仿宋" w:hAnsi="仿宋" w:eastAsia="仿宋"/>
          <w:color w:val="000000"/>
          <w:sz w:val="32"/>
          <w:szCs w:val="32"/>
          <w:lang w:val="en-US" w:eastAsia="zh-CN"/>
        </w:rPr>
        <w:t>309.79</w:t>
      </w:r>
      <w:r>
        <w:rPr>
          <w:rFonts w:hint="eastAsia" w:ascii="仿宋" w:hAnsi="仿宋" w:eastAsia="仿宋" w:cs="仿宋"/>
          <w:kern w:val="2"/>
          <w:sz w:val="30"/>
          <w:szCs w:val="30"/>
          <w:lang w:val="en-US" w:eastAsia="zh-CN" w:bidi="ar-SA"/>
        </w:rPr>
        <w:t>元，其中：反邪教工作经费23万元，乡村振兴工作经费31.29万元；扫黑除恶工作经费70.15万元；司法救助工作经费66.9万元；政法工作经费98.9万元，利剑护蕾经费17.76万元，离退休党员活动经费1.79万元。</w:t>
      </w:r>
    </w:p>
    <w:p w14:paraId="76C968F4">
      <w:pPr>
        <w:spacing w:line="560" w:lineRule="exact"/>
        <w:ind w:firstLine="643" w:firstLineChars="200"/>
        <w:rPr>
          <w:rFonts w:ascii="楷体" w:hAnsi="楷体" w:eastAsia="楷体" w:cs="仿宋_GB2312"/>
          <w:b/>
          <w:sz w:val="32"/>
          <w:szCs w:val="32"/>
        </w:rPr>
      </w:pPr>
      <w:r>
        <w:rPr>
          <w:rFonts w:ascii="楷体" w:hAnsi="楷体" w:eastAsia="楷体" w:cs="仿宋_GB2312"/>
          <w:b/>
          <w:sz w:val="32"/>
          <w:szCs w:val="32"/>
        </w:rPr>
        <w:t>（三）“三公”经费情况</w:t>
      </w:r>
    </w:p>
    <w:p w14:paraId="44942772">
      <w:pPr>
        <w:pStyle w:val="5"/>
        <w:ind w:firstLine="600" w:firstLineChars="200"/>
        <w:jc w:val="both"/>
        <w:rPr>
          <w:rFonts w:hint="default"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2024年“三公”经费支出1.01万元。其中：</w:t>
      </w:r>
    </w:p>
    <w:p w14:paraId="4F62486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1．因公出国（境）费用0万元；</w:t>
      </w:r>
    </w:p>
    <w:p w14:paraId="279B520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2．公务接待费1.01万元；</w:t>
      </w:r>
    </w:p>
    <w:p w14:paraId="74C5DA5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3．公务用车购置及运行费0万元。</w:t>
      </w:r>
    </w:p>
    <w:p w14:paraId="4D385233">
      <w:pPr>
        <w:spacing w:line="560" w:lineRule="exact"/>
        <w:ind w:firstLine="640" w:firstLineChars="200"/>
        <w:rPr>
          <w:rFonts w:ascii="黑体" w:hAnsi="黑体" w:eastAsia="黑体"/>
          <w:color w:val="auto"/>
          <w:sz w:val="32"/>
          <w:szCs w:val="32"/>
        </w:rPr>
      </w:pPr>
      <w:r>
        <w:rPr>
          <w:rFonts w:ascii="黑体" w:hAnsi="黑体" w:eastAsia="黑体"/>
          <w:color w:val="auto"/>
          <w:sz w:val="32"/>
          <w:szCs w:val="32"/>
        </w:rPr>
        <w:t>三、部门整体支出绩效情况</w:t>
      </w:r>
    </w:p>
    <w:p w14:paraId="3A8C21D6">
      <w:pPr>
        <w:spacing w:line="560" w:lineRule="exact"/>
        <w:ind w:firstLine="640" w:firstLineChars="200"/>
        <w:rPr>
          <w:color w:val="auto"/>
        </w:rPr>
      </w:pPr>
      <w:r>
        <w:rPr>
          <w:rFonts w:hint="eastAsia" w:ascii="仿宋" w:hAnsi="仿宋" w:eastAsia="仿宋"/>
          <w:sz w:val="32"/>
          <w:szCs w:val="32"/>
          <w:lang w:val="en-US" w:eastAsia="zh-CN"/>
        </w:rPr>
        <w:t>2024年，进一步提高</w:t>
      </w:r>
      <w:r>
        <w:rPr>
          <w:rFonts w:hint="eastAsia" w:ascii="仿宋" w:hAnsi="仿宋" w:eastAsia="仿宋" w:cs="仿宋"/>
          <w:b w:val="0"/>
          <w:bCs w:val="0"/>
          <w:kern w:val="2"/>
          <w:sz w:val="30"/>
          <w:szCs w:val="30"/>
          <w:lang w:val="en-US" w:eastAsia="zh-CN" w:bidi="ar-SA"/>
        </w:rPr>
        <w:t>预算管理质量，提高财务管理水平。各项资金严格按照预算管理、财务管理制度执行，资金使用规范、安全、有效，产出效益好。2024年，</w:t>
      </w:r>
      <w:r>
        <w:rPr>
          <w:rFonts w:hint="eastAsia" w:ascii="仿宋" w:hAnsi="仿宋" w:eastAsia="仿宋"/>
          <w:sz w:val="32"/>
          <w:szCs w:val="32"/>
          <w:lang w:val="en-US" w:eastAsia="zh-CN"/>
        </w:rPr>
        <w:t>在县委、县政府的坚强领导下，积极履职尽责，严厉打击违法犯罪，着力抓实重点整治，积极推进平安建设，坚决维护国家政治安全和社会和谐稳定。人民群众的安全感、满意度显著提升，全面完成年度绩效目标，取得很好成绩。</w:t>
      </w:r>
    </w:p>
    <w:p w14:paraId="4A0EF5E2">
      <w:pPr>
        <w:numPr>
          <w:ilvl w:val="0"/>
          <w:numId w:val="1"/>
        </w:numPr>
        <w:spacing w:line="560" w:lineRule="exact"/>
        <w:ind w:firstLine="640" w:firstLineChars="200"/>
        <w:rPr>
          <w:rFonts w:ascii="黑体" w:hAnsi="黑体" w:eastAsia="黑体"/>
          <w:color w:val="auto"/>
          <w:sz w:val="32"/>
          <w:szCs w:val="32"/>
        </w:rPr>
      </w:pPr>
      <w:r>
        <w:rPr>
          <w:rFonts w:ascii="黑体" w:hAnsi="黑体" w:eastAsia="黑体"/>
          <w:color w:val="auto"/>
          <w:sz w:val="32"/>
          <w:szCs w:val="32"/>
        </w:rPr>
        <w:t>存在的问题</w:t>
      </w:r>
    </w:p>
    <w:p w14:paraId="4D48E36B">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预算分析不够，前期准备工作不足，预算执行产生有一定的偏差，年度预算有较大幅度调整。</w:t>
      </w:r>
    </w:p>
    <w:p w14:paraId="372CBA68">
      <w:pPr>
        <w:spacing w:line="560" w:lineRule="exact"/>
        <w:ind w:firstLine="640" w:firstLineChars="200"/>
        <w:rPr>
          <w:rFonts w:ascii="黑体" w:hAnsi="黑体" w:eastAsia="黑体"/>
          <w:color w:val="auto"/>
          <w:sz w:val="32"/>
          <w:szCs w:val="32"/>
        </w:rPr>
      </w:pPr>
      <w:r>
        <w:rPr>
          <w:rFonts w:ascii="黑体" w:hAnsi="黑体" w:eastAsia="黑体"/>
          <w:color w:val="auto"/>
          <w:sz w:val="32"/>
          <w:szCs w:val="32"/>
        </w:rPr>
        <w:t>五、改进措施和有关建议</w:t>
      </w:r>
    </w:p>
    <w:p w14:paraId="56572614">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一是增强预算管理意识，健全相关工作制度，科学分析，把握下年度工作重点，准确做好部门预算。二是严格按预算项目内容执行预算，减少超范围超预算支出。三是加强财务人员业务培训，完善财务管理相关制度，从严审核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FA9D7"/>
    <w:multiLevelType w:val="singleLevel"/>
    <w:tmpl w:val="601FA9D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QyYTEzYWI2YmRlMjYyNzU5ODk0ODlkNDEyM2NiY2MifQ=="/>
  </w:docVars>
  <w:rsids>
    <w:rsidRoot w:val="00431024"/>
    <w:rsid w:val="00036637"/>
    <w:rsid w:val="000633F2"/>
    <w:rsid w:val="000810ED"/>
    <w:rsid w:val="00171420"/>
    <w:rsid w:val="001D0A37"/>
    <w:rsid w:val="00246E14"/>
    <w:rsid w:val="00260016"/>
    <w:rsid w:val="00295B7A"/>
    <w:rsid w:val="002D0E83"/>
    <w:rsid w:val="002D3835"/>
    <w:rsid w:val="003F0BF9"/>
    <w:rsid w:val="00431024"/>
    <w:rsid w:val="00463458"/>
    <w:rsid w:val="004B465C"/>
    <w:rsid w:val="004E1E70"/>
    <w:rsid w:val="00516961"/>
    <w:rsid w:val="00583B3C"/>
    <w:rsid w:val="005A28DB"/>
    <w:rsid w:val="005C088A"/>
    <w:rsid w:val="00666D68"/>
    <w:rsid w:val="0070055D"/>
    <w:rsid w:val="007A43F8"/>
    <w:rsid w:val="007D438D"/>
    <w:rsid w:val="0083133A"/>
    <w:rsid w:val="008E0C60"/>
    <w:rsid w:val="008E4DF2"/>
    <w:rsid w:val="009528FA"/>
    <w:rsid w:val="00982C0E"/>
    <w:rsid w:val="009A0069"/>
    <w:rsid w:val="009A7904"/>
    <w:rsid w:val="009B7FCE"/>
    <w:rsid w:val="00A12A41"/>
    <w:rsid w:val="00AE74C9"/>
    <w:rsid w:val="00B0087F"/>
    <w:rsid w:val="00C64FC5"/>
    <w:rsid w:val="00CC09C7"/>
    <w:rsid w:val="00D14EB2"/>
    <w:rsid w:val="00D433C3"/>
    <w:rsid w:val="00D97693"/>
    <w:rsid w:val="00DF5480"/>
    <w:rsid w:val="00E700CB"/>
    <w:rsid w:val="00E720B7"/>
    <w:rsid w:val="00E907F8"/>
    <w:rsid w:val="00EE1E8A"/>
    <w:rsid w:val="00F25A2D"/>
    <w:rsid w:val="00FD5183"/>
    <w:rsid w:val="01217860"/>
    <w:rsid w:val="01317F69"/>
    <w:rsid w:val="019E18DE"/>
    <w:rsid w:val="01CE2E9D"/>
    <w:rsid w:val="0283128F"/>
    <w:rsid w:val="028D402D"/>
    <w:rsid w:val="02A93B2F"/>
    <w:rsid w:val="037759DB"/>
    <w:rsid w:val="03E56DE9"/>
    <w:rsid w:val="061E4834"/>
    <w:rsid w:val="067032E2"/>
    <w:rsid w:val="07300CC3"/>
    <w:rsid w:val="099948FD"/>
    <w:rsid w:val="09AB4C80"/>
    <w:rsid w:val="0A2D1226"/>
    <w:rsid w:val="0A6D7B38"/>
    <w:rsid w:val="0AA237A3"/>
    <w:rsid w:val="0C063DA0"/>
    <w:rsid w:val="0C3E178C"/>
    <w:rsid w:val="0C6E55DC"/>
    <w:rsid w:val="0D1F15BD"/>
    <w:rsid w:val="0EAA00A6"/>
    <w:rsid w:val="0F0D3339"/>
    <w:rsid w:val="1004528B"/>
    <w:rsid w:val="10BE33CE"/>
    <w:rsid w:val="12170AB5"/>
    <w:rsid w:val="12A408B8"/>
    <w:rsid w:val="12E9579D"/>
    <w:rsid w:val="14743B15"/>
    <w:rsid w:val="160E2935"/>
    <w:rsid w:val="17822E75"/>
    <w:rsid w:val="1981715C"/>
    <w:rsid w:val="1AA43102"/>
    <w:rsid w:val="1B9E2247"/>
    <w:rsid w:val="1CFC7225"/>
    <w:rsid w:val="1D1327C1"/>
    <w:rsid w:val="1D556B58"/>
    <w:rsid w:val="1D807E56"/>
    <w:rsid w:val="1DAE0412"/>
    <w:rsid w:val="1E256308"/>
    <w:rsid w:val="1E3561A7"/>
    <w:rsid w:val="1EBF675C"/>
    <w:rsid w:val="1F0E0519"/>
    <w:rsid w:val="1F617814"/>
    <w:rsid w:val="1FD91AA0"/>
    <w:rsid w:val="203E7B64"/>
    <w:rsid w:val="22421B7E"/>
    <w:rsid w:val="22F15352"/>
    <w:rsid w:val="22F24891"/>
    <w:rsid w:val="2335523F"/>
    <w:rsid w:val="23A44173"/>
    <w:rsid w:val="2580651A"/>
    <w:rsid w:val="2677791D"/>
    <w:rsid w:val="29D003DD"/>
    <w:rsid w:val="2A2658E2"/>
    <w:rsid w:val="2A9C3C34"/>
    <w:rsid w:val="2AD76BDC"/>
    <w:rsid w:val="2B013C59"/>
    <w:rsid w:val="2B8D373E"/>
    <w:rsid w:val="2BC453B2"/>
    <w:rsid w:val="2C3A1B18"/>
    <w:rsid w:val="2C532BDA"/>
    <w:rsid w:val="300D71E4"/>
    <w:rsid w:val="301D54CD"/>
    <w:rsid w:val="305626E7"/>
    <w:rsid w:val="30EB518F"/>
    <w:rsid w:val="3368277E"/>
    <w:rsid w:val="33CD3272"/>
    <w:rsid w:val="35146273"/>
    <w:rsid w:val="352944D8"/>
    <w:rsid w:val="35FC1BEC"/>
    <w:rsid w:val="36DF7544"/>
    <w:rsid w:val="388663CC"/>
    <w:rsid w:val="39033292"/>
    <w:rsid w:val="3A217E73"/>
    <w:rsid w:val="3A7C32FC"/>
    <w:rsid w:val="3A8A3C6B"/>
    <w:rsid w:val="3C340332"/>
    <w:rsid w:val="3D6C58AA"/>
    <w:rsid w:val="3D94095C"/>
    <w:rsid w:val="3F0A537A"/>
    <w:rsid w:val="3FB86B84"/>
    <w:rsid w:val="40570EA7"/>
    <w:rsid w:val="408D1686"/>
    <w:rsid w:val="429733C9"/>
    <w:rsid w:val="42C64C40"/>
    <w:rsid w:val="44E90CE5"/>
    <w:rsid w:val="4594599D"/>
    <w:rsid w:val="45B20519"/>
    <w:rsid w:val="46301773"/>
    <w:rsid w:val="468C2B19"/>
    <w:rsid w:val="483A5FF0"/>
    <w:rsid w:val="49EF321E"/>
    <w:rsid w:val="4A266DE0"/>
    <w:rsid w:val="4AD351BA"/>
    <w:rsid w:val="4D410A62"/>
    <w:rsid w:val="4D767AA7"/>
    <w:rsid w:val="4EE13335"/>
    <w:rsid w:val="4F244236"/>
    <w:rsid w:val="4F2C6C47"/>
    <w:rsid w:val="4F9A0054"/>
    <w:rsid w:val="50526B81"/>
    <w:rsid w:val="50C51101"/>
    <w:rsid w:val="50E45C3F"/>
    <w:rsid w:val="52A90C82"/>
    <w:rsid w:val="52C04276"/>
    <w:rsid w:val="52F86517"/>
    <w:rsid w:val="53BE6ABC"/>
    <w:rsid w:val="53C81420"/>
    <w:rsid w:val="5455279C"/>
    <w:rsid w:val="558A2919"/>
    <w:rsid w:val="55DA38A0"/>
    <w:rsid w:val="561824BD"/>
    <w:rsid w:val="56243BF4"/>
    <w:rsid w:val="56EC4D02"/>
    <w:rsid w:val="573F4EE1"/>
    <w:rsid w:val="59D32AE1"/>
    <w:rsid w:val="59F36CDF"/>
    <w:rsid w:val="59FB5B93"/>
    <w:rsid w:val="5A496657"/>
    <w:rsid w:val="5B61411C"/>
    <w:rsid w:val="5C535963"/>
    <w:rsid w:val="5E1216FE"/>
    <w:rsid w:val="5E9D36BD"/>
    <w:rsid w:val="5F3240AC"/>
    <w:rsid w:val="5F334021"/>
    <w:rsid w:val="5FA82319"/>
    <w:rsid w:val="5FEB0458"/>
    <w:rsid w:val="60C90799"/>
    <w:rsid w:val="61001CE1"/>
    <w:rsid w:val="61AB4343"/>
    <w:rsid w:val="63C60FC0"/>
    <w:rsid w:val="651E791F"/>
    <w:rsid w:val="664B1C51"/>
    <w:rsid w:val="667C1E0A"/>
    <w:rsid w:val="66E856F1"/>
    <w:rsid w:val="6782764B"/>
    <w:rsid w:val="69320EA6"/>
    <w:rsid w:val="697414BE"/>
    <w:rsid w:val="69A47FF6"/>
    <w:rsid w:val="69CD5339"/>
    <w:rsid w:val="6A9736B6"/>
    <w:rsid w:val="6AD7673F"/>
    <w:rsid w:val="6B6537B4"/>
    <w:rsid w:val="6D9E4D5C"/>
    <w:rsid w:val="6DDE3A97"/>
    <w:rsid w:val="6E1D0376"/>
    <w:rsid w:val="6E8B1784"/>
    <w:rsid w:val="72F924F0"/>
    <w:rsid w:val="73CD0149"/>
    <w:rsid w:val="7463463C"/>
    <w:rsid w:val="75955F2A"/>
    <w:rsid w:val="759F508D"/>
    <w:rsid w:val="7860158C"/>
    <w:rsid w:val="789C1029"/>
    <w:rsid w:val="78D87374"/>
    <w:rsid w:val="7A6C3EEC"/>
    <w:rsid w:val="7AD26045"/>
    <w:rsid w:val="7CEB0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0"/>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ind w:firstLine="640" w:firstLineChars="200"/>
    </w:pPr>
    <w:rPr>
      <w:sz w:val="32"/>
    </w:rPr>
  </w:style>
  <w:style w:type="paragraph" w:styleId="5">
    <w:name w:val="Body Text"/>
    <w:basedOn w:val="1"/>
    <w:qFormat/>
    <w:uiPriority w:val="0"/>
    <w:pPr>
      <w:jc w:val="center"/>
    </w:pPr>
    <w:rPr>
      <w:rFonts w:ascii="宋体"/>
      <w:b/>
      <w:bCs/>
      <w:sz w:val="44"/>
    </w:rPr>
  </w:style>
  <w:style w:type="paragraph" w:styleId="6">
    <w:name w:val="footer"/>
    <w:basedOn w:val="1"/>
    <w:link w:val="17"/>
    <w:semiHidden/>
    <w:unhideWhenUsed/>
    <w:qFormat/>
    <w:uiPriority w:val="99"/>
    <w:pPr>
      <w:tabs>
        <w:tab w:val="center" w:pos="4153"/>
        <w:tab w:val="right" w:pos="8306"/>
      </w:tabs>
      <w:snapToGrid w:val="0"/>
      <w:jc w:val="left"/>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2">
    <w:name w:val="Emphasis"/>
    <w:basedOn w:val="11"/>
    <w:qFormat/>
    <w:uiPriority w:val="20"/>
    <w:rPr>
      <w:i/>
      <w:iCs/>
    </w:rPr>
  </w:style>
  <w:style w:type="paragraph" w:customStyle="1" w:styleId="13">
    <w:name w:val="index heading1"/>
    <w:basedOn w:val="1"/>
    <w:next w:val="14"/>
    <w:qFormat/>
    <w:uiPriority w:val="99"/>
    <w:rPr>
      <w:rFonts w:ascii="Arial" w:hAnsi="Arial" w:cs="Arial"/>
      <w:b/>
      <w:bCs/>
    </w:rPr>
  </w:style>
  <w:style w:type="paragraph" w:customStyle="1" w:styleId="14">
    <w:name w:val="index 11"/>
    <w:basedOn w:val="1"/>
    <w:next w:val="1"/>
    <w:qFormat/>
    <w:uiPriority w:val="99"/>
  </w:style>
  <w:style w:type="character" w:customStyle="1" w:styleId="15">
    <w:name w:val="apple-style-span"/>
    <w:basedOn w:val="11"/>
    <w:qFormat/>
    <w:uiPriority w:val="0"/>
  </w:style>
  <w:style w:type="character" w:customStyle="1" w:styleId="16">
    <w:name w:val="页眉 Char"/>
    <w:basedOn w:val="11"/>
    <w:link w:val="7"/>
    <w:semiHidden/>
    <w:qFormat/>
    <w:uiPriority w:val="99"/>
    <w:rPr>
      <w:rFonts w:ascii="Times New Roman" w:hAnsi="Times New Roman" w:eastAsia="宋体" w:cs="Times New Roman"/>
      <w:sz w:val="18"/>
      <w:szCs w:val="18"/>
    </w:rPr>
  </w:style>
  <w:style w:type="character" w:customStyle="1" w:styleId="17">
    <w:name w:val="页脚 Char"/>
    <w:basedOn w:val="11"/>
    <w:link w:val="6"/>
    <w:semiHidden/>
    <w:qFormat/>
    <w:uiPriority w:val="99"/>
    <w:rPr>
      <w:rFonts w:ascii="Times New Roman" w:hAnsi="Times New Roman" w:eastAsia="宋体" w:cs="Times New Roman"/>
      <w:sz w:val="18"/>
      <w:szCs w:val="18"/>
    </w:rPr>
  </w:style>
  <w:style w:type="character" w:customStyle="1" w:styleId="18">
    <w:name w:val="HTML 预设格式 Char"/>
    <w:basedOn w:val="11"/>
    <w:link w:val="8"/>
    <w:qFormat/>
    <w:uiPriority w:val="0"/>
    <w:rPr>
      <w:rFonts w:ascii="宋体" w:hAnsi="宋体" w:eastAsia="宋体" w:cs="宋体"/>
      <w:kern w:val="0"/>
      <w:sz w:val="24"/>
      <w:szCs w:val="24"/>
    </w:rPr>
  </w:style>
  <w:style w:type="paragraph" w:customStyle="1" w:styleId="19">
    <w:name w:val="p0"/>
    <w:basedOn w:val="1"/>
    <w:qFormat/>
    <w:uiPriority w:val="0"/>
    <w:pPr>
      <w:widowControl/>
    </w:pPr>
    <w:rPr>
      <w:kern w:val="0"/>
      <w:szCs w:val="21"/>
    </w:rPr>
  </w:style>
  <w:style w:type="character" w:customStyle="1" w:styleId="20">
    <w:name w:val="标题 1 Char"/>
    <w:basedOn w:val="11"/>
    <w:link w:val="4"/>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1778</Words>
  <Characters>1888</Characters>
  <Lines>34</Lines>
  <Paragraphs>9</Paragraphs>
  <TotalTime>3</TotalTime>
  <ScaleCrop>false</ScaleCrop>
  <LinksUpToDate>false</LinksUpToDate>
  <CharactersWithSpaces>1905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2020-03-23T08:26:00Z</dcterms:created>
  <dc:creator>Administrator</dc:creator>
  <cp:lastModifiedBy>随风而起</cp:lastModifiedBy>
  <dcterms:modified xsi:type="dcterms:W3CDTF">2025-12-17T06:44:06Z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D55CEC4B88DC4DE3B0BCFBA7E97272C8_12</vt:lpwstr>
  </property>
  <property fmtid="{D5CDD505-2E9C-101B-9397-08002B2CF9AE}" pid="4" name="KSOTemplateDocerSaveRecord">
    <vt:lpwstr>eyJoZGlkIjoiMzUyMGJjZGJkYTMxNmM2MGVkODM5NTNmZjk2YzllNDIiLCJ1c2VySWQiOiIyNzg1MzQ3NzgifQ==</vt:lpwstr>
  </property>
</Properties>
</file>