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hint="eastAsia" w:ascii="仿宋_GB2312" w:hAnsi="仿宋_GB2312" w:eastAsia="仿宋_GB2312" w:cs="仿宋_GB2312"/>
          <w:color w:val="auto"/>
          <w:kern w:val="2"/>
          <w:sz w:val="36"/>
          <w:szCs w:val="36"/>
          <w:lang w:val="en-US" w:eastAsia="zh-CN" w:bidi="ar-SA"/>
        </w:rPr>
      </w:pPr>
      <w:r>
        <w:rPr>
          <w:rFonts w:hint="eastAsia" w:ascii="仿宋_GB2312" w:hAnsi="仿宋_GB2312" w:eastAsia="仿宋_GB2312" w:cs="仿宋_GB2312"/>
          <w:b/>
          <w:bCs/>
          <w:color w:val="auto"/>
          <w:kern w:val="2"/>
          <w:sz w:val="36"/>
          <w:szCs w:val="36"/>
          <w:lang w:val="en-US" w:eastAsia="zh-CN" w:bidi="ar-SA"/>
        </w:rPr>
        <w:t>2022年度隆回县西洋江镇中心学校部门决算公开目录及说明</w:t>
      </w:r>
    </w:p>
    <w:p>
      <w:pPr>
        <w:pStyle w:val="4"/>
        <w:spacing w:line="500" w:lineRule="exact"/>
        <w:jc w:val="center"/>
        <w:rPr>
          <w:b/>
          <w:color w:val="auto"/>
          <w:sz w:val="36"/>
          <w:szCs w:val="28"/>
        </w:rPr>
      </w:pPr>
      <w:r>
        <w:rPr>
          <w:rFonts w:hint="eastAsia"/>
          <w:b/>
          <w:color w:val="auto"/>
          <w:sz w:val="36"/>
          <w:szCs w:val="28"/>
        </w:rPr>
        <w:t>目录</w:t>
      </w:r>
    </w:p>
    <w:p>
      <w:pPr>
        <w:pStyle w:val="4"/>
        <w:spacing w:line="50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第一部分</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val="0"/>
          <w:color w:val="auto"/>
          <w:kern w:val="2"/>
          <w:sz w:val="28"/>
          <w:szCs w:val="28"/>
          <w:lang w:val="en-US" w:eastAsia="zh-CN" w:bidi="ar-SA"/>
        </w:rPr>
        <w:t>隆回县西洋江镇中心学校</w:t>
      </w:r>
      <w:r>
        <w:rPr>
          <w:rFonts w:hint="eastAsia" w:ascii="黑体" w:hAnsi="黑体" w:eastAsia="黑体" w:cs="黑体"/>
          <w:b w:val="0"/>
          <w:bCs w:val="0"/>
          <w:color w:val="auto"/>
          <w:sz w:val="28"/>
          <w:szCs w:val="28"/>
        </w:rPr>
        <w:t>概况</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一、部门职责</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二、机构设置</w:t>
      </w:r>
    </w:p>
    <w:p>
      <w:pPr>
        <w:pStyle w:val="4"/>
        <w:spacing w:line="50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第二部分</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部门决算表</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一、收入支出决算总表</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二、收入决算表</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三、支出决算表</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四、财政拨款收入支出决算总表</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五、一般公共预算财政拨款支出决算表</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六、一般公共预算财政拨款基本支出决算明细表</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七、政府性基金预算财政拨款收入支出决算表</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八、国有资本经营预算财政拨款支出决算表</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九、财政拨款“三公”经费支出决算表</w:t>
      </w:r>
    </w:p>
    <w:p>
      <w:pPr>
        <w:pStyle w:val="4"/>
        <w:spacing w:line="50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第三部分</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部门决算情况说明</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一、收入支出决算总体情况说明</w:t>
      </w:r>
    </w:p>
    <w:p>
      <w:pPr>
        <w:spacing w:line="500" w:lineRule="exact"/>
        <w:ind w:firstLine="700" w:firstLineChars="25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二、收入决算情况说明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三、支出决算情况说明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四、财政拨款收入支出决算总体情况说明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五、一般公共预算财政拨款支出决算情况说明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八、政府性基金预算收入支出决算情况</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九、关于机关运行经费支出说明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十、一般性支出情况说明</w:t>
      </w:r>
    </w:p>
    <w:p>
      <w:pPr>
        <w:autoSpaceDE w:val="0"/>
        <w:autoSpaceDN w:val="0"/>
        <w:adjustRightInd w:val="0"/>
        <w:spacing w:line="500" w:lineRule="exact"/>
        <w:ind w:firstLine="700" w:firstLineChars="250"/>
        <w:jc w:val="left"/>
        <w:rPr>
          <w:rFonts w:hint="eastAsia" w:ascii="仿宋_GB2312" w:hAnsi="仿宋_GB2312" w:eastAsia="仿宋_GB2312" w:cs="仿宋_GB2312"/>
          <w:color w:val="auto"/>
          <w:kern w:val="0"/>
          <w:sz w:val="28"/>
          <w:szCs w:val="28"/>
        </w:rPr>
      </w:pPr>
      <w:r>
        <w:rPr>
          <w:rFonts w:hint="eastAsia" w:ascii="仿宋_GB2312" w:hAnsi="仿宋_GB2312" w:eastAsia="仿宋_GB2312" w:cs="仿宋_GB2312"/>
          <w:color w:val="auto"/>
          <w:kern w:val="0"/>
          <w:sz w:val="28"/>
          <w:szCs w:val="28"/>
        </w:rPr>
        <w:t>十一、关于政府采购支出说明</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十二、关于国有资产占用情况说明</w:t>
      </w:r>
    </w:p>
    <w:p>
      <w:pPr>
        <w:pStyle w:val="4"/>
        <w:spacing w:line="500" w:lineRule="exact"/>
        <w:ind w:firstLine="700" w:firstLineChars="250"/>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十三、关于预算绩效情况的说明</w:t>
      </w:r>
    </w:p>
    <w:p>
      <w:pPr>
        <w:pStyle w:val="4"/>
        <w:spacing w:line="500" w:lineRule="exact"/>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第四部分</w:t>
      </w:r>
      <w:r>
        <w:rPr>
          <w:rFonts w:hint="eastAsia" w:ascii="黑体" w:hAnsi="黑体" w:eastAsia="黑体" w:cs="黑体"/>
          <w:b w:val="0"/>
          <w:bCs/>
          <w:color w:val="auto"/>
          <w:sz w:val="28"/>
          <w:szCs w:val="28"/>
          <w:lang w:val="en-US" w:eastAsia="zh-CN"/>
        </w:rPr>
        <w:t xml:space="preserve"> </w:t>
      </w:r>
      <w:r>
        <w:rPr>
          <w:rFonts w:hint="eastAsia" w:ascii="黑体" w:hAnsi="黑体" w:eastAsia="黑体" w:cs="黑体"/>
          <w:b w:val="0"/>
          <w:bCs/>
          <w:color w:val="auto"/>
          <w:sz w:val="28"/>
          <w:szCs w:val="28"/>
        </w:rPr>
        <w:t>名词解释</w:t>
      </w:r>
    </w:p>
    <w:p>
      <w:pPr>
        <w:autoSpaceDE w:val="0"/>
        <w:autoSpaceDN w:val="0"/>
        <w:adjustRightInd w:val="0"/>
        <w:spacing w:line="520" w:lineRule="exact"/>
        <w:jc w:val="left"/>
        <w:rPr>
          <w:rFonts w:hint="eastAsia" w:eastAsia="黑体"/>
          <w:color w:val="auto"/>
          <w:sz w:val="44"/>
          <w:szCs w:val="44"/>
          <w:highlight w:val="white"/>
          <w:lang w:val="zh-CN"/>
        </w:rPr>
      </w:pPr>
    </w:p>
    <w:p>
      <w:pPr>
        <w:autoSpaceDE w:val="0"/>
        <w:autoSpaceDN w:val="0"/>
        <w:adjustRightInd w:val="0"/>
        <w:spacing w:line="520" w:lineRule="exact"/>
        <w:jc w:val="left"/>
        <w:rPr>
          <w:rFonts w:hint="eastAsia" w:eastAsia="黑体"/>
          <w:color w:val="auto"/>
          <w:sz w:val="44"/>
          <w:szCs w:val="44"/>
          <w:highlight w:val="white"/>
          <w:lang w:val="zh-CN"/>
        </w:rPr>
      </w:pPr>
    </w:p>
    <w:p>
      <w:pPr>
        <w:autoSpaceDE w:val="0"/>
        <w:autoSpaceDN w:val="0"/>
        <w:adjustRightInd w:val="0"/>
        <w:spacing w:line="520" w:lineRule="exact"/>
        <w:jc w:val="left"/>
        <w:rPr>
          <w:rFonts w:hint="eastAsia" w:eastAsia="黑体"/>
          <w:color w:val="auto"/>
          <w:sz w:val="44"/>
          <w:szCs w:val="44"/>
          <w:highlight w:val="white"/>
          <w:lang w:val="zh-CN"/>
        </w:rPr>
      </w:pPr>
    </w:p>
    <w:p>
      <w:pPr>
        <w:autoSpaceDE w:val="0"/>
        <w:autoSpaceDN w:val="0"/>
        <w:adjustRightInd w:val="0"/>
        <w:spacing w:line="520" w:lineRule="exact"/>
        <w:jc w:val="left"/>
        <w:rPr>
          <w:rFonts w:hint="eastAsia" w:eastAsia="黑体"/>
          <w:color w:val="auto"/>
          <w:sz w:val="44"/>
          <w:szCs w:val="44"/>
          <w:highlight w:val="white"/>
          <w:lang w:val="zh-CN"/>
        </w:rPr>
      </w:pPr>
    </w:p>
    <w:p>
      <w:pPr>
        <w:autoSpaceDE w:val="0"/>
        <w:autoSpaceDN w:val="0"/>
        <w:adjustRightInd w:val="0"/>
        <w:spacing w:line="520" w:lineRule="exact"/>
        <w:jc w:val="left"/>
        <w:rPr>
          <w:rFonts w:hint="eastAsia" w:ascii="仿宋_GB2312" w:hAnsi="Times New Roman" w:eastAsia="仿宋_GB2312" w:cs="黑体"/>
          <w:b/>
          <w:color w:val="auto"/>
          <w:sz w:val="32"/>
          <w:szCs w:val="32"/>
          <w:highlight w:val="white"/>
          <w:lang w:val="zh-CN" w:eastAsia="zh-CN"/>
        </w:rPr>
      </w:pPr>
      <w:r>
        <w:rPr>
          <w:rFonts w:hint="eastAsia" w:ascii="黑体" w:eastAsia="黑体" w:cs="黑体"/>
          <w:color w:val="auto"/>
          <w:sz w:val="32"/>
          <w:szCs w:val="32"/>
          <w:highlight w:val="white"/>
        </w:rPr>
        <w:t>第一部分</w:t>
      </w:r>
      <w:r>
        <w:rPr>
          <w:rFonts w:hint="eastAsia" w:ascii="黑体" w:eastAsia="黑体" w:cs="黑体"/>
          <w:color w:val="auto"/>
          <w:sz w:val="32"/>
          <w:szCs w:val="32"/>
          <w:highlight w:val="white"/>
          <w:lang w:val="en-US" w:eastAsia="zh-CN"/>
        </w:rPr>
        <w:t xml:space="preserve">  </w:t>
      </w:r>
      <w:r>
        <w:rPr>
          <w:rFonts w:hint="eastAsia" w:ascii="黑体" w:hAnsi="黑体" w:eastAsia="黑体" w:cs="黑体"/>
          <w:b w:val="0"/>
          <w:bCs w:val="0"/>
          <w:color w:val="auto"/>
          <w:kern w:val="2"/>
          <w:sz w:val="32"/>
          <w:szCs w:val="32"/>
          <w:lang w:val="en-US" w:eastAsia="zh-CN" w:bidi="ar-SA"/>
        </w:rPr>
        <w:t>隆回县西洋江镇中心学校</w:t>
      </w:r>
      <w:r>
        <w:rPr>
          <w:rFonts w:hint="eastAsia" w:ascii="黑体" w:eastAsia="黑体" w:cs="黑体"/>
          <w:color w:val="auto"/>
          <w:sz w:val="32"/>
          <w:szCs w:val="32"/>
          <w:highlight w:val="white"/>
          <w:lang w:val="en-US" w:eastAsia="zh-CN"/>
        </w:rPr>
        <w:t>概况</w:t>
      </w:r>
    </w:p>
    <w:p>
      <w:pPr>
        <w:autoSpaceDE w:val="0"/>
        <w:autoSpaceDN w:val="0"/>
        <w:adjustRightInd w:val="0"/>
        <w:spacing w:line="520" w:lineRule="exact"/>
        <w:ind w:firstLine="643" w:firstLineChars="200"/>
        <w:jc w:val="left"/>
        <w:rPr>
          <w:rFonts w:hint="eastAsia" w:eastAsia="黑体"/>
          <w:color w:val="auto"/>
          <w:sz w:val="44"/>
          <w:szCs w:val="44"/>
          <w:highlight w:val="white"/>
          <w:lang w:val="zh-CN"/>
        </w:rPr>
      </w:pPr>
      <w:r>
        <w:rPr>
          <w:rFonts w:hint="eastAsia" w:ascii="仿宋_GB2312" w:hAnsi="Times New Roman" w:eastAsia="仿宋_GB2312" w:cs="黑体"/>
          <w:b/>
          <w:color w:val="auto"/>
          <w:sz w:val="32"/>
          <w:szCs w:val="32"/>
          <w:highlight w:val="white"/>
          <w:lang w:val="zh-CN" w:eastAsia="zh-CN"/>
        </w:rPr>
        <w:t>一、部门职责</w:t>
      </w:r>
    </w:p>
    <w:p>
      <w:pPr>
        <w:widowControl/>
        <w:spacing w:line="600" w:lineRule="exact"/>
        <w:rPr>
          <w:rFonts w:hint="eastAsia" w:ascii="仿宋" w:hAnsi="仿宋" w:eastAsia="仿宋" w:cs="仿宋"/>
          <w:color w:val="auto"/>
          <w:sz w:val="28"/>
          <w:szCs w:val="28"/>
        </w:rPr>
      </w:pPr>
      <w:r>
        <w:rPr>
          <w:rFonts w:hint="eastAsia" w:ascii="仿宋_GB2312" w:hAnsi="仿宋_GB2312" w:eastAsia="仿宋_GB2312" w:cs="仿宋_GB2312"/>
          <w:color w:val="auto"/>
          <w:kern w:val="0"/>
          <w:sz w:val="32"/>
          <w:szCs w:val="32"/>
          <w:highlight w:val="white"/>
        </w:rPr>
        <w:t xml:space="preserve"> </w:t>
      </w:r>
      <w:r>
        <w:rPr>
          <w:rFonts w:hint="eastAsia" w:ascii="仿宋_GB2312" w:hAnsi="仿宋_GB2312" w:eastAsia="仿宋_GB2312" w:cs="仿宋_GB2312"/>
          <w:color w:val="auto"/>
          <w:kern w:val="0"/>
          <w:sz w:val="32"/>
          <w:szCs w:val="32"/>
          <w:highlight w:val="white"/>
          <w:lang w:val="en-US" w:eastAsia="zh-CN"/>
        </w:rPr>
        <w:t xml:space="preserve">  </w:t>
      </w:r>
      <w:r>
        <w:rPr>
          <w:rFonts w:hint="eastAsia" w:ascii="仿宋" w:hAnsi="仿宋" w:eastAsia="仿宋" w:cs="仿宋"/>
          <w:color w:val="auto"/>
          <w:sz w:val="28"/>
          <w:szCs w:val="28"/>
        </w:rPr>
        <w:t>（一）为教育教学提供管理保障，中小学、幼儿园教育教学管理，中小学学历教育，办人民满意的教育。</w:t>
      </w:r>
    </w:p>
    <w:p>
      <w:pPr>
        <w:pStyle w:val="4"/>
        <w:spacing w:line="52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（二）研究拟定全镇教育发展战略和教育工作的的规定，办法、监督和检查所属学校对党和国家教育方针、政策和法规的贯彻执行。管理和指导全镇教育教学研究工作等。</w:t>
      </w:r>
    </w:p>
    <w:p>
      <w:pPr>
        <w:autoSpaceDE w:val="0"/>
        <w:autoSpaceDN w:val="0"/>
        <w:adjustRightInd w:val="0"/>
        <w:spacing w:line="520" w:lineRule="exact"/>
        <w:ind w:firstLine="643" w:firstLineChars="200"/>
        <w:jc w:val="left"/>
        <w:rPr>
          <w:rFonts w:hint="eastAsia" w:ascii="仿宋_GB2312" w:hAnsi="Times New Roman" w:eastAsia="仿宋_GB2312" w:cs="黑体"/>
          <w:b/>
          <w:color w:val="auto"/>
          <w:sz w:val="32"/>
          <w:szCs w:val="32"/>
          <w:highlight w:val="white"/>
          <w:lang w:val="zh-CN" w:eastAsia="zh-CN"/>
        </w:rPr>
      </w:pPr>
      <w:r>
        <w:rPr>
          <w:rFonts w:hint="eastAsia" w:ascii="仿宋_GB2312" w:hAnsi="Times New Roman" w:eastAsia="仿宋_GB2312" w:cs="黑体"/>
          <w:b/>
          <w:color w:val="auto"/>
          <w:sz w:val="32"/>
          <w:szCs w:val="32"/>
          <w:highlight w:val="white"/>
          <w:lang w:val="zh-CN" w:eastAsia="zh-CN"/>
        </w:rPr>
        <w:t>二、机构设置及决算单位构成</w:t>
      </w:r>
    </w:p>
    <w:p>
      <w:pPr>
        <w:autoSpaceDE w:val="0"/>
        <w:autoSpaceDN w:val="0"/>
        <w:adjustRightInd w:val="0"/>
        <w:spacing w:line="520" w:lineRule="exact"/>
        <w:ind w:firstLine="643" w:firstLineChars="200"/>
        <w:jc w:val="left"/>
        <w:rPr>
          <w:rFonts w:hint="eastAsia" w:ascii="仿宋_GB2312" w:hAnsi="仿宋_GB2312" w:eastAsia="仿宋_GB2312" w:cs="仿宋_GB2312"/>
          <w:i/>
          <w:color w:val="auto"/>
          <w:kern w:val="0"/>
          <w:sz w:val="32"/>
          <w:szCs w:val="32"/>
          <w:lang w:val="zh-CN"/>
        </w:rPr>
      </w:pPr>
      <w:r>
        <w:rPr>
          <w:rFonts w:hint="eastAsia" w:ascii="仿宋_GB2312" w:hAnsi="仿宋_GB2312" w:eastAsia="仿宋_GB2312" w:cs="仿宋_GB2312"/>
          <w:b/>
          <w:bCs/>
          <w:i w:val="0"/>
          <w:iCs/>
          <w:color w:val="auto"/>
          <w:kern w:val="0"/>
          <w:sz w:val="32"/>
          <w:szCs w:val="32"/>
        </w:rPr>
        <w:t>（</w:t>
      </w:r>
      <w:r>
        <w:rPr>
          <w:rFonts w:hint="eastAsia" w:ascii="仿宋_GB2312" w:hAnsi="仿宋_GB2312" w:eastAsia="仿宋_GB2312" w:cs="仿宋_GB2312"/>
          <w:b/>
          <w:bCs/>
          <w:i w:val="0"/>
          <w:iCs/>
          <w:color w:val="auto"/>
          <w:kern w:val="0"/>
          <w:sz w:val="32"/>
          <w:szCs w:val="32"/>
          <w:lang w:eastAsia="zh-CN"/>
        </w:rPr>
        <w:t>一</w:t>
      </w:r>
      <w:r>
        <w:rPr>
          <w:rFonts w:hint="eastAsia" w:ascii="仿宋_GB2312" w:hAnsi="仿宋_GB2312" w:eastAsia="仿宋_GB2312" w:cs="仿宋_GB2312"/>
          <w:b/>
          <w:bCs/>
          <w:i w:val="0"/>
          <w:iCs/>
          <w:color w:val="auto"/>
          <w:kern w:val="0"/>
          <w:sz w:val="32"/>
          <w:szCs w:val="32"/>
        </w:rPr>
        <w:t>）内设机构设置</w:t>
      </w:r>
    </w:p>
    <w:p>
      <w:pPr>
        <w:autoSpaceDE w:val="0"/>
        <w:autoSpaceDN w:val="0"/>
        <w:adjustRightInd w:val="0"/>
        <w:spacing w:line="520" w:lineRule="exact"/>
        <w:jc w:val="left"/>
        <w:rPr>
          <w:rFonts w:hint="eastAsia" w:ascii="仿宋" w:hAnsi="仿宋" w:eastAsia="仿宋" w:cs="仿宋"/>
          <w:color w:val="auto"/>
          <w:sz w:val="32"/>
          <w:szCs w:val="32"/>
          <w:highlight w:val="white"/>
          <w:lang w:val="zh-CN"/>
        </w:rPr>
      </w:pPr>
      <w:r>
        <w:rPr>
          <w:rFonts w:hint="eastAsia" w:ascii="仿宋_GB2312" w:hAnsi="仿宋_GB2312" w:eastAsia="仿宋_GB2312" w:cs="仿宋_GB2312"/>
          <w:i/>
          <w:color w:val="auto"/>
          <w:kern w:val="0"/>
          <w:sz w:val="32"/>
          <w:szCs w:val="32"/>
          <w:lang w:val="zh-CN"/>
        </w:rPr>
        <w:t xml:space="preserve"> </w:t>
      </w:r>
      <w:r>
        <w:rPr>
          <w:rFonts w:hint="eastAsia" w:ascii="仿宋_GB2312" w:hAnsi="仿宋_GB2312" w:eastAsia="仿宋_GB2312" w:cs="仿宋_GB2312"/>
          <w:i/>
          <w:color w:val="auto"/>
          <w:kern w:val="0"/>
          <w:sz w:val="32"/>
          <w:szCs w:val="32"/>
          <w:lang w:val="en-US" w:eastAsia="zh-CN"/>
        </w:rPr>
        <w:t xml:space="preserve">  </w:t>
      </w:r>
      <w:r>
        <w:rPr>
          <w:rFonts w:hint="eastAsia" w:ascii="仿宋_GB2312" w:hAnsi="仿宋_GB2312" w:eastAsia="仿宋_GB2312" w:cs="仿宋_GB2312"/>
          <w:i/>
          <w:color w:val="auto"/>
          <w:kern w:val="0"/>
          <w:sz w:val="32"/>
          <w:szCs w:val="32"/>
          <w:lang w:val="zh-CN"/>
        </w:rPr>
        <w:t xml:space="preserve"> </w:t>
      </w:r>
      <w:r>
        <w:rPr>
          <w:rFonts w:hint="eastAsia" w:ascii="仿宋" w:hAnsi="仿宋" w:eastAsia="仿宋" w:cs="仿宋"/>
          <w:b w:val="0"/>
          <w:bCs w:val="0"/>
          <w:i w:val="0"/>
          <w:iCs/>
          <w:color w:val="auto"/>
          <w:kern w:val="0"/>
          <w:sz w:val="32"/>
          <w:szCs w:val="32"/>
          <w:lang w:val="zh-CN"/>
        </w:rPr>
        <w:t>隆回县西洋江镇中心学校内设机构包括：</w:t>
      </w:r>
      <w:r>
        <w:rPr>
          <w:rFonts w:hint="eastAsia" w:ascii="仿宋" w:hAnsi="仿宋" w:eastAsia="仿宋" w:cs="仿宋"/>
          <w:color w:val="auto"/>
          <w:sz w:val="32"/>
          <w:szCs w:val="32"/>
        </w:rPr>
        <w:t>学校党支部、行政组、后勤组、教学组、政教组、团支部、少先队。</w:t>
      </w:r>
    </w:p>
    <w:p>
      <w:pPr>
        <w:autoSpaceDE w:val="0"/>
        <w:autoSpaceDN w:val="0"/>
        <w:adjustRightInd w:val="0"/>
        <w:spacing w:line="520" w:lineRule="exact"/>
        <w:ind w:firstLine="643" w:firstLineChars="200"/>
        <w:jc w:val="left"/>
        <w:rPr>
          <w:rFonts w:hint="eastAsia" w:ascii="仿宋_GB2312" w:hAnsi="仿宋_GB2312" w:eastAsia="仿宋_GB2312" w:cs="仿宋_GB2312"/>
          <w:b/>
          <w:bCs/>
          <w:i w:val="0"/>
          <w:iCs/>
          <w:color w:val="auto"/>
          <w:kern w:val="0"/>
          <w:sz w:val="32"/>
          <w:szCs w:val="32"/>
          <w:lang w:val="zh-CN"/>
        </w:rPr>
      </w:pPr>
      <w:r>
        <w:rPr>
          <w:rFonts w:hint="eastAsia" w:ascii="仿宋_GB2312" w:hAnsi="仿宋_GB2312" w:eastAsia="仿宋_GB2312" w:cs="仿宋_GB2312"/>
          <w:b/>
          <w:bCs/>
          <w:i w:val="0"/>
          <w:iCs/>
          <w:color w:val="auto"/>
          <w:kern w:val="0"/>
          <w:sz w:val="32"/>
          <w:szCs w:val="32"/>
        </w:rPr>
        <w:t>（二）决算单位构成</w:t>
      </w:r>
    </w:p>
    <w:p>
      <w:pPr>
        <w:widowControl/>
        <w:spacing w:line="600" w:lineRule="exact"/>
        <w:ind w:firstLine="640" w:firstLineChars="200"/>
        <w:rPr>
          <w:rFonts w:hint="eastAsia" w:ascii="仿宋" w:hAnsi="仿宋" w:eastAsia="仿宋" w:cs="仿宋"/>
          <w:i/>
          <w:color w:val="auto"/>
          <w:kern w:val="0"/>
          <w:sz w:val="32"/>
          <w:szCs w:val="32"/>
        </w:rPr>
      </w:pPr>
      <w:r>
        <w:rPr>
          <w:rFonts w:hint="eastAsia" w:ascii="仿宋" w:hAnsi="仿宋" w:eastAsia="仿宋" w:cs="仿宋"/>
          <w:b w:val="0"/>
          <w:bCs w:val="0"/>
          <w:i w:val="0"/>
          <w:iCs/>
          <w:color w:val="auto"/>
          <w:kern w:val="0"/>
          <w:sz w:val="32"/>
          <w:szCs w:val="32"/>
          <w:lang w:val="zh-CN"/>
        </w:rPr>
        <w:t>隆回县西洋江镇中心学校</w:t>
      </w:r>
      <w:r>
        <w:rPr>
          <w:rFonts w:hint="eastAsia" w:ascii="仿宋" w:hAnsi="仿宋" w:eastAsia="仿宋" w:cs="仿宋"/>
          <w:i w:val="0"/>
          <w:iCs/>
          <w:color w:val="auto"/>
          <w:kern w:val="0"/>
          <w:sz w:val="32"/>
          <w:szCs w:val="32"/>
          <w:lang w:val="zh-CN"/>
        </w:rPr>
        <w:t>202</w:t>
      </w:r>
      <w:r>
        <w:rPr>
          <w:rFonts w:hint="eastAsia" w:ascii="仿宋" w:hAnsi="仿宋" w:eastAsia="仿宋" w:cs="仿宋"/>
          <w:i w:val="0"/>
          <w:iCs/>
          <w:color w:val="auto"/>
          <w:kern w:val="0"/>
          <w:sz w:val="32"/>
          <w:szCs w:val="32"/>
          <w:lang w:val="en-US" w:eastAsia="zh-CN"/>
        </w:rPr>
        <w:t>2</w:t>
      </w:r>
      <w:r>
        <w:rPr>
          <w:rFonts w:hint="eastAsia" w:ascii="仿宋" w:hAnsi="仿宋" w:eastAsia="仿宋" w:cs="仿宋"/>
          <w:i w:val="0"/>
          <w:iCs/>
          <w:color w:val="auto"/>
          <w:kern w:val="0"/>
          <w:sz w:val="32"/>
          <w:szCs w:val="32"/>
          <w:lang w:val="zh-CN"/>
        </w:rPr>
        <w:t>年部门决算汇总公开单位构成包括：</w:t>
      </w:r>
      <w:r>
        <w:rPr>
          <w:rFonts w:hint="eastAsia" w:ascii="仿宋" w:hAnsi="仿宋" w:eastAsia="仿宋" w:cs="仿宋"/>
          <w:b w:val="0"/>
          <w:bCs w:val="0"/>
          <w:i w:val="0"/>
          <w:iCs/>
          <w:color w:val="auto"/>
          <w:kern w:val="0"/>
          <w:sz w:val="32"/>
          <w:szCs w:val="32"/>
          <w:lang w:val="zh-CN"/>
        </w:rPr>
        <w:t>隆回县西洋江镇中心学校</w:t>
      </w:r>
      <w:r>
        <w:rPr>
          <w:rFonts w:hint="eastAsia" w:ascii="仿宋" w:hAnsi="仿宋" w:eastAsia="仿宋" w:cs="仿宋"/>
          <w:bCs/>
          <w:color w:val="auto"/>
          <w:kern w:val="0"/>
          <w:sz w:val="32"/>
          <w:szCs w:val="32"/>
        </w:rPr>
        <w:t>本级以及</w:t>
      </w:r>
      <w:r>
        <w:rPr>
          <w:rFonts w:hint="eastAsia" w:ascii="仿宋" w:hAnsi="仿宋" w:eastAsia="仿宋" w:cs="仿宋"/>
          <w:color w:val="auto"/>
          <w:sz w:val="32"/>
          <w:szCs w:val="32"/>
        </w:rPr>
        <w:t>西洋江镇中学、</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苏河中学、西洋江</w:t>
      </w:r>
      <w:r>
        <w:rPr>
          <w:rFonts w:hint="eastAsia" w:ascii="仿宋" w:hAnsi="仿宋" w:eastAsia="仿宋" w:cs="仿宋"/>
          <w:color w:val="auto"/>
          <w:sz w:val="32"/>
          <w:szCs w:val="32"/>
          <w:lang w:eastAsia="zh-CN"/>
        </w:rPr>
        <w:t>镇五星中学</w:t>
      </w:r>
      <w:r>
        <w:rPr>
          <w:rFonts w:hint="eastAsia" w:ascii="仿宋" w:hAnsi="仿宋" w:eastAsia="仿宋" w:cs="仿宋"/>
          <w:color w:val="auto"/>
          <w:sz w:val="32"/>
          <w:szCs w:val="32"/>
        </w:rPr>
        <w:t>、西洋江镇中心小学、</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五星完小、</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苏河完小</w:t>
      </w:r>
      <w:r>
        <w:rPr>
          <w:rFonts w:hint="eastAsia" w:ascii="仿宋" w:hAnsi="仿宋" w:eastAsia="仿宋" w:cs="仿宋"/>
          <w:color w:val="auto"/>
          <w:sz w:val="32"/>
          <w:szCs w:val="32"/>
          <w:lang w:eastAsia="zh-CN"/>
        </w:rPr>
        <w:t>、西洋江镇幼儿园</w:t>
      </w: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个独立编制机构单位</w:t>
      </w:r>
      <w:r>
        <w:rPr>
          <w:rFonts w:hint="eastAsia" w:ascii="仿宋" w:hAnsi="仿宋" w:eastAsia="仿宋" w:cs="仿宋"/>
          <w:bCs/>
          <w:color w:val="auto"/>
          <w:kern w:val="0"/>
          <w:sz w:val="32"/>
          <w:szCs w:val="32"/>
        </w:rPr>
        <w:t>。</w:t>
      </w:r>
    </w:p>
    <w:p>
      <w:pPr>
        <w:autoSpaceDE w:val="0"/>
        <w:autoSpaceDN w:val="0"/>
        <w:adjustRightInd w:val="0"/>
        <w:spacing w:line="520" w:lineRule="exact"/>
        <w:jc w:val="left"/>
        <w:rPr>
          <w:rFonts w:hint="eastAsia" w:eastAsia="黑体"/>
          <w:color w:val="auto"/>
          <w:sz w:val="44"/>
          <w:szCs w:val="44"/>
          <w:highlight w:val="white"/>
          <w:lang w:val="zh-CN"/>
        </w:rPr>
      </w:pPr>
      <w:r>
        <w:rPr>
          <w:rFonts w:hint="eastAsia" w:ascii="黑体" w:eastAsia="黑体" w:cs="黑体"/>
          <w:color w:val="auto"/>
          <w:sz w:val="32"/>
          <w:szCs w:val="32"/>
          <w:highlight w:val="white"/>
        </w:rPr>
        <w:t>第二部分</w:t>
      </w:r>
      <w:r>
        <w:rPr>
          <w:rFonts w:ascii="黑体" w:eastAsia="黑体" w:cs="黑体"/>
          <w:color w:val="auto"/>
          <w:sz w:val="32"/>
          <w:szCs w:val="32"/>
          <w:highlight w:val="white"/>
        </w:rPr>
        <w:t xml:space="preserve"> </w:t>
      </w:r>
      <w:r>
        <w:rPr>
          <w:rFonts w:hint="eastAsia" w:ascii="黑体" w:eastAsia="黑体" w:cs="黑体"/>
          <w:color w:val="auto"/>
          <w:sz w:val="32"/>
          <w:szCs w:val="32"/>
          <w:highlight w:val="white"/>
          <w:lang w:val="en-US" w:eastAsia="zh-CN"/>
        </w:rPr>
        <w:t xml:space="preserve"> </w:t>
      </w:r>
      <w:r>
        <w:rPr>
          <w:rFonts w:ascii="黑体" w:eastAsia="黑体" w:cs="黑体"/>
          <w:color w:val="auto"/>
          <w:sz w:val="32"/>
          <w:szCs w:val="32"/>
          <w:highlight w:val="white"/>
        </w:rPr>
        <w:t>202</w:t>
      </w:r>
      <w:r>
        <w:rPr>
          <w:rFonts w:hint="eastAsia" w:ascii="黑体" w:eastAsia="黑体" w:cs="黑体"/>
          <w:color w:val="auto"/>
          <w:sz w:val="32"/>
          <w:szCs w:val="32"/>
          <w:highlight w:val="white"/>
          <w:lang w:val="en-US" w:eastAsia="zh-CN"/>
        </w:rPr>
        <w:t>2</w:t>
      </w:r>
      <w:r>
        <w:rPr>
          <w:rFonts w:hint="eastAsia" w:ascii="黑体" w:eastAsia="黑体" w:cs="黑体"/>
          <w:color w:val="auto"/>
          <w:sz w:val="32"/>
          <w:szCs w:val="32"/>
          <w:highlight w:val="white"/>
        </w:rPr>
        <w:t>年度部门决算表（见附表）</w:t>
      </w:r>
    </w:p>
    <w:p>
      <w:pPr>
        <w:autoSpaceDE w:val="0"/>
        <w:autoSpaceDN w:val="0"/>
        <w:adjustRightInd w:val="0"/>
        <w:spacing w:line="520" w:lineRule="exact"/>
        <w:jc w:val="left"/>
        <w:rPr>
          <w:rFonts w:hint="eastAsia" w:eastAsia="黑体"/>
          <w:color w:val="auto"/>
          <w:sz w:val="44"/>
          <w:szCs w:val="44"/>
          <w:highlight w:val="white"/>
          <w:lang w:val="zh-CN"/>
        </w:rPr>
      </w:pPr>
    </w:p>
    <w:p>
      <w:pPr>
        <w:autoSpaceDE w:val="0"/>
        <w:autoSpaceDN w:val="0"/>
        <w:adjustRightInd w:val="0"/>
        <w:spacing w:line="520" w:lineRule="exact"/>
        <w:jc w:val="left"/>
        <w:rPr>
          <w:rFonts w:hint="eastAsia" w:eastAsia="黑体"/>
          <w:color w:val="auto"/>
          <w:sz w:val="44"/>
          <w:szCs w:val="44"/>
          <w:highlight w:val="white"/>
          <w:lang w:val="zh-CN"/>
        </w:rPr>
      </w:pPr>
      <w:r>
        <w:rPr>
          <w:rFonts w:hint="eastAsia" w:ascii="黑体" w:eastAsia="黑体" w:cs="黑体"/>
          <w:color w:val="auto"/>
          <w:sz w:val="32"/>
          <w:szCs w:val="32"/>
          <w:highlight w:val="white"/>
        </w:rPr>
        <w:t>第三部分</w:t>
      </w:r>
      <w:r>
        <w:rPr>
          <w:rFonts w:ascii="黑体" w:eastAsia="黑体" w:cs="黑体"/>
          <w:color w:val="auto"/>
          <w:sz w:val="32"/>
          <w:szCs w:val="32"/>
          <w:highlight w:val="white"/>
        </w:rPr>
        <w:t xml:space="preserve"> </w:t>
      </w:r>
      <w:r>
        <w:rPr>
          <w:rFonts w:hint="eastAsia" w:ascii="黑体" w:eastAsia="黑体" w:cs="黑体"/>
          <w:color w:val="auto"/>
          <w:sz w:val="32"/>
          <w:szCs w:val="32"/>
          <w:highlight w:val="white"/>
          <w:lang w:val="en-US" w:eastAsia="zh-CN"/>
        </w:rPr>
        <w:t xml:space="preserve"> </w:t>
      </w:r>
      <w:r>
        <w:rPr>
          <w:rFonts w:ascii="黑体" w:eastAsia="黑体" w:cs="黑体"/>
          <w:color w:val="auto"/>
          <w:sz w:val="32"/>
          <w:szCs w:val="32"/>
          <w:highlight w:val="white"/>
        </w:rPr>
        <w:t>202</w:t>
      </w:r>
      <w:r>
        <w:rPr>
          <w:rFonts w:hint="eastAsia" w:ascii="黑体" w:eastAsia="黑体" w:cs="黑体"/>
          <w:color w:val="auto"/>
          <w:sz w:val="32"/>
          <w:szCs w:val="32"/>
          <w:highlight w:val="white"/>
          <w:lang w:val="en-US" w:eastAsia="zh-CN"/>
        </w:rPr>
        <w:t>2</w:t>
      </w:r>
      <w:r>
        <w:rPr>
          <w:rFonts w:hint="eastAsia" w:ascii="黑体" w:eastAsia="黑体" w:cs="黑体"/>
          <w:color w:val="auto"/>
          <w:sz w:val="32"/>
          <w:szCs w:val="32"/>
          <w:highlight w:val="white"/>
        </w:rPr>
        <w:t>年度部门决算情况说明</w:t>
      </w:r>
    </w:p>
    <w:p>
      <w:pPr>
        <w:pStyle w:val="4"/>
        <w:keepNext w:val="0"/>
        <w:keepLines w:val="0"/>
        <w:pageBreakBefore w:val="0"/>
        <w:widowControl w:val="0"/>
        <w:kinsoku/>
        <w:wordWrap/>
        <w:overflowPunct/>
        <w:topLinePunct w:val="0"/>
        <w:bidi w:val="0"/>
        <w:snapToGrid/>
        <w:spacing w:line="600" w:lineRule="exact"/>
        <w:ind w:firstLine="880" w:firstLineChars="200"/>
        <w:textAlignment w:val="auto"/>
        <w:rPr>
          <w:rFonts w:hint="eastAsia" w:ascii="黑体" w:hAnsi="黑体" w:eastAsia="黑体" w:cs="黑体"/>
          <w:b w:val="0"/>
          <w:bCs/>
          <w:color w:val="auto"/>
          <w:sz w:val="32"/>
          <w:szCs w:val="32"/>
        </w:rPr>
      </w:pPr>
      <w:r>
        <w:rPr>
          <w:rFonts w:hint="eastAsia" w:eastAsia="黑体"/>
          <w:color w:val="auto"/>
          <w:sz w:val="44"/>
          <w:szCs w:val="44"/>
          <w:highlight w:val="white"/>
          <w:lang w:val="zh-CN"/>
        </w:rPr>
        <w:t xml:space="preserve">  </w:t>
      </w:r>
      <w:r>
        <w:rPr>
          <w:rFonts w:hint="eastAsia" w:ascii="仿宋_GB2312" w:hAnsi="Times New Roman" w:eastAsia="仿宋_GB2312" w:cs="黑体"/>
          <w:b/>
          <w:color w:val="auto"/>
          <w:sz w:val="32"/>
          <w:szCs w:val="32"/>
          <w:highlight w:val="white"/>
          <w:lang w:val="zh-CN" w:eastAsia="zh-CN"/>
        </w:rPr>
        <w:t xml:space="preserve"> </w:t>
      </w:r>
      <w:r>
        <w:rPr>
          <w:rFonts w:hint="eastAsia" w:ascii="黑体" w:hAnsi="黑体" w:eastAsia="黑体" w:cs="黑体"/>
          <w:b w:val="0"/>
          <w:bCs/>
          <w:color w:val="auto"/>
          <w:sz w:val="32"/>
          <w:szCs w:val="32"/>
        </w:rPr>
        <w:t>一、收入支出决算总体情况说明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lang w:eastAsia="zh-CN"/>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年度收、支总计</w:t>
      </w:r>
      <w:r>
        <w:rPr>
          <w:rFonts w:hint="eastAsia" w:ascii="仿宋" w:hAnsi="仿宋" w:eastAsia="仿宋" w:cs="仿宋"/>
          <w:color w:val="auto"/>
          <w:sz w:val="32"/>
          <w:szCs w:val="32"/>
          <w:lang w:val="en-US" w:eastAsia="zh-CN"/>
        </w:rPr>
        <w:t>5122</w:t>
      </w:r>
      <w:r>
        <w:rPr>
          <w:rFonts w:hint="eastAsia" w:ascii="仿宋" w:hAnsi="仿宋" w:eastAsia="仿宋" w:cs="仿宋"/>
          <w:color w:val="auto"/>
          <w:sz w:val="32"/>
          <w:szCs w:val="32"/>
        </w:rPr>
        <w:t>万元。与上年相比，增加</w:t>
      </w:r>
      <w:r>
        <w:rPr>
          <w:rFonts w:hint="eastAsia" w:ascii="仿宋" w:hAnsi="仿宋" w:eastAsia="仿宋" w:cs="仿宋"/>
          <w:color w:val="auto"/>
          <w:sz w:val="32"/>
          <w:szCs w:val="32"/>
          <w:lang w:val="en-US" w:eastAsia="zh-CN"/>
        </w:rPr>
        <w:t>537.78</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11.7</w:t>
      </w:r>
      <w:r>
        <w:rPr>
          <w:rFonts w:hint="eastAsia" w:ascii="仿宋" w:hAnsi="仿宋" w:eastAsia="仿宋" w:cs="仿宋"/>
          <w:color w:val="auto"/>
          <w:sz w:val="32"/>
          <w:szCs w:val="32"/>
        </w:rPr>
        <w:t>%，主要是因为</w:t>
      </w:r>
      <w:r>
        <w:rPr>
          <w:rFonts w:hint="eastAsia" w:ascii="仿宋" w:hAnsi="仿宋" w:eastAsia="仿宋" w:cs="仿宋"/>
          <w:color w:val="auto"/>
          <w:sz w:val="32"/>
          <w:szCs w:val="32"/>
          <w:lang w:eastAsia="zh-CN"/>
        </w:rPr>
        <w:t>增量绩效工资在当年度发放到位及基本工资增加。</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二、收入决算情况说明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202</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年度收入合计</w:t>
      </w:r>
      <w:r>
        <w:rPr>
          <w:rFonts w:hint="eastAsia" w:ascii="仿宋" w:hAnsi="仿宋" w:eastAsia="仿宋" w:cs="仿宋"/>
          <w:b w:val="0"/>
          <w:bCs w:val="0"/>
          <w:color w:val="auto"/>
          <w:sz w:val="32"/>
          <w:szCs w:val="32"/>
          <w:lang w:val="en-US" w:eastAsia="zh-CN"/>
        </w:rPr>
        <w:t>5122</w:t>
      </w:r>
      <w:r>
        <w:rPr>
          <w:rFonts w:hint="eastAsia" w:ascii="仿宋" w:hAnsi="仿宋" w:eastAsia="仿宋" w:cs="仿宋"/>
          <w:b w:val="0"/>
          <w:bCs w:val="0"/>
          <w:color w:val="auto"/>
          <w:sz w:val="32"/>
          <w:szCs w:val="32"/>
        </w:rPr>
        <w:t>万元，其中：财政拨款收入</w:t>
      </w:r>
      <w:r>
        <w:rPr>
          <w:rFonts w:hint="eastAsia" w:ascii="仿宋" w:hAnsi="仿宋" w:eastAsia="仿宋" w:cs="仿宋"/>
          <w:b w:val="0"/>
          <w:bCs w:val="0"/>
          <w:color w:val="auto"/>
          <w:sz w:val="32"/>
          <w:szCs w:val="32"/>
          <w:lang w:val="en-US" w:eastAsia="zh-CN"/>
        </w:rPr>
        <w:t>5122</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val="0"/>
          <w:color w:val="auto"/>
          <w:sz w:val="32"/>
          <w:szCs w:val="32"/>
        </w:rPr>
        <w:t>%；上级补助收入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%；事业收入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%；经营收入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%；附属单位上缴收入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%；其他收入</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三、支出决算情况说明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年度支出合计</w:t>
      </w:r>
      <w:r>
        <w:rPr>
          <w:rFonts w:hint="eastAsia" w:ascii="仿宋" w:hAnsi="仿宋" w:eastAsia="仿宋" w:cs="仿宋"/>
          <w:color w:val="auto"/>
          <w:sz w:val="32"/>
          <w:szCs w:val="32"/>
          <w:lang w:val="en-US" w:eastAsia="zh-CN"/>
        </w:rPr>
        <w:t>5122</w:t>
      </w:r>
      <w:r>
        <w:rPr>
          <w:rFonts w:hint="eastAsia" w:ascii="仿宋" w:hAnsi="仿宋" w:eastAsia="仿宋" w:cs="仿宋"/>
          <w:color w:val="auto"/>
          <w:sz w:val="32"/>
          <w:szCs w:val="32"/>
        </w:rPr>
        <w:t>万元，其中：基本支出4792.89万元，占</w:t>
      </w:r>
      <w:r>
        <w:rPr>
          <w:rFonts w:hint="eastAsia" w:ascii="仿宋" w:hAnsi="仿宋" w:eastAsia="仿宋" w:cs="仿宋"/>
          <w:color w:val="auto"/>
          <w:sz w:val="32"/>
          <w:szCs w:val="32"/>
          <w:lang w:val="en-US" w:eastAsia="zh-CN"/>
        </w:rPr>
        <w:t>93.57</w:t>
      </w:r>
      <w:r>
        <w:rPr>
          <w:rFonts w:hint="eastAsia" w:ascii="仿宋" w:hAnsi="仿宋" w:eastAsia="仿宋" w:cs="仿宋"/>
          <w:color w:val="auto"/>
          <w:sz w:val="32"/>
          <w:szCs w:val="32"/>
        </w:rPr>
        <w:t>%；项目支出329.12万元，占</w:t>
      </w:r>
      <w:r>
        <w:rPr>
          <w:rFonts w:hint="eastAsia" w:ascii="仿宋" w:hAnsi="仿宋" w:eastAsia="仿宋" w:cs="仿宋"/>
          <w:color w:val="auto"/>
          <w:sz w:val="32"/>
          <w:szCs w:val="32"/>
          <w:lang w:val="en-US" w:eastAsia="zh-CN"/>
        </w:rPr>
        <w:t>6.43</w:t>
      </w:r>
      <w:r>
        <w:rPr>
          <w:rFonts w:hint="eastAsia" w:ascii="仿宋" w:hAnsi="仿宋" w:eastAsia="仿宋" w:cs="仿宋"/>
          <w:color w:val="auto"/>
          <w:sz w:val="32"/>
          <w:szCs w:val="32"/>
        </w:rPr>
        <w:t>%；上缴上级支出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%；经营支出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%；对附属单位补助支出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万元，占</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四、财政拨款收入支出决算总体情况说明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年度财政拨款收、支总计</w:t>
      </w:r>
      <w:r>
        <w:rPr>
          <w:rFonts w:hint="eastAsia" w:ascii="仿宋" w:hAnsi="仿宋" w:eastAsia="仿宋" w:cs="仿宋"/>
          <w:color w:val="auto"/>
          <w:sz w:val="32"/>
          <w:szCs w:val="32"/>
          <w:lang w:val="en-US" w:eastAsia="zh-CN"/>
        </w:rPr>
        <w:t>5122</w:t>
      </w:r>
      <w:r>
        <w:rPr>
          <w:rFonts w:hint="eastAsia" w:ascii="仿宋" w:hAnsi="仿宋" w:eastAsia="仿宋" w:cs="仿宋"/>
          <w:color w:val="auto"/>
          <w:sz w:val="32"/>
          <w:szCs w:val="32"/>
        </w:rPr>
        <w:t>万元，与上年相比，增加</w:t>
      </w:r>
      <w:r>
        <w:rPr>
          <w:rFonts w:hint="eastAsia" w:ascii="仿宋" w:hAnsi="仿宋" w:eastAsia="仿宋" w:cs="仿宋"/>
          <w:color w:val="auto"/>
          <w:sz w:val="32"/>
          <w:szCs w:val="32"/>
          <w:lang w:val="en-US" w:eastAsia="zh-CN"/>
        </w:rPr>
        <w:t>537.78</w:t>
      </w:r>
      <w:r>
        <w:rPr>
          <w:rFonts w:hint="eastAsia" w:ascii="仿宋" w:hAnsi="仿宋" w:eastAsia="仿宋" w:cs="仿宋"/>
          <w:color w:val="auto"/>
          <w:sz w:val="32"/>
          <w:szCs w:val="32"/>
        </w:rPr>
        <w:t>万元,增长</w:t>
      </w:r>
      <w:r>
        <w:rPr>
          <w:rFonts w:hint="eastAsia" w:ascii="仿宋" w:hAnsi="仿宋" w:eastAsia="仿宋" w:cs="仿宋"/>
          <w:color w:val="auto"/>
          <w:sz w:val="32"/>
          <w:szCs w:val="32"/>
          <w:lang w:val="en-US" w:eastAsia="zh-CN"/>
        </w:rPr>
        <w:t>11.7</w:t>
      </w:r>
      <w:r>
        <w:rPr>
          <w:rFonts w:hint="eastAsia" w:ascii="仿宋" w:hAnsi="仿宋" w:eastAsia="仿宋" w:cs="仿宋"/>
          <w:color w:val="auto"/>
          <w:sz w:val="32"/>
          <w:szCs w:val="32"/>
        </w:rPr>
        <w:t>%，主要是因为</w:t>
      </w:r>
      <w:r>
        <w:rPr>
          <w:rFonts w:hint="eastAsia" w:ascii="仿宋" w:hAnsi="仿宋" w:eastAsia="仿宋" w:cs="仿宋"/>
          <w:color w:val="auto"/>
          <w:sz w:val="32"/>
          <w:szCs w:val="32"/>
          <w:lang w:eastAsia="zh-CN"/>
        </w:rPr>
        <w:t>增量绩效工资在当年度发放到位及基本工资增加。</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五、一般公共预算财政拨款支出决算情况说明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（一）财政拨款支出决算总体情况</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年度财政拨款支出</w:t>
      </w:r>
      <w:r>
        <w:rPr>
          <w:rFonts w:hint="eastAsia" w:ascii="Times New Roman" w:hAnsi="Times New Roman" w:eastAsia="仿宋_GB2312"/>
          <w:color w:val="auto"/>
          <w:sz w:val="32"/>
          <w:szCs w:val="32"/>
          <w:lang w:val="en-US" w:eastAsia="zh-CN"/>
        </w:rPr>
        <w:t>5122</w:t>
      </w:r>
      <w:r>
        <w:rPr>
          <w:rFonts w:hint="eastAsia" w:ascii="Times New Roman" w:hAnsi="Times New Roman" w:eastAsia="仿宋_GB2312"/>
          <w:color w:val="auto"/>
          <w:sz w:val="32"/>
          <w:szCs w:val="32"/>
        </w:rPr>
        <w:t>万元，占本年支出合计的</w:t>
      </w:r>
      <w:r>
        <w:rPr>
          <w:rFonts w:hint="eastAsia" w:ascii="Times New Roman" w:hAnsi="Times New Roman" w:eastAsia="仿宋_GB2312"/>
          <w:color w:val="auto"/>
          <w:sz w:val="32"/>
          <w:szCs w:val="32"/>
          <w:lang w:val="en-US" w:eastAsia="zh-CN"/>
        </w:rPr>
        <w:t>100</w:t>
      </w:r>
      <w:r>
        <w:rPr>
          <w:rFonts w:hint="eastAsia" w:ascii="Times New Roman" w:hAnsi="Times New Roman" w:eastAsia="仿宋_GB2312"/>
          <w:color w:val="auto"/>
          <w:sz w:val="32"/>
          <w:szCs w:val="32"/>
        </w:rPr>
        <w:t>%，与上年相比，财政拨款支出增加</w:t>
      </w:r>
      <w:r>
        <w:rPr>
          <w:rFonts w:hint="eastAsia" w:ascii="仿宋" w:hAnsi="仿宋" w:eastAsia="仿宋" w:cs="仿宋"/>
          <w:color w:val="auto"/>
          <w:sz w:val="32"/>
          <w:szCs w:val="32"/>
          <w:lang w:val="en-US" w:eastAsia="zh-CN"/>
        </w:rPr>
        <w:t>537.78</w:t>
      </w:r>
      <w:r>
        <w:rPr>
          <w:rFonts w:hint="eastAsia" w:ascii="Times New Roman" w:hAnsi="Times New Roman" w:eastAsia="仿宋_GB2312"/>
          <w:color w:val="auto"/>
          <w:sz w:val="32"/>
          <w:szCs w:val="32"/>
        </w:rPr>
        <w:t>万元，增长</w:t>
      </w:r>
      <w:r>
        <w:rPr>
          <w:rFonts w:hint="eastAsia" w:ascii="Times New Roman" w:hAnsi="Times New Roman" w:eastAsia="仿宋_GB2312"/>
          <w:color w:val="auto"/>
          <w:sz w:val="32"/>
          <w:szCs w:val="32"/>
          <w:lang w:val="en-US" w:eastAsia="zh-CN"/>
        </w:rPr>
        <w:t>11.7</w:t>
      </w:r>
      <w:r>
        <w:rPr>
          <w:rFonts w:hint="eastAsia" w:ascii="Times New Roman" w:hAnsi="Times New Roman" w:eastAsia="仿宋_GB2312"/>
          <w:color w:val="auto"/>
          <w:sz w:val="32"/>
          <w:szCs w:val="32"/>
        </w:rPr>
        <w:t>%，主要是因为</w:t>
      </w:r>
      <w:r>
        <w:rPr>
          <w:rFonts w:hint="eastAsia" w:ascii="仿宋" w:hAnsi="仿宋" w:eastAsia="仿宋" w:cs="仿宋"/>
          <w:color w:val="auto"/>
          <w:sz w:val="32"/>
          <w:szCs w:val="32"/>
          <w:lang w:eastAsia="zh-CN"/>
        </w:rPr>
        <w:t>增量绩效工资在当年度发放到位及基本工资增加。</w:t>
      </w:r>
    </w:p>
    <w:p>
      <w:pPr>
        <w:pStyle w:val="4"/>
        <w:keepNext w:val="0"/>
        <w:keepLines w:val="0"/>
        <w:pageBreakBefore w:val="0"/>
        <w:widowControl w:val="0"/>
        <w:kinsoku/>
        <w:wordWrap/>
        <w:overflowPunct/>
        <w:topLinePunct w:val="0"/>
        <w:bidi w:val="0"/>
        <w:snapToGrid/>
        <w:spacing w:line="600" w:lineRule="exact"/>
        <w:ind w:firstLine="480" w:firstLineChars="15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（二）财政拨款支出决算结构情况</w:t>
      </w:r>
    </w:p>
    <w:p>
      <w:pPr>
        <w:pStyle w:val="4"/>
        <w:ind w:firstLine="640" w:firstLineChars="200"/>
        <w:rPr>
          <w:rFonts w:hint="eastAsia" w:ascii="仿宋" w:hAnsi="仿宋" w:eastAsia="仿宋" w:cs="仿宋"/>
          <w:i/>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年度财政拨款支出</w:t>
      </w:r>
      <w:r>
        <w:rPr>
          <w:rFonts w:hint="eastAsia" w:ascii="仿宋" w:hAnsi="仿宋" w:eastAsia="仿宋" w:cs="仿宋"/>
          <w:color w:val="auto"/>
          <w:sz w:val="32"/>
          <w:szCs w:val="32"/>
          <w:lang w:val="en-US" w:eastAsia="zh-CN"/>
        </w:rPr>
        <w:t>5122</w:t>
      </w:r>
      <w:r>
        <w:rPr>
          <w:rFonts w:hint="eastAsia" w:ascii="仿宋" w:hAnsi="仿宋" w:eastAsia="仿宋" w:cs="仿宋"/>
          <w:color w:val="auto"/>
          <w:sz w:val="32"/>
          <w:szCs w:val="32"/>
        </w:rPr>
        <w:t>万元，主要用于以下方面：教育（类）支出5086.84万元，占</w:t>
      </w:r>
      <w:r>
        <w:rPr>
          <w:rFonts w:hint="eastAsia" w:ascii="仿宋" w:hAnsi="仿宋" w:eastAsia="仿宋" w:cs="仿宋"/>
          <w:color w:val="auto"/>
          <w:sz w:val="32"/>
          <w:szCs w:val="32"/>
          <w:lang w:val="en-US" w:eastAsia="zh-CN"/>
        </w:rPr>
        <w:t>99.31</w:t>
      </w:r>
      <w:r>
        <w:rPr>
          <w:rFonts w:hint="eastAsia" w:ascii="仿宋" w:hAnsi="仿宋" w:eastAsia="仿宋" w:cs="仿宋"/>
          <w:color w:val="auto"/>
          <w:sz w:val="32"/>
          <w:szCs w:val="32"/>
        </w:rPr>
        <w:t>%;卫生健康支出33.67</w:t>
      </w:r>
      <w:r>
        <w:rPr>
          <w:rFonts w:hint="eastAsia" w:ascii="仿宋" w:hAnsi="仿宋" w:eastAsia="仿宋" w:cs="仿宋"/>
          <w:color w:val="auto"/>
          <w:sz w:val="32"/>
          <w:szCs w:val="32"/>
          <w:lang w:eastAsia="zh-CN"/>
        </w:rPr>
        <w:t>万元，占</w:t>
      </w:r>
      <w:r>
        <w:rPr>
          <w:rFonts w:hint="eastAsia" w:ascii="仿宋" w:hAnsi="仿宋" w:eastAsia="仿宋" w:cs="仿宋"/>
          <w:color w:val="auto"/>
          <w:sz w:val="32"/>
          <w:szCs w:val="32"/>
          <w:lang w:val="en-US" w:eastAsia="zh-CN"/>
        </w:rPr>
        <w:t>0.66%；其他支出1.5万元，占0.03%。</w:t>
      </w:r>
    </w:p>
    <w:p>
      <w:pPr>
        <w:pStyle w:val="4"/>
        <w:keepNext w:val="0"/>
        <w:keepLines w:val="0"/>
        <w:pageBreakBefore w:val="0"/>
        <w:widowControl w:val="0"/>
        <w:kinsoku/>
        <w:wordWrap/>
        <w:overflowPunct/>
        <w:topLinePunct w:val="0"/>
        <w:bidi w:val="0"/>
        <w:snapToGrid/>
        <w:spacing w:line="600" w:lineRule="exact"/>
        <w:ind w:firstLine="320" w:firstLineChars="100"/>
        <w:textAlignment w:val="auto"/>
        <w:rPr>
          <w:rFonts w:hint="eastAsia" w:ascii="楷体" w:hAnsi="楷体" w:eastAsia="楷体" w:cs="楷体"/>
          <w:b w:val="0"/>
          <w:bCs/>
          <w:color w:val="auto"/>
          <w:sz w:val="32"/>
          <w:szCs w:val="32"/>
        </w:rPr>
      </w:pPr>
      <w:r>
        <w:rPr>
          <w:rFonts w:hint="eastAsia" w:ascii="楷体" w:hAnsi="楷体" w:eastAsia="楷体" w:cs="楷体"/>
          <w:b w:val="0"/>
          <w:bCs/>
          <w:color w:val="auto"/>
          <w:sz w:val="32"/>
          <w:szCs w:val="32"/>
        </w:rPr>
        <w:t>（三）财政拨款支出决算具体情况</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年度财政拨款支出年初预算数为</w:t>
      </w:r>
      <w:r>
        <w:rPr>
          <w:rFonts w:hint="eastAsia" w:ascii="仿宋" w:hAnsi="仿宋" w:eastAsia="仿宋" w:cs="仿宋"/>
          <w:color w:val="auto"/>
          <w:sz w:val="32"/>
          <w:szCs w:val="32"/>
          <w:lang w:val="en-US" w:eastAsia="zh-CN"/>
        </w:rPr>
        <w:t>5122</w:t>
      </w:r>
      <w:r>
        <w:rPr>
          <w:rFonts w:hint="eastAsia" w:ascii="仿宋" w:hAnsi="仿宋" w:eastAsia="仿宋" w:cs="仿宋"/>
          <w:color w:val="auto"/>
          <w:sz w:val="32"/>
          <w:szCs w:val="32"/>
        </w:rPr>
        <w:t>万元，支出决算数为</w:t>
      </w:r>
      <w:r>
        <w:rPr>
          <w:rFonts w:hint="eastAsia" w:ascii="仿宋" w:hAnsi="仿宋" w:eastAsia="仿宋" w:cs="仿宋"/>
          <w:color w:val="auto"/>
          <w:sz w:val="32"/>
          <w:szCs w:val="32"/>
          <w:lang w:val="en-US" w:eastAsia="zh-CN"/>
        </w:rPr>
        <w:t>5122</w:t>
      </w:r>
      <w:r>
        <w:rPr>
          <w:rFonts w:hint="eastAsia" w:ascii="仿宋" w:hAnsi="仿宋" w:eastAsia="仿宋" w:cs="仿宋"/>
          <w:color w:val="auto"/>
          <w:sz w:val="32"/>
          <w:szCs w:val="32"/>
        </w:rPr>
        <w:t>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%，其中：</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1、教育支出（类）教育管理事务（款）其他教育管理事务支出（项）。</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年初预算为10.22万元，支出决算为10.22万元，完成年初预算的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%，决算数等于年初预算数是因为</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中心学校严格按照年初预算数执行。</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2、教育支出（类）普通教育（款）学前教育（项）。</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年初预算为55.7万元，支出决算为55.7万元，完成年初预算的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%，决算数等于年初预算数是因为</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中心学校严格按照年初预算数执行。</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、教育支出（类）普通教育（款）</w:t>
      </w:r>
      <w:r>
        <w:rPr>
          <w:rFonts w:hint="eastAsia" w:ascii="仿宋" w:hAnsi="仿宋" w:eastAsia="仿宋" w:cs="仿宋"/>
          <w:color w:val="auto"/>
          <w:sz w:val="32"/>
          <w:szCs w:val="32"/>
          <w:lang w:eastAsia="zh-CN"/>
        </w:rPr>
        <w:t>小学</w:t>
      </w:r>
      <w:r>
        <w:rPr>
          <w:rFonts w:hint="eastAsia" w:ascii="仿宋" w:hAnsi="仿宋" w:eastAsia="仿宋" w:cs="仿宋"/>
          <w:color w:val="auto"/>
          <w:sz w:val="32"/>
          <w:szCs w:val="32"/>
        </w:rPr>
        <w:t>教育（项）。</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年初预算为956.25万元，支出决算为956.25万元，完成年初预算的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%，决算数等于年初预算数是因为</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中心学校严格按照年初预算数执行。</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、教育支出（类）普通教育（款）</w:t>
      </w:r>
      <w:r>
        <w:rPr>
          <w:rFonts w:hint="eastAsia" w:ascii="仿宋" w:hAnsi="仿宋" w:eastAsia="仿宋" w:cs="仿宋"/>
          <w:color w:val="auto"/>
          <w:sz w:val="32"/>
          <w:szCs w:val="32"/>
          <w:lang w:eastAsia="zh-CN"/>
        </w:rPr>
        <w:t>初中</w:t>
      </w:r>
      <w:r>
        <w:rPr>
          <w:rFonts w:hint="eastAsia" w:ascii="仿宋" w:hAnsi="仿宋" w:eastAsia="仿宋" w:cs="仿宋"/>
          <w:color w:val="auto"/>
          <w:sz w:val="32"/>
          <w:szCs w:val="32"/>
        </w:rPr>
        <w:t>教育（项）。</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年初预算为205.95万元，支出决算为205.95万元，完成年初预算的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%，决算数等于年初预算数是因为</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中心学校严格按照年初预算数执行。</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、教育支出（类）普通教育（款）</w:t>
      </w:r>
      <w:r>
        <w:rPr>
          <w:rFonts w:hint="eastAsia" w:ascii="仿宋" w:hAnsi="仿宋" w:eastAsia="仿宋" w:cs="仿宋"/>
          <w:color w:val="auto"/>
          <w:sz w:val="32"/>
          <w:szCs w:val="32"/>
          <w:lang w:eastAsia="zh-CN"/>
        </w:rPr>
        <w:t>高中</w:t>
      </w:r>
      <w:r>
        <w:rPr>
          <w:rFonts w:hint="eastAsia" w:ascii="仿宋" w:hAnsi="仿宋" w:eastAsia="仿宋" w:cs="仿宋"/>
          <w:color w:val="auto"/>
          <w:sz w:val="32"/>
          <w:szCs w:val="32"/>
        </w:rPr>
        <w:t>教育（项）。</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年初预算为329.12万元，支出决算为329.12万元，完成年初预算的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%，决算数等于年初预算数是因为</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中心学校严格按照年初预算数执行。</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rPr>
        <w:t>、教育支出（类）普通教育（款）</w:t>
      </w:r>
      <w:r>
        <w:rPr>
          <w:rFonts w:hint="eastAsia" w:ascii="仿宋" w:hAnsi="仿宋" w:eastAsia="仿宋" w:cs="仿宋"/>
          <w:color w:val="auto"/>
          <w:sz w:val="32"/>
          <w:szCs w:val="32"/>
          <w:lang w:eastAsia="zh-CN"/>
        </w:rPr>
        <w:t>其他普通教育支出</w:t>
      </w:r>
      <w:r>
        <w:rPr>
          <w:rFonts w:hint="eastAsia" w:ascii="仿宋" w:hAnsi="仿宋" w:eastAsia="仿宋" w:cs="仿宋"/>
          <w:color w:val="auto"/>
          <w:sz w:val="32"/>
          <w:szCs w:val="32"/>
        </w:rPr>
        <w:t>（项）。</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年初预算为3464.49万元，支出决算为3464.49万元，完成年初预算的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%，决算数等于年初预算数是因为</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中心学校严格按照年初预算数执行。</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7</w:t>
      </w:r>
      <w:r>
        <w:rPr>
          <w:rFonts w:hint="eastAsia" w:ascii="仿宋" w:hAnsi="仿宋" w:eastAsia="仿宋" w:cs="仿宋"/>
          <w:color w:val="auto"/>
          <w:sz w:val="32"/>
          <w:szCs w:val="32"/>
        </w:rPr>
        <w:t>、教育支出（类）职业教育（款）</w:t>
      </w:r>
      <w:r>
        <w:rPr>
          <w:rFonts w:hint="eastAsia" w:ascii="仿宋" w:hAnsi="仿宋" w:eastAsia="仿宋" w:cs="仿宋"/>
          <w:color w:val="auto"/>
          <w:sz w:val="32"/>
          <w:szCs w:val="32"/>
          <w:lang w:eastAsia="zh-CN"/>
        </w:rPr>
        <w:t>中等职业教育</w:t>
      </w:r>
      <w:r>
        <w:rPr>
          <w:rFonts w:hint="eastAsia" w:ascii="仿宋" w:hAnsi="仿宋" w:eastAsia="仿宋" w:cs="仿宋"/>
          <w:color w:val="auto"/>
          <w:sz w:val="32"/>
          <w:szCs w:val="32"/>
        </w:rPr>
        <w:t>（项）。</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年初预算为65.11万元，支出决算为65.11万元，完成年初预算的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%，决算数等于年初预算数是因为</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中心学校严格按照年初预算数执行。</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8</w:t>
      </w:r>
      <w:r>
        <w:rPr>
          <w:rFonts w:hint="eastAsia" w:ascii="仿宋" w:hAnsi="仿宋" w:eastAsia="仿宋" w:cs="仿宋"/>
          <w:color w:val="auto"/>
          <w:sz w:val="32"/>
          <w:szCs w:val="32"/>
        </w:rPr>
        <w:t>、卫生健康支出（类）行政事业单位医疗（款）</w:t>
      </w:r>
      <w:r>
        <w:rPr>
          <w:rFonts w:hint="eastAsia" w:ascii="仿宋" w:hAnsi="仿宋" w:eastAsia="仿宋" w:cs="仿宋"/>
          <w:color w:val="auto"/>
          <w:sz w:val="32"/>
          <w:szCs w:val="32"/>
          <w:lang w:eastAsia="zh-CN"/>
        </w:rPr>
        <w:t>公务员医疗补助</w:t>
      </w:r>
      <w:r>
        <w:rPr>
          <w:rFonts w:hint="eastAsia" w:ascii="仿宋" w:hAnsi="仿宋" w:eastAsia="仿宋" w:cs="仿宋"/>
          <w:color w:val="auto"/>
          <w:sz w:val="32"/>
          <w:szCs w:val="32"/>
        </w:rPr>
        <w:t>（项）。</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年初预算为33.67万元，支出决算为33.67万元，完成年初预算的</w:t>
      </w:r>
      <w:r>
        <w:rPr>
          <w:rFonts w:hint="eastAsia" w:ascii="仿宋" w:hAnsi="仿宋" w:eastAsia="仿宋" w:cs="仿宋"/>
          <w:color w:val="auto"/>
          <w:sz w:val="32"/>
          <w:szCs w:val="32"/>
          <w:lang w:val="en-US" w:eastAsia="zh-CN"/>
        </w:rPr>
        <w:t>100</w:t>
      </w:r>
      <w:r>
        <w:rPr>
          <w:rFonts w:hint="eastAsia" w:ascii="仿宋" w:hAnsi="仿宋" w:eastAsia="仿宋" w:cs="仿宋"/>
          <w:color w:val="auto"/>
          <w:sz w:val="32"/>
          <w:szCs w:val="32"/>
        </w:rPr>
        <w:t>%，决算数等于年初预算数是因为</w:t>
      </w:r>
      <w:r>
        <w:rPr>
          <w:rFonts w:hint="eastAsia" w:ascii="仿宋" w:hAnsi="仿宋" w:eastAsia="仿宋" w:cs="仿宋"/>
          <w:color w:val="auto"/>
          <w:sz w:val="32"/>
          <w:szCs w:val="32"/>
          <w:lang w:eastAsia="zh-CN"/>
        </w:rPr>
        <w:t>西洋江镇</w:t>
      </w:r>
      <w:r>
        <w:rPr>
          <w:rFonts w:hint="eastAsia" w:ascii="仿宋" w:hAnsi="仿宋" w:eastAsia="仿宋" w:cs="仿宋"/>
          <w:color w:val="auto"/>
          <w:sz w:val="32"/>
          <w:szCs w:val="32"/>
        </w:rPr>
        <w:t>中心学校严格按照年初预算数执行。</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六、一般公共预算财政拨款基本支出决算情况说明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年度财政拨款基本支出4791.39万元，其中：</w:t>
      </w:r>
    </w:p>
    <w:p>
      <w:pPr>
        <w:pStyle w:val="4"/>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color w:val="auto"/>
          <w:sz w:val="32"/>
          <w:szCs w:val="32"/>
          <w:lang w:eastAsia="zh-CN"/>
        </w:rPr>
      </w:pPr>
      <w:r>
        <w:rPr>
          <w:rFonts w:hint="eastAsia" w:ascii="仿宋" w:hAnsi="仿宋" w:eastAsia="仿宋" w:cs="仿宋"/>
          <w:b/>
          <w:bCs/>
          <w:color w:val="auto"/>
          <w:sz w:val="32"/>
          <w:szCs w:val="32"/>
        </w:rPr>
        <w:t>人员经费</w:t>
      </w:r>
      <w:r>
        <w:rPr>
          <w:rFonts w:hint="eastAsia" w:ascii="仿宋" w:hAnsi="仿宋" w:eastAsia="仿宋" w:cs="仿宋"/>
          <w:color w:val="auto"/>
          <w:sz w:val="32"/>
          <w:szCs w:val="32"/>
        </w:rPr>
        <w:t>4106.55万元，占基本支出的</w:t>
      </w:r>
      <w:r>
        <w:rPr>
          <w:rFonts w:hint="eastAsia" w:ascii="仿宋" w:hAnsi="仿宋" w:eastAsia="仿宋" w:cs="仿宋"/>
          <w:color w:val="auto"/>
          <w:sz w:val="32"/>
          <w:szCs w:val="32"/>
          <w:lang w:val="en-US" w:eastAsia="zh-CN"/>
        </w:rPr>
        <w:t>85.7</w:t>
      </w:r>
      <w:r>
        <w:rPr>
          <w:rFonts w:hint="eastAsia" w:ascii="仿宋" w:hAnsi="仿宋" w:eastAsia="仿宋" w:cs="仿宋"/>
          <w:color w:val="auto"/>
          <w:sz w:val="32"/>
          <w:szCs w:val="32"/>
        </w:rPr>
        <w:t>%,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w:t>
      </w:r>
      <w:r>
        <w:rPr>
          <w:rFonts w:hint="eastAsia" w:ascii="仿宋" w:hAnsi="仿宋" w:eastAsia="仿宋" w:cs="仿宋"/>
          <w:color w:val="auto"/>
          <w:sz w:val="32"/>
          <w:szCs w:val="32"/>
          <w:lang w:eastAsia="zh-CN"/>
        </w:rPr>
        <w:t>。</w:t>
      </w:r>
    </w:p>
    <w:p>
      <w:pPr>
        <w:pStyle w:val="4"/>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仿宋" w:hAnsi="仿宋" w:eastAsia="仿宋" w:cs="仿宋"/>
          <w:b/>
          <w:color w:val="auto"/>
          <w:sz w:val="32"/>
          <w:szCs w:val="32"/>
        </w:rPr>
      </w:pPr>
      <w:r>
        <w:rPr>
          <w:rFonts w:hint="eastAsia" w:ascii="仿宋" w:hAnsi="仿宋" w:eastAsia="仿宋" w:cs="仿宋"/>
          <w:b/>
          <w:bCs/>
          <w:color w:val="auto"/>
          <w:sz w:val="32"/>
          <w:szCs w:val="32"/>
        </w:rPr>
        <w:t>公用经费</w:t>
      </w:r>
      <w:r>
        <w:rPr>
          <w:rFonts w:hint="eastAsia" w:ascii="仿宋" w:hAnsi="仿宋" w:eastAsia="仿宋" w:cs="仿宋"/>
          <w:color w:val="auto"/>
          <w:sz w:val="32"/>
          <w:szCs w:val="32"/>
        </w:rPr>
        <w:t>684.84万元，占基本支出的</w:t>
      </w:r>
      <w:r>
        <w:rPr>
          <w:rFonts w:hint="eastAsia" w:ascii="仿宋" w:hAnsi="仿宋" w:eastAsia="仿宋" w:cs="仿宋"/>
          <w:color w:val="auto"/>
          <w:sz w:val="32"/>
          <w:szCs w:val="32"/>
          <w:lang w:val="en-US" w:eastAsia="zh-CN"/>
        </w:rPr>
        <w:t>14.29</w:t>
      </w:r>
      <w:r>
        <w:rPr>
          <w:rFonts w:hint="eastAsia" w:ascii="仿宋" w:hAnsi="仿宋" w:eastAsia="仿宋" w:cs="仿宋"/>
          <w:color w:val="auto"/>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交通工具购置、文物和陈列品购置、无形资产购置、其他资本性支出、赠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b/>
          <w:color w:val="auto"/>
          <w:sz w:val="32"/>
          <w:szCs w:val="32"/>
        </w:rPr>
      </w:pPr>
      <w:r>
        <w:rPr>
          <w:rFonts w:hint="eastAsia" w:ascii="黑体" w:hAnsi="黑体" w:eastAsia="黑体" w:cs="黑体"/>
          <w:b w:val="0"/>
          <w:bCs/>
          <w:color w:val="auto"/>
          <w:sz w:val="32"/>
          <w:szCs w:val="32"/>
        </w:rPr>
        <w:t>七、财政拨款三公经费支出决算情况说明</w:t>
      </w:r>
    </w:p>
    <w:p>
      <w:pPr>
        <w:pStyle w:val="4"/>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楷体" w:hAnsi="楷体" w:eastAsia="楷体" w:cs="楷体"/>
          <w:b/>
          <w:bCs w:val="0"/>
          <w:color w:val="auto"/>
          <w:sz w:val="32"/>
          <w:szCs w:val="32"/>
        </w:rPr>
      </w:pPr>
      <w:r>
        <w:rPr>
          <w:rFonts w:hint="eastAsia" w:ascii="楷体" w:hAnsi="楷体" w:eastAsia="楷体" w:cs="楷体"/>
          <w:b/>
          <w:bCs w:val="0"/>
          <w:color w:val="auto"/>
          <w:sz w:val="32"/>
          <w:szCs w:val="32"/>
        </w:rPr>
        <w:t>（一）“三公”经费财政拨款支出决算总体情况说明</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“三公”经费财政拨款支出预算为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万元，支出决算为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万元，完成预算的</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%，其中：</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因公出国（境）费支出预算为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万元，支出决算为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公务接待费支出预算为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万元，支出决算为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公务用车购置费支出预算为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万元，支出决算为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公务用车运行维护费支出预算为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万元，支出决算为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w:t>
      </w:r>
    </w:p>
    <w:p>
      <w:pPr>
        <w:pStyle w:val="4"/>
        <w:keepNext w:val="0"/>
        <w:keepLines w:val="0"/>
        <w:pageBreakBefore w:val="0"/>
        <w:widowControl w:val="0"/>
        <w:kinsoku/>
        <w:wordWrap/>
        <w:overflowPunct/>
        <w:topLinePunct w:val="0"/>
        <w:bidi w:val="0"/>
        <w:snapToGrid/>
        <w:spacing w:line="600" w:lineRule="exact"/>
        <w:ind w:firstLine="643" w:firstLineChars="200"/>
        <w:textAlignment w:val="auto"/>
        <w:rPr>
          <w:rFonts w:hint="eastAsia" w:ascii="楷体" w:hAnsi="楷体" w:eastAsia="楷体" w:cs="楷体"/>
          <w:b/>
          <w:bCs w:val="0"/>
          <w:color w:val="auto"/>
          <w:sz w:val="32"/>
          <w:szCs w:val="32"/>
        </w:rPr>
      </w:pPr>
      <w:r>
        <w:rPr>
          <w:rFonts w:hint="eastAsia" w:ascii="楷体" w:hAnsi="楷体" w:eastAsia="楷体" w:cs="楷体"/>
          <w:b/>
          <w:bCs w:val="0"/>
          <w:color w:val="auto"/>
          <w:sz w:val="32"/>
          <w:szCs w:val="32"/>
        </w:rPr>
        <w:t>（二）“三公”经费财政拨款支出决算具体情况说明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年度“三公”经费财政拨款支出决算中，公务接待费支出决算</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万元，占</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%,因公出国（境）费支出决算</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万元，占</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%,公务用车购置费及运行维护费支出决算</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万元，占</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%。其中：</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仿宋_GB2312" w:cs="楷体"/>
          <w:b/>
          <w:bCs/>
          <w:i/>
          <w:color w:val="auto"/>
          <w:sz w:val="32"/>
          <w:szCs w:val="32"/>
          <w:lang w:eastAsia="zh-CN"/>
        </w:rPr>
      </w:pPr>
      <w:r>
        <w:rPr>
          <w:rFonts w:hint="eastAsia" w:ascii="Times New Roman" w:hAnsi="Times New Roman" w:eastAsia="仿宋_GB2312"/>
          <w:color w:val="auto"/>
          <w:sz w:val="32"/>
          <w:szCs w:val="32"/>
          <w:lang w:val="en-US" w:eastAsia="zh-CN"/>
        </w:rPr>
        <w:t>1、</w:t>
      </w:r>
      <w:r>
        <w:rPr>
          <w:rFonts w:hint="eastAsia" w:ascii="Times New Roman" w:hAnsi="Times New Roman" w:eastAsia="仿宋_GB2312"/>
          <w:color w:val="auto"/>
          <w:sz w:val="32"/>
          <w:szCs w:val="32"/>
        </w:rPr>
        <w:t>因公出国（境）费支出决算为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万元，全年安排因公出国（境）团组</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个，累计</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人次</w:t>
      </w:r>
      <w:r>
        <w:rPr>
          <w:rFonts w:hint="eastAsia" w:ascii="楷体" w:hAnsi="楷体" w:eastAsia="楷体" w:cs="楷体"/>
          <w:b/>
          <w:bCs/>
          <w:i/>
          <w:color w:val="auto"/>
          <w:sz w:val="32"/>
          <w:szCs w:val="32"/>
        </w:rPr>
        <w:t>,</w:t>
      </w:r>
      <w:r>
        <w:rPr>
          <w:rFonts w:hint="eastAsia" w:ascii="Times New Roman" w:hAnsi="Times New Roman" w:eastAsia="仿宋_GB2312"/>
          <w:color w:val="auto"/>
          <w:sz w:val="32"/>
          <w:szCs w:val="32"/>
        </w:rPr>
        <w:t>开支内容包括：</w:t>
      </w:r>
      <w:r>
        <w:rPr>
          <w:rFonts w:hint="eastAsia" w:ascii="Times New Roman" w:hAnsi="Times New Roman" w:eastAsia="仿宋_GB2312"/>
          <w:b/>
          <w:color w:val="auto"/>
          <w:sz w:val="32"/>
          <w:szCs w:val="32"/>
          <w:lang w:eastAsia="zh-CN"/>
        </w:rPr>
        <w:t>无。</w:t>
      </w:r>
    </w:p>
    <w:p>
      <w:pPr>
        <w:pStyle w:val="4"/>
        <w:keepNext w:val="0"/>
        <w:keepLines w:val="0"/>
        <w:pageBreakBefore w:val="0"/>
        <w:widowControl w:val="0"/>
        <w:kinsoku/>
        <w:wordWrap/>
        <w:overflowPunct/>
        <w:topLinePunct w:val="0"/>
        <w:bidi w:val="0"/>
        <w:snapToGrid/>
        <w:spacing w:line="600" w:lineRule="exact"/>
        <w:ind w:firstLine="800" w:firstLineChars="250"/>
        <w:textAlignment w:val="auto"/>
        <w:rPr>
          <w:rFonts w:ascii="Times New Roman" w:hAnsi="Times New Roman" w:eastAsia="仿宋_GB2312"/>
          <w:color w:val="auto"/>
          <w:sz w:val="32"/>
          <w:szCs w:val="32"/>
        </w:rPr>
      </w:pPr>
      <w:r>
        <w:rPr>
          <w:rFonts w:hint="eastAsia" w:ascii="Times New Roman" w:hAnsi="Times New Roman" w:eastAsia="仿宋_GB2312"/>
          <w:color w:val="auto"/>
          <w:sz w:val="32"/>
          <w:szCs w:val="32"/>
        </w:rPr>
        <w:t>2、公务接待费支出决算为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万元，全年共接待来访团组</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个、来宾</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人次。</w:t>
      </w:r>
    </w:p>
    <w:p>
      <w:pPr>
        <w:keepNext w:val="0"/>
        <w:keepLines w:val="0"/>
        <w:pageBreakBefore w:val="0"/>
        <w:widowControl w:val="0"/>
        <w:kinsoku/>
        <w:wordWrap/>
        <w:overflowPunct/>
        <w:topLinePunct w:val="0"/>
        <w:bidi w:val="0"/>
        <w:snapToGrid/>
        <w:spacing w:line="600" w:lineRule="exact"/>
        <w:ind w:firstLine="800" w:firstLineChars="250"/>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color w:val="auto"/>
          <w:sz w:val="32"/>
          <w:szCs w:val="32"/>
        </w:rPr>
        <w:t>3、公务用车购置费及运行维护费支出决算为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万元，其中：公务用车购置费</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万元，（单位本级或某二级机构）更新公务用车</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辆。公务用车运行维护费</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万元，截止202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年12月31日，我单位开支财政拨款的公务用车保有量为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辆。</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八、政府性基金预算收入支出决算情况</w:t>
      </w:r>
    </w:p>
    <w:p>
      <w:pPr>
        <w:pStyle w:val="4"/>
        <w:keepNext w:val="0"/>
        <w:keepLines w:val="0"/>
        <w:pageBreakBefore w:val="0"/>
        <w:widowControl w:val="0"/>
        <w:kinsoku/>
        <w:wordWrap/>
        <w:overflowPunct/>
        <w:topLinePunct w:val="0"/>
        <w:bidi w:val="0"/>
        <w:snapToGrid/>
        <w:spacing w:line="600" w:lineRule="exact"/>
        <w:textAlignment w:val="auto"/>
        <w:rPr>
          <w:rFonts w:hint="eastAsia" w:ascii="楷体" w:hAnsi="楷体" w:eastAsia="楷体" w:cs="楷体"/>
          <w:b/>
          <w:bCs/>
          <w:i/>
          <w:color w:val="auto"/>
          <w:kern w:val="0"/>
          <w:sz w:val="32"/>
          <w:szCs w:val="32"/>
          <w:lang w:val="en-US" w:eastAsia="zh-CN" w:bidi="ar-SA"/>
        </w:rPr>
      </w:pPr>
      <w:r>
        <w:rPr>
          <w:rFonts w:hint="eastAsia" w:ascii="Times New Roman" w:hAnsi="Times New Roman" w:eastAsia="仿宋_GB2312"/>
          <w:color w:val="auto"/>
          <w:sz w:val="32"/>
          <w:szCs w:val="32"/>
        </w:rPr>
        <w:t xml:space="preserve">     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年度政府性基金预算财政拨款收入</w:t>
      </w:r>
      <w:r>
        <w:rPr>
          <w:rFonts w:hint="eastAsia" w:ascii="Times New Roman" w:hAnsi="Times New Roman" w:eastAsia="仿宋_GB2312"/>
          <w:color w:val="auto"/>
          <w:sz w:val="32"/>
          <w:szCs w:val="32"/>
          <w:lang w:val="en-US" w:eastAsia="zh-CN"/>
        </w:rPr>
        <w:t>1.5</w:t>
      </w:r>
      <w:r>
        <w:rPr>
          <w:rFonts w:hint="eastAsia" w:ascii="Times New Roman" w:hAnsi="Times New Roman" w:eastAsia="仿宋_GB2312"/>
          <w:color w:val="auto"/>
          <w:sz w:val="32"/>
          <w:szCs w:val="32"/>
        </w:rPr>
        <w:t>万元；年初结转和结余</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万元；支出</w:t>
      </w:r>
      <w:r>
        <w:rPr>
          <w:rFonts w:hint="eastAsia" w:ascii="Times New Roman" w:hAnsi="Times New Roman" w:eastAsia="仿宋_GB2312"/>
          <w:color w:val="auto"/>
          <w:sz w:val="32"/>
          <w:szCs w:val="32"/>
          <w:lang w:val="en-US" w:eastAsia="zh-CN"/>
        </w:rPr>
        <w:t>1.5</w:t>
      </w:r>
      <w:r>
        <w:rPr>
          <w:rFonts w:hint="eastAsia" w:ascii="Times New Roman" w:hAnsi="Times New Roman" w:eastAsia="仿宋_GB2312"/>
          <w:color w:val="auto"/>
          <w:sz w:val="32"/>
          <w:szCs w:val="32"/>
        </w:rPr>
        <w:t>万元，其中基本支出</w:t>
      </w:r>
      <w:r>
        <w:rPr>
          <w:rFonts w:hint="eastAsia" w:ascii="Times New Roman" w:hAnsi="Times New Roman" w:eastAsia="仿宋_GB2312"/>
          <w:color w:val="auto"/>
          <w:sz w:val="32"/>
          <w:szCs w:val="32"/>
          <w:lang w:val="en-US" w:eastAsia="zh-CN"/>
        </w:rPr>
        <w:t>1.5</w:t>
      </w:r>
      <w:r>
        <w:rPr>
          <w:rFonts w:hint="eastAsia" w:ascii="Times New Roman" w:hAnsi="Times New Roman" w:eastAsia="仿宋_GB2312"/>
          <w:color w:val="auto"/>
          <w:sz w:val="32"/>
          <w:szCs w:val="32"/>
        </w:rPr>
        <w:t>万元，项目支出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万元；年末结转和结余</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万元。具体情况如下：</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1、其他支出（类）彩票公益金安排的支出（款）用于教育事业的彩票公益金支出（项）。</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sz w:val="32"/>
          <w:szCs w:val="32"/>
          <w:lang w:eastAsia="zh-CN"/>
        </w:rPr>
      </w:pPr>
      <w:r>
        <w:rPr>
          <w:rFonts w:hint="eastAsia" w:ascii="仿宋" w:hAnsi="仿宋" w:eastAsia="仿宋" w:cs="仿宋"/>
          <w:b w:val="0"/>
          <w:bCs w:val="0"/>
          <w:color w:val="auto"/>
          <w:sz w:val="32"/>
          <w:szCs w:val="32"/>
        </w:rPr>
        <w:t>年初预算为</w:t>
      </w:r>
      <w:r>
        <w:rPr>
          <w:rFonts w:hint="eastAsia" w:ascii="仿宋" w:hAnsi="仿宋" w:eastAsia="仿宋" w:cs="仿宋"/>
          <w:b w:val="0"/>
          <w:bCs w:val="0"/>
          <w:color w:val="auto"/>
          <w:sz w:val="32"/>
          <w:szCs w:val="32"/>
          <w:lang w:val="en-US" w:eastAsia="zh-CN"/>
        </w:rPr>
        <w:t>1.5</w:t>
      </w:r>
      <w:r>
        <w:rPr>
          <w:rFonts w:hint="eastAsia" w:ascii="仿宋" w:hAnsi="仿宋" w:eastAsia="仿宋" w:cs="仿宋"/>
          <w:b w:val="0"/>
          <w:bCs w:val="0"/>
          <w:color w:val="auto"/>
          <w:sz w:val="32"/>
          <w:szCs w:val="32"/>
        </w:rPr>
        <w:t>万元，支出决算为</w:t>
      </w:r>
      <w:r>
        <w:rPr>
          <w:rFonts w:hint="eastAsia" w:ascii="仿宋" w:hAnsi="仿宋" w:eastAsia="仿宋" w:cs="仿宋"/>
          <w:b w:val="0"/>
          <w:bCs w:val="0"/>
          <w:color w:val="auto"/>
          <w:sz w:val="32"/>
          <w:szCs w:val="32"/>
          <w:lang w:val="en-US" w:eastAsia="zh-CN"/>
        </w:rPr>
        <w:t>1.5</w:t>
      </w:r>
      <w:r>
        <w:rPr>
          <w:rFonts w:hint="eastAsia" w:ascii="仿宋" w:hAnsi="仿宋" w:eastAsia="仿宋" w:cs="仿宋"/>
          <w:b w:val="0"/>
          <w:bCs w:val="0"/>
          <w:color w:val="auto"/>
          <w:sz w:val="32"/>
          <w:szCs w:val="32"/>
        </w:rPr>
        <w:t>万元，完成年初预算的</w:t>
      </w:r>
      <w:r>
        <w:rPr>
          <w:rFonts w:hint="eastAsia" w:ascii="仿宋" w:hAnsi="仿宋" w:eastAsia="仿宋" w:cs="仿宋"/>
          <w:b w:val="0"/>
          <w:bCs w:val="0"/>
          <w:color w:val="auto"/>
          <w:sz w:val="32"/>
          <w:szCs w:val="32"/>
          <w:lang w:val="en-US" w:eastAsia="zh-CN"/>
        </w:rPr>
        <w:t>100</w:t>
      </w:r>
      <w:r>
        <w:rPr>
          <w:rFonts w:hint="eastAsia" w:ascii="仿宋" w:hAnsi="仿宋" w:eastAsia="仿宋" w:cs="仿宋"/>
          <w:b w:val="0"/>
          <w:bCs w:val="0"/>
          <w:color w:val="auto"/>
          <w:sz w:val="32"/>
          <w:szCs w:val="32"/>
        </w:rPr>
        <w:t>%，决算数等于年初预算数是因为</w:t>
      </w:r>
      <w:r>
        <w:rPr>
          <w:rFonts w:hint="eastAsia" w:ascii="仿宋" w:hAnsi="仿宋" w:eastAsia="仿宋" w:cs="仿宋"/>
          <w:b w:val="0"/>
          <w:bCs w:val="0"/>
          <w:color w:val="auto"/>
          <w:sz w:val="32"/>
          <w:szCs w:val="32"/>
          <w:lang w:eastAsia="zh-CN"/>
        </w:rPr>
        <w:t>西洋江镇</w:t>
      </w:r>
      <w:r>
        <w:rPr>
          <w:rFonts w:hint="eastAsia" w:ascii="仿宋" w:hAnsi="仿宋" w:eastAsia="仿宋" w:cs="仿宋"/>
          <w:b w:val="0"/>
          <w:bCs w:val="0"/>
          <w:color w:val="auto"/>
          <w:sz w:val="32"/>
          <w:szCs w:val="32"/>
        </w:rPr>
        <w:t>中心学校严格按照年初预算数执行</w:t>
      </w:r>
      <w:r>
        <w:rPr>
          <w:rFonts w:hint="eastAsia" w:ascii="仿宋" w:hAnsi="仿宋" w:eastAsia="仿宋" w:cs="仿宋"/>
          <w:b w:val="0"/>
          <w:bCs w:val="0"/>
          <w:color w:val="auto"/>
          <w:sz w:val="32"/>
          <w:szCs w:val="32"/>
          <w:lang w:eastAsia="zh-CN"/>
        </w:rPr>
        <w:t>。</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九、关于机关运行经费支出说明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b w:val="0"/>
          <w:bCs w:val="0"/>
          <w:color w:val="auto"/>
          <w:sz w:val="32"/>
          <w:szCs w:val="32"/>
        </w:rPr>
      </w:pPr>
      <w:r>
        <w:rPr>
          <w:rFonts w:hint="eastAsia" w:ascii="仿宋" w:hAnsi="仿宋" w:eastAsia="仿宋" w:cs="仿宋"/>
          <w:b w:val="0"/>
          <w:bCs w:val="0"/>
          <w:color w:val="auto"/>
          <w:sz w:val="32"/>
          <w:szCs w:val="32"/>
        </w:rPr>
        <w:t>本部门202</w:t>
      </w:r>
      <w:r>
        <w:rPr>
          <w:rFonts w:hint="eastAsia" w:ascii="仿宋" w:hAnsi="仿宋" w:eastAsia="仿宋" w:cs="仿宋"/>
          <w:b w:val="0"/>
          <w:bCs w:val="0"/>
          <w:color w:val="auto"/>
          <w:sz w:val="32"/>
          <w:szCs w:val="32"/>
          <w:lang w:val="en-US" w:eastAsia="zh-CN"/>
        </w:rPr>
        <w:t>2</w:t>
      </w:r>
      <w:r>
        <w:rPr>
          <w:rFonts w:hint="eastAsia" w:ascii="仿宋" w:hAnsi="仿宋" w:eastAsia="仿宋" w:cs="仿宋"/>
          <w:b w:val="0"/>
          <w:bCs w:val="0"/>
          <w:color w:val="auto"/>
          <w:sz w:val="32"/>
          <w:szCs w:val="32"/>
        </w:rPr>
        <w:t>年度机关运行经费支出</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万元，比上年决算数</w:t>
      </w:r>
      <w:r>
        <w:rPr>
          <w:rFonts w:hint="eastAsia" w:ascii="仿宋" w:hAnsi="仿宋" w:eastAsia="仿宋" w:cs="仿宋"/>
          <w:b w:val="0"/>
          <w:bCs w:val="0"/>
          <w:color w:val="auto"/>
          <w:sz w:val="32"/>
          <w:szCs w:val="32"/>
          <w:lang w:eastAsia="zh-CN"/>
        </w:rPr>
        <w:t>增加</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 xml:space="preserve"> 万元，增长</w:t>
      </w:r>
      <w:r>
        <w:rPr>
          <w:rFonts w:hint="eastAsia" w:ascii="仿宋" w:hAnsi="仿宋" w:eastAsia="仿宋" w:cs="仿宋"/>
          <w:b w:val="0"/>
          <w:bCs w:val="0"/>
          <w:color w:val="auto"/>
          <w:sz w:val="32"/>
          <w:szCs w:val="32"/>
          <w:lang w:val="en-US" w:eastAsia="zh-CN"/>
        </w:rPr>
        <w:t>0</w:t>
      </w:r>
      <w:r>
        <w:rPr>
          <w:rFonts w:hint="eastAsia" w:ascii="仿宋" w:hAnsi="仿宋" w:eastAsia="仿宋" w:cs="仿宋"/>
          <w:b w:val="0"/>
          <w:bCs w:val="0"/>
          <w:color w:val="auto"/>
          <w:sz w:val="32"/>
          <w:szCs w:val="32"/>
        </w:rPr>
        <w:t>%。</w:t>
      </w:r>
      <w:r>
        <w:rPr>
          <w:rFonts w:hint="eastAsia" w:ascii="仿宋" w:hAnsi="仿宋" w:eastAsia="仿宋" w:cs="仿宋"/>
          <w:b w:val="0"/>
          <w:bCs w:val="0"/>
          <w:color w:val="auto"/>
          <w:sz w:val="32"/>
          <w:szCs w:val="32"/>
          <w:highlight w:val="none"/>
        </w:rPr>
        <w:t>主要原因是本单位性质为财政补助事业单位，部门决算报表没有机关运行经费统计数据。</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十、一般性支出情况说明</w:t>
      </w:r>
    </w:p>
    <w:p>
      <w:pPr>
        <w:pStyle w:val="4"/>
        <w:keepNext w:val="0"/>
        <w:keepLines w:val="0"/>
        <w:pageBreakBefore w:val="0"/>
        <w:widowControl w:val="0"/>
        <w:kinsoku/>
        <w:wordWrap/>
        <w:overflowPunct/>
        <w:topLinePunct w:val="0"/>
        <w:bidi w:val="0"/>
        <w:snapToGrid/>
        <w:spacing w:line="600" w:lineRule="exact"/>
        <w:ind w:firstLine="720" w:firstLineChars="200"/>
        <w:textAlignment w:val="auto"/>
        <w:rPr>
          <w:rFonts w:hint="eastAsia" w:ascii="仿宋" w:hAnsi="仿宋" w:eastAsia="仿宋" w:cs="仿宋"/>
          <w:color w:val="auto"/>
          <w:sz w:val="36"/>
          <w:szCs w:val="36"/>
          <w:lang w:eastAsia="zh-CN"/>
        </w:rPr>
      </w:pPr>
      <w:r>
        <w:rPr>
          <w:rFonts w:hint="eastAsia" w:ascii="仿宋" w:hAnsi="仿宋" w:eastAsia="仿宋" w:cs="仿宋"/>
          <w:color w:val="auto"/>
          <w:sz w:val="36"/>
          <w:szCs w:val="36"/>
        </w:rPr>
        <w:t>202</w:t>
      </w:r>
      <w:r>
        <w:rPr>
          <w:rFonts w:hint="eastAsia" w:ascii="仿宋" w:hAnsi="仿宋" w:eastAsia="仿宋" w:cs="仿宋"/>
          <w:color w:val="auto"/>
          <w:sz w:val="36"/>
          <w:szCs w:val="36"/>
          <w:lang w:val="en-US" w:eastAsia="zh-CN"/>
        </w:rPr>
        <w:t>2</w:t>
      </w:r>
      <w:r>
        <w:rPr>
          <w:rFonts w:hint="eastAsia" w:ascii="仿宋" w:hAnsi="仿宋" w:eastAsia="仿宋" w:cs="仿宋"/>
          <w:color w:val="auto"/>
          <w:sz w:val="36"/>
          <w:szCs w:val="36"/>
        </w:rPr>
        <w:t>年本部门开支会议费</w:t>
      </w:r>
      <w:r>
        <w:rPr>
          <w:rFonts w:hint="eastAsia" w:ascii="仿宋" w:hAnsi="仿宋" w:eastAsia="仿宋" w:cs="仿宋"/>
          <w:color w:val="auto"/>
          <w:sz w:val="36"/>
          <w:szCs w:val="36"/>
          <w:lang w:val="en-US" w:eastAsia="zh-CN"/>
        </w:rPr>
        <w:t>0.82</w:t>
      </w:r>
      <w:r>
        <w:rPr>
          <w:rFonts w:hint="eastAsia" w:ascii="仿宋" w:hAnsi="仿宋" w:eastAsia="仿宋" w:cs="仿宋"/>
          <w:color w:val="auto"/>
          <w:sz w:val="36"/>
          <w:szCs w:val="36"/>
        </w:rPr>
        <w:t>万元，用于召开</w:t>
      </w:r>
      <w:r>
        <w:rPr>
          <w:rFonts w:hint="eastAsia" w:ascii="仿宋" w:hAnsi="仿宋" w:eastAsia="仿宋" w:cs="仿宋"/>
          <w:color w:val="auto"/>
          <w:sz w:val="36"/>
          <w:szCs w:val="36"/>
          <w:lang w:eastAsia="zh-CN"/>
        </w:rPr>
        <w:t>用于</w:t>
      </w:r>
      <w:r>
        <w:rPr>
          <w:rFonts w:hint="eastAsia" w:ascii="仿宋" w:hAnsi="仿宋" w:eastAsia="仿宋" w:cs="仿宋"/>
          <w:color w:val="auto"/>
          <w:kern w:val="0"/>
          <w:sz w:val="32"/>
          <w:szCs w:val="32"/>
        </w:rPr>
        <w:t>召开为教育教学服务的各类会议，人数</w:t>
      </w:r>
      <w:r>
        <w:rPr>
          <w:rFonts w:hint="eastAsia" w:ascii="仿宋" w:hAnsi="仿宋" w:eastAsia="仿宋" w:cs="仿宋"/>
          <w:color w:val="auto"/>
          <w:kern w:val="0"/>
          <w:sz w:val="32"/>
          <w:szCs w:val="32"/>
          <w:lang w:val="en-US" w:eastAsia="zh-CN"/>
        </w:rPr>
        <w:t>800余</w:t>
      </w:r>
      <w:r>
        <w:rPr>
          <w:rFonts w:hint="eastAsia" w:ascii="仿宋" w:hAnsi="仿宋" w:eastAsia="仿宋" w:cs="仿宋"/>
          <w:color w:val="auto"/>
          <w:kern w:val="0"/>
          <w:sz w:val="32"/>
          <w:szCs w:val="32"/>
        </w:rPr>
        <w:t>人次，内容为教育教学研讨会、人居环境卫生、防疫、防溺水等中心工作会议</w:t>
      </w:r>
      <w:r>
        <w:rPr>
          <w:rFonts w:hint="eastAsia" w:ascii="仿宋" w:hAnsi="仿宋" w:eastAsia="仿宋" w:cs="仿宋"/>
          <w:color w:val="auto"/>
          <w:sz w:val="36"/>
          <w:szCs w:val="36"/>
        </w:rPr>
        <w:t>；开支培训费</w:t>
      </w:r>
      <w:r>
        <w:rPr>
          <w:rFonts w:hint="eastAsia" w:ascii="仿宋" w:hAnsi="仿宋" w:eastAsia="仿宋" w:cs="仿宋"/>
          <w:color w:val="auto"/>
          <w:sz w:val="36"/>
          <w:szCs w:val="36"/>
          <w:lang w:val="en-US" w:eastAsia="zh-CN"/>
        </w:rPr>
        <w:t>7.87</w:t>
      </w:r>
      <w:r>
        <w:rPr>
          <w:rFonts w:hint="eastAsia" w:ascii="仿宋" w:hAnsi="仿宋" w:eastAsia="仿宋" w:cs="仿宋"/>
          <w:color w:val="auto"/>
          <w:sz w:val="36"/>
          <w:szCs w:val="36"/>
        </w:rPr>
        <w:t>万元，用于开展</w:t>
      </w:r>
      <w:r>
        <w:rPr>
          <w:rFonts w:hint="eastAsia" w:ascii="仿宋" w:hAnsi="仿宋" w:eastAsia="仿宋" w:cs="仿宋"/>
          <w:color w:val="auto"/>
          <w:kern w:val="0"/>
          <w:sz w:val="32"/>
          <w:szCs w:val="32"/>
        </w:rPr>
        <w:t>教师业务培训，人数</w:t>
      </w:r>
      <w:r>
        <w:rPr>
          <w:rFonts w:hint="eastAsia" w:ascii="仿宋" w:hAnsi="仿宋" w:eastAsia="仿宋" w:cs="仿宋"/>
          <w:color w:val="auto"/>
          <w:kern w:val="0"/>
          <w:sz w:val="32"/>
          <w:szCs w:val="32"/>
          <w:lang w:val="en-US" w:eastAsia="zh-CN"/>
        </w:rPr>
        <w:t>300余</w:t>
      </w:r>
      <w:r>
        <w:rPr>
          <w:rFonts w:hint="eastAsia" w:ascii="仿宋" w:hAnsi="仿宋" w:eastAsia="仿宋" w:cs="仿宋"/>
          <w:color w:val="auto"/>
          <w:kern w:val="0"/>
          <w:sz w:val="32"/>
          <w:szCs w:val="32"/>
        </w:rPr>
        <w:t>人次，内容为教学研讨培训。举办六一、五四、国庆等节庆活动等</w:t>
      </w:r>
      <w:r>
        <w:rPr>
          <w:rFonts w:hint="eastAsia" w:ascii="仿宋" w:hAnsi="仿宋" w:eastAsia="仿宋" w:cs="仿宋"/>
          <w:color w:val="auto"/>
          <w:sz w:val="36"/>
          <w:szCs w:val="36"/>
          <w:lang w:eastAsia="zh-CN"/>
        </w:rPr>
        <w:t>。</w:t>
      </w:r>
      <w:bookmarkStart w:id="0" w:name="_GoBack"/>
      <w:bookmarkEnd w:id="0"/>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十一、关于政府采购支出说明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本部门202</w:t>
      </w:r>
      <w:r>
        <w:rPr>
          <w:rFonts w:hint="eastAsia" w:ascii="Times New Roman" w:hAnsi="Times New Roman" w:eastAsia="仿宋_GB2312"/>
          <w:color w:val="auto"/>
          <w:sz w:val="32"/>
          <w:szCs w:val="32"/>
          <w:lang w:val="en-US" w:eastAsia="zh-CN"/>
        </w:rPr>
        <w:t>2</w:t>
      </w:r>
      <w:r>
        <w:rPr>
          <w:rFonts w:hint="eastAsia" w:ascii="Times New Roman" w:hAnsi="Times New Roman" w:eastAsia="仿宋_GB2312"/>
          <w:color w:val="auto"/>
          <w:sz w:val="32"/>
          <w:szCs w:val="32"/>
        </w:rPr>
        <w:t>年度政府采购支出总额</w:t>
      </w:r>
      <w:r>
        <w:rPr>
          <w:rFonts w:hint="eastAsia" w:ascii="Times New Roman" w:hAnsi="Times New Roman" w:eastAsia="仿宋_GB2312"/>
          <w:color w:val="auto"/>
          <w:sz w:val="32"/>
          <w:szCs w:val="32"/>
          <w:lang w:val="en-US" w:eastAsia="zh-CN"/>
        </w:rPr>
        <w:t>14.4</w:t>
      </w:r>
      <w:r>
        <w:rPr>
          <w:rFonts w:hint="eastAsia" w:ascii="Times New Roman" w:hAnsi="Times New Roman" w:eastAsia="仿宋_GB2312"/>
          <w:color w:val="auto"/>
          <w:sz w:val="32"/>
          <w:szCs w:val="32"/>
        </w:rPr>
        <w:t>万元，其中：政府采购货物支出</w:t>
      </w:r>
      <w:r>
        <w:rPr>
          <w:rFonts w:hint="eastAsia" w:ascii="Times New Roman" w:hAnsi="Times New Roman" w:eastAsia="仿宋_GB2312"/>
          <w:color w:val="auto"/>
          <w:sz w:val="32"/>
          <w:szCs w:val="32"/>
          <w:lang w:val="en-US" w:eastAsia="zh-CN"/>
        </w:rPr>
        <w:t>14.4</w:t>
      </w:r>
      <w:r>
        <w:rPr>
          <w:rFonts w:hint="eastAsia" w:ascii="Times New Roman" w:hAnsi="Times New Roman" w:eastAsia="仿宋_GB2312"/>
          <w:color w:val="auto"/>
          <w:sz w:val="32"/>
          <w:szCs w:val="32"/>
        </w:rPr>
        <w:t>万元、政府采购工程支出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万元、政府采购服务支出</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万元。授予中小企业合同金额</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万元，占政府采购支出总额的</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%，其中：授予小微企业合同金额</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万元，占政府采购支出总额的</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%。货物采购授予中小企业合同金额占货物支出金额的</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%，工程采购授予中小企业合同金额占工程支出金额的</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%，服务采购授予中小企业合同金额占服务支出金额的</w:t>
      </w:r>
      <w:r>
        <w:rPr>
          <w:rFonts w:hint="eastAsia" w:ascii="Times New Roman" w:hAnsi="Times New Roman" w:eastAsia="仿宋_GB2312"/>
          <w:color w:val="auto"/>
          <w:sz w:val="32"/>
          <w:szCs w:val="32"/>
          <w:lang w:val="en-US" w:eastAsia="zh-CN"/>
        </w:rPr>
        <w:t>0</w:t>
      </w:r>
      <w:r>
        <w:rPr>
          <w:rFonts w:hint="eastAsia" w:ascii="Times New Roman" w:hAnsi="Times New Roman" w:eastAsia="仿宋_GB2312"/>
          <w:color w:val="auto"/>
          <w:sz w:val="32"/>
          <w:szCs w:val="32"/>
        </w:rPr>
        <w:t>%。</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十二、关于国有资产占用情况说明</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rPr>
        <w:t>截至202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年12月31日，本单位共有车辆</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辆，其中，主要领导干部用车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辆，机要通信用车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辆、应急保障用车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辆、执法执勤用车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辆、特种专业技术用车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辆、其他用车</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辆；单位价值50万元以上通用设备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台（套）；单位价值100万元以上专用设备</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台（套）。</w:t>
      </w:r>
    </w:p>
    <w:p>
      <w:pPr>
        <w:pStyle w:val="4"/>
        <w:keepNext w:val="0"/>
        <w:keepLines w:val="0"/>
        <w:pageBreakBefore w:val="0"/>
        <w:widowControl w:val="0"/>
        <w:kinsoku/>
        <w:wordWrap/>
        <w:overflowPunct/>
        <w:topLinePunct w:val="0"/>
        <w:bidi w:val="0"/>
        <w:snapToGrid/>
        <w:spacing w:line="600" w:lineRule="exact"/>
        <w:ind w:firstLine="640" w:firstLineChars="200"/>
        <w:textAlignment w:val="auto"/>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十三、关于</w:t>
      </w:r>
      <w:r>
        <w:rPr>
          <w:rFonts w:hint="eastAsia" w:ascii="Times New Roman" w:hAnsi="Times New Roman" w:eastAsia="仿宋_GB2312"/>
          <w:color w:val="auto"/>
          <w:sz w:val="32"/>
          <w:szCs w:val="32"/>
        </w:rPr>
        <w:t>202</w:t>
      </w:r>
      <w:r>
        <w:rPr>
          <w:rFonts w:hint="eastAsia" w:ascii="Times New Roman" w:hAnsi="Times New Roman" w:eastAsia="仿宋_GB2312"/>
          <w:color w:val="auto"/>
          <w:sz w:val="32"/>
          <w:szCs w:val="32"/>
          <w:lang w:val="en-US" w:eastAsia="zh-CN"/>
        </w:rPr>
        <w:t>2</w:t>
      </w:r>
      <w:r>
        <w:rPr>
          <w:rFonts w:hint="eastAsia" w:ascii="黑体" w:hAnsi="黑体" w:eastAsia="黑体" w:cs="黑体"/>
          <w:b w:val="0"/>
          <w:bCs/>
          <w:color w:val="auto"/>
          <w:sz w:val="32"/>
          <w:szCs w:val="32"/>
        </w:rPr>
        <w:t>年度预算绩效情况的说明</w:t>
      </w:r>
    </w:p>
    <w:p>
      <w:pPr>
        <w:pStyle w:val="4"/>
        <w:keepNext w:val="0"/>
        <w:keepLines w:val="0"/>
        <w:pageBreakBefore w:val="0"/>
        <w:widowControl w:val="0"/>
        <w:kinsoku/>
        <w:wordWrap/>
        <w:overflowPunct/>
        <w:topLinePunct w:val="0"/>
        <w:bidi w:val="0"/>
        <w:snapToGrid/>
        <w:spacing w:line="600" w:lineRule="exact"/>
        <w:ind w:firstLine="643" w:firstLineChars="200"/>
        <w:jc w:val="left"/>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（一）</w:t>
      </w:r>
      <w:r>
        <w:rPr>
          <w:rFonts w:hint="eastAsia" w:ascii="楷体" w:hAnsi="楷体" w:eastAsia="楷体" w:cs="楷体"/>
          <w:b/>
          <w:bCs/>
          <w:color w:val="auto"/>
          <w:sz w:val="32"/>
          <w:szCs w:val="32"/>
        </w:rPr>
        <w:t>部门整体支出绩效情况</w:t>
      </w:r>
    </w:p>
    <w:p>
      <w:pPr>
        <w:ind w:firstLine="640" w:firstLineChars="200"/>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2022年决算实行绩效目标管理的项目1个，涉及一般公共预算拨款329.12万元；纳入绩效评价试点的项目0个，涉及一般公共预算拨款0元。重点绩效评价结果为优。</w:t>
      </w:r>
    </w:p>
    <w:p>
      <w:pPr>
        <w:pStyle w:val="4"/>
        <w:ind w:firstLine="640" w:firstLineChars="200"/>
        <w:rPr>
          <w:rFonts w:hint="eastAsia" w:ascii="仿宋" w:hAnsi="仿宋" w:eastAsia="仿宋" w:cs="仿宋"/>
          <w:color w:val="auto"/>
          <w:kern w:val="0"/>
          <w:sz w:val="32"/>
          <w:szCs w:val="32"/>
          <w:highlight w:val="none"/>
          <w:lang w:val="en-US" w:eastAsia="zh-CN" w:bidi="ar-SA"/>
        </w:rPr>
      </w:pPr>
      <w:r>
        <w:rPr>
          <w:rFonts w:hint="eastAsia" w:ascii="仿宋" w:hAnsi="仿宋" w:eastAsia="仿宋" w:cs="仿宋"/>
          <w:color w:val="auto"/>
          <w:kern w:val="0"/>
          <w:sz w:val="32"/>
          <w:szCs w:val="32"/>
          <w:highlight w:val="none"/>
          <w:lang w:val="en-US" w:eastAsia="zh-CN" w:bidi="ar-SA"/>
        </w:rPr>
        <w:t>为推进我单位预算绩效管理工作，促进预算编制的科学化和精细化管理，提高财政资金使用效益，根据《预算法》、《中共中央　国务院关于全面实施预算绩效管理的意见》（中发〔2018〕34号）、《中共湖南省委办公厅　湖南省人民政府办公厅关于全面实施预算绩效管理的实施意见》（湘办发〔2019〕10号）和《隆回县人民政府关于全面推进预算绩效管理的意见》（隆政发〔2013〕17号）、《关于开展2020年部门整体支出和县级财政资金支出绩效评价工作的通知》（隆财绩【2021】2号）、《隆回县2021年财政资金重点绩效评价工作方案》（隆财绩【2021】3）号）等文件精神，安排相关人员抓紧落实本单位绩效目标申报的各项工作，认真开展了预算绩效管理、绩效目标和绩效评价报告等工作，编制了《隆回县2022年部门整体支出预算绩效目标表》及《隆回县部门整体支出预算绩效目标表编报说明》，按时报送单位预算支出绩效目标。</w:t>
      </w:r>
    </w:p>
    <w:p>
      <w:pPr>
        <w:pStyle w:val="4"/>
        <w:keepNext w:val="0"/>
        <w:keepLines w:val="0"/>
        <w:pageBreakBefore w:val="0"/>
        <w:widowControl w:val="0"/>
        <w:kinsoku/>
        <w:wordWrap/>
        <w:overflowPunct/>
        <w:topLinePunct w:val="0"/>
        <w:bidi w:val="0"/>
        <w:snapToGrid/>
        <w:spacing w:line="600" w:lineRule="exact"/>
        <w:ind w:firstLine="643" w:firstLineChars="200"/>
        <w:jc w:val="left"/>
        <w:textAlignment w:val="auto"/>
        <w:rPr>
          <w:rFonts w:hint="eastAsia" w:ascii="楷体" w:hAnsi="楷体" w:eastAsia="楷体" w:cs="楷体"/>
          <w:b/>
          <w:bCs/>
          <w:color w:val="auto"/>
          <w:sz w:val="32"/>
          <w:szCs w:val="32"/>
        </w:rPr>
      </w:pP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存在的问题及原因分析</w:t>
      </w:r>
    </w:p>
    <w:p>
      <w:pPr>
        <w:pStyle w:val="4"/>
        <w:spacing w:line="600" w:lineRule="exact"/>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 w:hAnsi="仿宋" w:eastAsia="仿宋" w:cs="仿宋"/>
          <w:color w:val="auto"/>
          <w:sz w:val="32"/>
          <w:szCs w:val="32"/>
        </w:rPr>
        <w:t>本单位严格预算和预算绩效管理，在资金分配、使用和管理，资产和财务管理，政府采购等方面严格按有关规定执行，积极</w:t>
      </w:r>
      <w:r>
        <w:rPr>
          <w:rFonts w:hint="eastAsia" w:ascii="仿宋" w:hAnsi="仿宋" w:eastAsia="仿宋" w:cs="仿宋"/>
          <w:color w:val="auto"/>
          <w:sz w:val="32"/>
          <w:szCs w:val="32"/>
          <w:lang w:eastAsia="zh-CN"/>
        </w:rPr>
        <w:t>履行</w:t>
      </w:r>
      <w:r>
        <w:rPr>
          <w:rFonts w:hint="eastAsia" w:ascii="仿宋" w:hAnsi="仿宋" w:eastAsia="仿宋" w:cs="仿宋"/>
          <w:color w:val="auto"/>
          <w:sz w:val="32"/>
          <w:szCs w:val="32"/>
        </w:rPr>
        <w:t>部门职能，</w:t>
      </w:r>
      <w:r>
        <w:rPr>
          <w:rFonts w:hint="eastAsia" w:ascii="仿宋" w:hAnsi="仿宋" w:eastAsia="仿宋" w:cs="仿宋"/>
          <w:color w:val="auto"/>
          <w:sz w:val="32"/>
          <w:szCs w:val="32"/>
          <w:lang w:eastAsia="zh-CN"/>
        </w:rPr>
        <w:t>绩效管理到位，产生了良好的效益</w:t>
      </w:r>
      <w:r>
        <w:rPr>
          <w:rFonts w:hint="eastAsia" w:ascii="仿宋" w:hAnsi="仿宋" w:eastAsia="仿宋" w:cs="仿宋"/>
          <w:color w:val="auto"/>
          <w:sz w:val="32"/>
          <w:szCs w:val="32"/>
        </w:rPr>
        <w:t>。</w:t>
      </w:r>
    </w:p>
    <w:p>
      <w:pPr>
        <w:autoSpaceDE w:val="0"/>
        <w:autoSpaceDN w:val="0"/>
        <w:adjustRightInd w:val="0"/>
        <w:spacing w:line="520" w:lineRule="exact"/>
        <w:jc w:val="left"/>
        <w:rPr>
          <w:rFonts w:hint="eastAsia" w:ascii="仿宋_GB2312" w:eastAsia="仿宋_GB2312" w:cs="黑体"/>
          <w:b/>
          <w:color w:val="auto"/>
          <w:sz w:val="32"/>
          <w:szCs w:val="32"/>
          <w:highlight w:val="white"/>
          <w:lang w:val="zh-CN"/>
        </w:rPr>
      </w:pPr>
      <w:r>
        <w:rPr>
          <w:rFonts w:hint="eastAsia" w:ascii="仿宋_GB2312" w:eastAsia="仿宋_GB2312" w:cs="黑体"/>
          <w:b/>
          <w:color w:val="auto"/>
          <w:sz w:val="32"/>
          <w:szCs w:val="32"/>
          <w:highlight w:val="white"/>
          <w:lang w:val="zh-CN"/>
        </w:rPr>
        <w:t>第四部分</w:t>
      </w:r>
      <w:r>
        <w:rPr>
          <w:rFonts w:ascii="仿宋_GB2312" w:eastAsia="仿宋_GB2312" w:cs="黑体"/>
          <w:b/>
          <w:color w:val="auto"/>
          <w:sz w:val="32"/>
          <w:szCs w:val="32"/>
          <w:highlight w:val="white"/>
          <w:lang w:val="zh-CN"/>
        </w:rPr>
        <w:t xml:space="preserve"> </w:t>
      </w:r>
      <w:r>
        <w:rPr>
          <w:rFonts w:hint="eastAsia" w:ascii="仿宋_GB2312" w:eastAsia="仿宋_GB2312" w:cs="黑体"/>
          <w:b/>
          <w:color w:val="auto"/>
          <w:sz w:val="32"/>
          <w:szCs w:val="32"/>
          <w:highlight w:val="white"/>
          <w:lang w:val="zh-CN"/>
        </w:rPr>
        <w:t>名词解释</w:t>
      </w:r>
    </w:p>
    <w:p>
      <w:pPr>
        <w:pStyle w:val="4"/>
        <w:rPr>
          <w:rFonts w:hint="eastAsia" w:ascii="仿宋_GB2312" w:hAnsi="仿宋_GB2312" w:eastAsia="仿宋_GB2312" w:cs="仿宋_GB2312"/>
          <w:color w:val="auto"/>
          <w:kern w:val="2"/>
          <w:sz w:val="32"/>
          <w:szCs w:val="32"/>
          <w:lang w:val="en-US" w:eastAsia="zh-CN" w:bidi="ar-SA"/>
        </w:rPr>
      </w:pPr>
      <w:r>
        <w:rPr>
          <w:rFonts w:hint="eastAsia" w:ascii="宋体" w:hAnsi="Times New Roman" w:eastAsia="宋体" w:cs="宋体"/>
          <w:color w:val="auto"/>
          <w:sz w:val="32"/>
          <w:szCs w:val="32"/>
        </w:rPr>
        <w:t xml:space="preserve">  </w:t>
      </w:r>
      <w:r>
        <w:rPr>
          <w:rFonts w:hint="eastAsia" w:ascii="宋体" w:hAnsi="Times New Roman" w:eastAsia="宋体" w:cs="宋体"/>
          <w:color w:val="auto"/>
          <w:sz w:val="32"/>
          <w:szCs w:val="32"/>
          <w:lang w:val="en-US" w:eastAsia="zh-CN"/>
        </w:rPr>
        <w:t xml:space="preserve"> </w:t>
      </w:r>
      <w:r>
        <w:rPr>
          <w:rFonts w:hint="eastAsia" w:ascii="仿宋_GB2312" w:hAnsi="仿宋_GB2312" w:eastAsia="仿宋_GB2312" w:cs="仿宋_GB2312"/>
          <w:color w:val="auto"/>
          <w:kern w:val="2"/>
          <w:sz w:val="32"/>
          <w:szCs w:val="32"/>
          <w:lang w:val="en-US" w:eastAsia="zh-CN" w:bidi="ar-SA"/>
        </w:rPr>
        <w:t>财政拨款收入：指本级财政当年拨付的资金。</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事业收入：指事业单位开展专业业务活动及辅助活动所取得的收入。</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其他收入：指除上述“财政拨款收入”、“上级补助收入”、“事业收入”、“经营收入”、“附属单位上缴收入”等以外的收入。</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上年结转和结余：指以前年度尚未完成、结转到本年按有关规定继续使用的资金。</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年末结转和结余资金：指本年度或以前年度预算安排、因客观条件发生变化无法按原计划实施，需要延迟到以后年度按有关规定继续使用的资金。</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卫生健康支出（类）：是指用于医疗卫生与计划生育方面的支出，包括保障机构正常运转、完成日常和特定的工作任务或事业发展目标的支出。</w:t>
      </w:r>
    </w:p>
    <w:p>
      <w:pPr>
        <w:pStyle w:val="4"/>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城乡社区支出（类）：是指用于城乡社区事务支出，包括保障机构正常运转、完成日常和特定的工作任务或事业发展目标的支出。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其他支出（类）：是指用于反映除上述项目以外其他不能划分到具体功能科目中的支出项目，包括保障机构正常运转、完成日常和特定的工作任务或事业发展目标的支出。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基本支出：指保障机构正常运转、完成支日常工作任务而发生的人员支出和公用支出。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项目支出：指在基本支出之外为完成特定行政任务和事业发展目标所发生的支出。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4"/>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工资福利支出：反映单位开支的在职职工和编制外长期聘用人员的各类劳动报酬，以及为上述人员缴纳的各项社会保险费等。</w:t>
      </w:r>
    </w:p>
    <w:p>
      <w:pPr>
        <w:pStyle w:val="4"/>
        <w:ind w:firstLine="64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津贴补贴：反映经国家批准建立的机关事业单位艰苦边远地区津贴、机关工作人员地区附加津贴、机关工作人员岗位津贴、事业单位工作人员特殊岗位津贴补贴等。</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奖金：反映机关工作人员年终一次性奖金。</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绩效工资：反映事业单位工作人员的绩效工资。</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机关事业单位基本养老保险缴费：反映机关事业单位缴纳的基本养老保险费。由单位代扣的工作人员基本养老保险缴费，不在此科目反映。</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职工基本医疗保险缴费：反映单位为职工缴纳的基本医疗保险费。</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其他社会保障缴费：反映单位为职工缴纳的基本医疗、失业、工伤、生育等社会保险费，残疾人就业保障金，军队（含武警）为军人缴纳的伤亡、退役医疗等社会保险费。</w:t>
      </w:r>
    </w:p>
    <w:p>
      <w:pPr>
        <w:pStyle w:val="4"/>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住房公积金：反映行政事业单位按人力资源和社会保障部、财政部规定的基本工资和津贴补贴以及规定比例为职工缴纳的住房公积金。</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医疗费：反映未参加医疗保险单位的医疗经费和单位按规定为职工支出的其他医疗费用。</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商品和服务支出：反映单位购买商品和服务的支出（不包括用于购置固定资产的支出、战略性和应急储备支出）。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办公费：反映单位购买按财务会计制度规定不符合固定资产确认标准的日常办公用品、书报杂志等支出。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水费：反映单位支付的水费、污水处理费等支出。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邮电费：反映单位开支的信函、包裹、货物等物品的邮寄费及电话费、电报费、传真费、网络通讯费等。</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差旅费：反映单位工作人员出差发生的城市间交通费、住宿费、伙食补贴费和市内交通费。</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维修(护)费：反映单位日常开支的固定资产（不包括车船等交通工具）修理和维护费用，网络信息系统运行与维护费用，以及按规定提取的修购基金。</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培训费：反映除因公出国（境）培训费以外的各类培训支出。</w:t>
      </w:r>
    </w:p>
    <w:p>
      <w:pPr>
        <w:pStyle w:val="4"/>
        <w:ind w:firstLine="640" w:firstLineChars="200"/>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专用材料费：反映单位购买日常专用材料的支出。具体包括药品及医疗耗材，农用材料，兽医用品，实验室用品，专用服装，消耗性体育用品，专用工具和仪器，艺术部门专用材料和用品，广播电视台发射台发射机的电力、材料等方面的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劳务费：反映支付给单位和个人的劳务费用，如临时聘用人员、钟点工工资，稿费、翻译费，评审费等。</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工会经费：反映单位按规定提取的工会经费。</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福利费：反映单位按规定提取的福利费。</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公务用车运行维护费：反映单位按规定保留的公务用车燃料费、维修费、过桥过路费、保险费、安全奖励费用等支出。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其他交通费用：反映单位除公务用车运行维护费以外的其他交通费用。如公务交通补贴，租车费用、出租车费用，飞机、船舶等的燃料费、维修费、保险费等。</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其他商品和服务支出：反映上述科目未包括的日常公用支出。如行政赔偿费和诉讼费、国内组织的会员费、来访费、广告宣传、其他劳务费及离休人员特需费、公用经费等。</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对个人和家庭的补助：反映政府用于对个人和家庭的补助支出。</w:t>
      </w:r>
    </w:p>
    <w:p>
      <w:pPr>
        <w:pStyle w:val="4"/>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 xml:space="preserve">    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ind w:firstLine="640" w:firstLineChars="200"/>
        <w:rPr>
          <w:color w:val="auto"/>
        </w:rPr>
      </w:pPr>
      <w:r>
        <w:rPr>
          <w:rFonts w:hint="eastAsia" w:ascii="仿宋_GB2312" w:hAnsi="仿宋_GB2312" w:eastAsia="仿宋_GB2312" w:cs="仿宋_GB2312"/>
          <w:color w:val="auto"/>
          <w:kern w:val="2"/>
          <w:sz w:val="32"/>
          <w:szCs w:val="32"/>
          <w:lang w:val="en-US" w:eastAsia="zh-CN" w:bidi="ar-SA"/>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M2Yjg4MGU3OWFmNjZhZTkxY2I4MzI0MDhhMTM2NGEifQ=="/>
  </w:docVars>
  <w:rsids>
    <w:rsidRoot w:val="00000000"/>
    <w:rsid w:val="00164352"/>
    <w:rsid w:val="07655AB2"/>
    <w:rsid w:val="0FD67EA3"/>
    <w:rsid w:val="138306D1"/>
    <w:rsid w:val="1412764B"/>
    <w:rsid w:val="165446C6"/>
    <w:rsid w:val="17E03106"/>
    <w:rsid w:val="1CFB7F4A"/>
    <w:rsid w:val="22DC5A3F"/>
    <w:rsid w:val="23D51B77"/>
    <w:rsid w:val="2B2629B8"/>
    <w:rsid w:val="2B2E7879"/>
    <w:rsid w:val="30B869A9"/>
    <w:rsid w:val="330F37A5"/>
    <w:rsid w:val="3BEB5AE8"/>
    <w:rsid w:val="3C02596E"/>
    <w:rsid w:val="3CA92358"/>
    <w:rsid w:val="3FF373A9"/>
    <w:rsid w:val="405E0973"/>
    <w:rsid w:val="42E046F5"/>
    <w:rsid w:val="435C132F"/>
    <w:rsid w:val="45B8042E"/>
    <w:rsid w:val="51BF2A12"/>
    <w:rsid w:val="520F4003"/>
    <w:rsid w:val="52A02067"/>
    <w:rsid w:val="5AF32A1D"/>
    <w:rsid w:val="5EC34FCC"/>
    <w:rsid w:val="5EEE700D"/>
    <w:rsid w:val="64A75304"/>
    <w:rsid w:val="6FFB7D2A"/>
    <w:rsid w:val="74697BDE"/>
    <w:rsid w:val="75D263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2023-08-30T03:15:00Z</dcterms:created>
  <dc:creator>Administrator.pc-201712171005</dc:creator>
  <cp:lastModifiedBy>布衣神农</cp:lastModifiedBy>
  <dcterms:modified xsi:type="dcterms:W3CDTF">2023-09-06T14:05:39Z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3D57D63997304F70912ECDA1274868FF_12</vt:lpwstr>
  </property>
</Properties>
</file>