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部门整体支出绩效自评基础数据表</w:t>
      </w:r>
    </w:p>
    <w:tbl>
      <w:tblPr>
        <w:tblStyle w:val="8"/>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675"/>
        <w:gridCol w:w="459"/>
        <w:gridCol w:w="1062"/>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vAlign w:val="center"/>
          </w:tcPr>
          <w:p>
            <w:pPr>
              <w:spacing w:line="600" w:lineRule="exact"/>
              <w:jc w:val="center"/>
              <w:rPr>
                <w:rFonts w:ascii="黑体" w:hAnsi="黑体" w:eastAsia="黑体" w:cs="黑体"/>
                <w:b/>
              </w:rPr>
            </w:pPr>
            <w:r>
              <w:rPr>
                <w:rFonts w:hint="eastAsia" w:ascii="黑体" w:hAnsi="黑体" w:eastAsia="黑体" w:cs="黑体"/>
                <w:b/>
                <w:sz w:val="24"/>
              </w:rPr>
              <w:t>（</w:t>
            </w:r>
            <w:r>
              <w:rPr>
                <w:rFonts w:ascii="黑体" w:hAnsi="黑体" w:eastAsia="黑体" w:cs="黑体"/>
                <w:b/>
                <w:sz w:val="24"/>
              </w:rPr>
              <w:t>20</w:t>
            </w:r>
            <w:r>
              <w:rPr>
                <w:rFonts w:hint="eastAsia" w:ascii="黑体" w:hAnsi="黑体" w:eastAsia="黑体" w:cs="黑体"/>
                <w:b/>
                <w:sz w:val="24"/>
              </w:rPr>
              <w:t>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tcPr>
          <w:p>
            <w:pPr>
              <w:spacing w:line="540" w:lineRule="exact"/>
              <w:jc w:val="left"/>
              <w:rPr>
                <w:rFonts w:ascii="楷体" w:hAnsi="楷体" w:eastAsia="楷体" w:cs="楷体"/>
                <w:szCs w:val="21"/>
              </w:rPr>
            </w:pPr>
            <w:r>
              <w:rPr>
                <w:rFonts w:hint="eastAsia" w:ascii="楷体" w:hAnsi="楷体" w:eastAsia="楷体" w:cs="楷体"/>
                <w:szCs w:val="21"/>
              </w:rPr>
              <w:t>隆回县行政审批服务局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eastAsia="zh-CN"/>
              </w:rPr>
              <w:t>35</w:t>
            </w:r>
          </w:p>
        </w:tc>
        <w:tc>
          <w:tcPr>
            <w:tcW w:w="1559" w:type="dxa"/>
            <w:gridSpan w:val="2"/>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tcPr>
          <w:p>
            <w:pPr>
              <w:spacing w:line="540" w:lineRule="exact"/>
              <w:ind w:firstLine="105" w:firstLineChars="50"/>
              <w:jc w:val="left"/>
              <w:rPr>
                <w:rFonts w:hint="eastAsia" w:ascii="楷体" w:hAnsi="楷体" w:eastAsia="楷体" w:cs="楷体"/>
                <w:szCs w:val="21"/>
                <w:lang w:eastAsia="zh-CN"/>
              </w:rPr>
            </w:pPr>
            <w:r>
              <w:rPr>
                <w:rFonts w:hint="eastAsia" w:ascii="楷体" w:hAnsi="楷体" w:eastAsia="楷体" w:cs="楷体"/>
                <w:szCs w:val="21"/>
                <w:lang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633"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tcPr>
          <w:p>
            <w:pPr>
              <w:spacing w:line="340" w:lineRule="exact"/>
              <w:jc w:val="left"/>
              <w:rPr>
                <w:rFonts w:hint="eastAsia" w:ascii="楷体" w:hAnsi="楷体" w:eastAsia="楷体" w:cs="楷体"/>
              </w:rPr>
            </w:pPr>
            <w:r>
              <w:rPr>
                <w:rFonts w:hint="eastAsia" w:ascii="楷体" w:hAnsi="楷体" w:eastAsia="楷体" w:cs="楷体"/>
              </w:rPr>
              <w:t>（一）贯彻实施有关法律、法规、规章，执行上级有关行政审批制度改革的方针、政策；会同有关部门推进行政审批制度改革，提出行政审批制度改革的建议；参与行政审批事项的清理和规范。</w:t>
            </w:r>
          </w:p>
          <w:p>
            <w:pPr>
              <w:spacing w:line="340" w:lineRule="exact"/>
              <w:jc w:val="left"/>
              <w:rPr>
                <w:rFonts w:hint="eastAsia" w:ascii="楷体" w:hAnsi="楷体" w:eastAsia="楷体" w:cs="楷体"/>
              </w:rPr>
            </w:pPr>
            <w:r>
              <w:rPr>
                <w:rFonts w:hint="eastAsia" w:ascii="楷体" w:hAnsi="楷体" w:eastAsia="楷体" w:cs="楷体"/>
              </w:rPr>
              <w:t>（二）制定县行政审批服务局各项规章制度和管理办法，并组织实施。</w:t>
            </w:r>
          </w:p>
          <w:p>
            <w:pPr>
              <w:spacing w:line="340" w:lineRule="exact"/>
              <w:jc w:val="left"/>
              <w:rPr>
                <w:rFonts w:hint="eastAsia" w:ascii="楷体" w:hAnsi="楷体" w:eastAsia="楷体" w:cs="楷体"/>
              </w:rPr>
            </w:pPr>
            <w:r>
              <w:rPr>
                <w:rFonts w:hint="eastAsia" w:ascii="楷体" w:hAnsi="楷体" w:eastAsia="楷体" w:cs="楷体"/>
              </w:rPr>
              <w:t>（三）负责规范全县行政审批和政务服务行为，建立和完善相应工作机制，推进标准化建设；协调对行政许可、政务服务事项进行流程再造、环节优化、压缩时限，并对办理情况进行跟踪督办。</w:t>
            </w:r>
          </w:p>
          <w:p>
            <w:pPr>
              <w:spacing w:line="340" w:lineRule="exact"/>
              <w:jc w:val="left"/>
              <w:rPr>
                <w:rFonts w:hint="eastAsia" w:ascii="楷体" w:hAnsi="楷体" w:eastAsia="楷体" w:cs="楷体"/>
              </w:rPr>
            </w:pPr>
            <w:r>
              <w:rPr>
                <w:rFonts w:hint="eastAsia" w:ascii="楷体" w:hAnsi="楷体" w:eastAsia="楷体" w:cs="楷体"/>
              </w:rPr>
              <w:t>（四）负责行政审批和政务服务平台及“互联网+政务服务”体系的建设、维护和管理。</w:t>
            </w:r>
          </w:p>
          <w:p>
            <w:pPr>
              <w:spacing w:line="340" w:lineRule="exact"/>
              <w:jc w:val="left"/>
              <w:rPr>
                <w:rFonts w:hint="eastAsia" w:ascii="楷体" w:hAnsi="楷体" w:eastAsia="楷体" w:cs="楷体"/>
              </w:rPr>
            </w:pPr>
            <w:r>
              <w:rPr>
                <w:rFonts w:hint="eastAsia" w:ascii="楷体" w:hAnsi="楷体" w:eastAsia="楷体" w:cs="楷体"/>
              </w:rPr>
              <w:t>（五）负责审批服务事项的咨询、引导工作;负责对行政审批及政务服务事项投诉、举报的承办、转办和督办工作，配合有关部门查处违法、违规、违纪问题。</w:t>
            </w:r>
          </w:p>
          <w:p>
            <w:pPr>
              <w:spacing w:line="340" w:lineRule="exact"/>
              <w:jc w:val="left"/>
              <w:rPr>
                <w:rFonts w:hint="eastAsia" w:ascii="楷体" w:hAnsi="楷体" w:eastAsia="楷体" w:cs="楷体"/>
              </w:rPr>
            </w:pPr>
            <w:r>
              <w:rPr>
                <w:rFonts w:hint="eastAsia" w:ascii="楷体" w:hAnsi="楷体" w:eastAsia="楷体" w:cs="楷体"/>
              </w:rPr>
              <w:t>（六）负责行政审批服务局工作人员的教育、培训、管理和考核。</w:t>
            </w:r>
          </w:p>
          <w:p>
            <w:pPr>
              <w:spacing w:line="340" w:lineRule="exact"/>
              <w:jc w:val="left"/>
              <w:rPr>
                <w:rFonts w:hint="eastAsia" w:ascii="楷体" w:hAnsi="楷体" w:eastAsia="楷体" w:cs="楷体"/>
              </w:rPr>
            </w:pPr>
            <w:r>
              <w:rPr>
                <w:rFonts w:hint="eastAsia" w:ascii="楷体" w:hAnsi="楷体" w:eastAsia="楷体" w:cs="楷体"/>
              </w:rPr>
              <w:t>（七）负责协调按照“三集中、三到位”要求进驻政务中心的行政审批及公共服务工作的规范、管理和监督。</w:t>
            </w:r>
          </w:p>
          <w:p>
            <w:pPr>
              <w:spacing w:line="340" w:lineRule="exact"/>
              <w:jc w:val="left"/>
              <w:rPr>
                <w:rFonts w:hint="eastAsia" w:ascii="楷体" w:hAnsi="楷体" w:eastAsia="楷体" w:cs="楷体"/>
              </w:rPr>
            </w:pPr>
            <w:r>
              <w:rPr>
                <w:rFonts w:hint="eastAsia" w:ascii="楷体" w:hAnsi="楷体" w:eastAsia="楷体" w:cs="楷体"/>
              </w:rPr>
              <w:t>（八）负责为重点招商引资项目、国有企业改制项目和其他重大项目的行政审批服务提供一站式服务。</w:t>
            </w:r>
          </w:p>
          <w:p>
            <w:pPr>
              <w:spacing w:line="340" w:lineRule="exact"/>
              <w:jc w:val="left"/>
              <w:rPr>
                <w:rFonts w:hint="eastAsia" w:ascii="楷体" w:hAnsi="楷体" w:eastAsia="楷体" w:cs="楷体"/>
              </w:rPr>
            </w:pPr>
            <w:r>
              <w:rPr>
                <w:rFonts w:hint="eastAsia" w:ascii="楷体" w:hAnsi="楷体" w:eastAsia="楷体" w:cs="楷体"/>
              </w:rPr>
              <w:t>（九）负责对行政审批涉及的中介服务机构及中介服务行为实施监督和管理工作。</w:t>
            </w:r>
          </w:p>
          <w:p>
            <w:pPr>
              <w:spacing w:line="340" w:lineRule="exact"/>
              <w:jc w:val="left"/>
              <w:rPr>
                <w:rFonts w:hint="eastAsia" w:ascii="楷体" w:hAnsi="楷体" w:eastAsia="楷体" w:cs="楷体"/>
              </w:rPr>
            </w:pPr>
            <w:r>
              <w:rPr>
                <w:rFonts w:hint="eastAsia" w:ascii="楷体" w:hAnsi="楷体" w:eastAsia="楷体" w:cs="楷体"/>
              </w:rPr>
              <w:t>（十）负责全县政务公开工作。</w:t>
            </w:r>
          </w:p>
          <w:p>
            <w:pPr>
              <w:spacing w:line="340" w:lineRule="exact"/>
              <w:jc w:val="left"/>
              <w:rPr>
                <w:rFonts w:hint="eastAsia" w:ascii="楷体" w:hAnsi="楷体" w:eastAsia="楷体" w:cs="楷体"/>
              </w:rPr>
            </w:pPr>
            <w:r>
              <w:rPr>
                <w:rFonts w:hint="eastAsia" w:ascii="楷体" w:hAnsi="楷体" w:eastAsia="楷体" w:cs="楷体"/>
              </w:rPr>
              <w:t>（十一）负责协调、推进全县行政效能和优化营商环境工作。</w:t>
            </w:r>
          </w:p>
          <w:p>
            <w:pPr>
              <w:spacing w:line="340" w:lineRule="exact"/>
              <w:jc w:val="left"/>
              <w:rPr>
                <w:rFonts w:hint="eastAsia" w:ascii="楷体" w:hAnsi="楷体" w:eastAsia="楷体" w:cs="楷体"/>
              </w:rPr>
            </w:pPr>
            <w:r>
              <w:rPr>
                <w:rFonts w:hint="eastAsia" w:ascii="楷体" w:hAnsi="楷体" w:eastAsia="楷体" w:cs="楷体"/>
              </w:rPr>
              <w:t>（十二）负责全县电子政务建设和管理工作。</w:t>
            </w:r>
          </w:p>
          <w:p>
            <w:pPr>
              <w:spacing w:line="340" w:lineRule="exact"/>
              <w:jc w:val="left"/>
              <w:rPr>
                <w:rFonts w:hint="eastAsia" w:ascii="楷体" w:hAnsi="楷体" w:eastAsia="楷体" w:cs="楷体"/>
              </w:rPr>
            </w:pPr>
            <w:r>
              <w:rPr>
                <w:rFonts w:hint="eastAsia" w:ascii="楷体" w:hAnsi="楷体" w:eastAsia="楷体" w:cs="楷体"/>
              </w:rPr>
              <w:t>（十三）协调、指导和监督园区、乡镇（街道）、村（居、社区）、分中心行政审批和便民服务工作。</w:t>
            </w:r>
          </w:p>
          <w:p>
            <w:pPr>
              <w:spacing w:line="340" w:lineRule="exact"/>
              <w:jc w:val="left"/>
              <w:rPr>
                <w:rFonts w:hint="eastAsia" w:ascii="楷体" w:hAnsi="楷体" w:eastAsia="楷体" w:cs="楷体"/>
              </w:rPr>
            </w:pPr>
            <w:r>
              <w:rPr>
                <w:rFonts w:hint="eastAsia" w:ascii="楷体" w:hAnsi="楷体" w:eastAsia="楷体" w:cs="楷体"/>
              </w:rPr>
              <w:t>（十四）负责县政务服务中心的建设和日常管理。</w:t>
            </w:r>
          </w:p>
          <w:p>
            <w:pPr>
              <w:spacing w:line="340" w:lineRule="exact"/>
              <w:jc w:val="left"/>
              <w:rPr>
                <w:rFonts w:hint="eastAsia" w:ascii="楷体" w:hAnsi="楷体" w:eastAsia="楷体" w:cs="楷体"/>
              </w:rPr>
            </w:pPr>
            <w:r>
              <w:rPr>
                <w:rFonts w:hint="eastAsia" w:ascii="楷体" w:hAnsi="楷体" w:eastAsia="楷体" w:cs="楷体"/>
              </w:rPr>
              <w:t>（十五）负责12345政府服务热线的日常管理工作，负责热线平台管理事项的综合协调、分办、督办、考核工作。</w:t>
            </w:r>
          </w:p>
          <w:p>
            <w:pPr>
              <w:spacing w:line="340" w:lineRule="exact"/>
              <w:jc w:val="left"/>
              <w:rPr>
                <w:rFonts w:ascii="楷体" w:hAnsi="楷体" w:eastAsia="楷体" w:cs="楷体"/>
                <w:szCs w:val="21"/>
              </w:rPr>
            </w:pPr>
            <w:r>
              <w:rPr>
                <w:rFonts w:hint="eastAsia" w:ascii="楷体" w:hAnsi="楷体" w:eastAsia="楷体" w:cs="楷体"/>
              </w:rPr>
              <w:t>（十六）承办县委、县政府和上级部门交办的其他工作。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987.66</w:t>
            </w:r>
          </w:p>
        </w:tc>
        <w:tc>
          <w:tcPr>
            <w:tcW w:w="1552" w:type="dxa"/>
            <w:gridSpan w:val="2"/>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682" w:type="dxa"/>
            <w:gridSpan w:val="2"/>
          </w:tcPr>
          <w:p>
            <w:pPr>
              <w:rPr>
                <w:rFonts w:ascii="楷体" w:hAnsi="楷体" w:eastAsia="楷体" w:cs="楷体"/>
                <w:szCs w:val="21"/>
              </w:rPr>
            </w:pPr>
            <w:r>
              <w:rPr>
                <w:rFonts w:hint="eastAsia" w:ascii="楷体" w:hAnsi="楷体" w:eastAsia="楷体" w:cs="楷体"/>
                <w:szCs w:val="21"/>
              </w:rPr>
              <w:t xml:space="preserve">0    </w:t>
            </w:r>
          </w:p>
        </w:tc>
        <w:tc>
          <w:tcPr>
            <w:tcW w:w="459"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62" w:type="dxa"/>
            <w:vMerge w:val="restart"/>
          </w:tcPr>
          <w:p>
            <w:pPr>
              <w:spacing w:line="560" w:lineRule="exact"/>
              <w:rPr>
                <w:rFonts w:hint="default" w:ascii="楷体" w:hAnsi="楷体" w:eastAsia="楷体" w:cs="楷体"/>
                <w:szCs w:val="21"/>
                <w:lang w:val="en-US" w:eastAsia="zh-CN"/>
              </w:rPr>
            </w:pPr>
            <w:r>
              <w:rPr>
                <w:rFonts w:hint="eastAsia" w:ascii="楷体" w:hAnsi="楷体" w:eastAsia="楷体" w:cs="楷体"/>
                <w:szCs w:val="21"/>
                <w:lang w:val="en-US" w:eastAsia="zh-CN"/>
              </w:rPr>
              <w:t>987.66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spacing w:line="240" w:lineRule="atLeast"/>
              <w:jc w:val="center"/>
              <w:rPr>
                <w:rFonts w:ascii="楷体" w:hAnsi="楷体" w:eastAsia="楷体" w:cs="楷体"/>
                <w:szCs w:val="21"/>
              </w:rPr>
            </w:pPr>
          </w:p>
        </w:tc>
        <w:tc>
          <w:tcPr>
            <w:tcW w:w="2372" w:type="dxa"/>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vAlign w:val="center"/>
          </w:tcPr>
          <w:p>
            <w:pPr>
              <w:jc w:val="center"/>
              <w:rPr>
                <w:rFonts w:ascii="楷体" w:hAnsi="楷体" w:eastAsia="楷体" w:cs="楷体"/>
                <w:szCs w:val="21"/>
              </w:rPr>
            </w:pPr>
            <w:r>
              <w:rPr>
                <w:rFonts w:hint="eastAsia" w:ascii="楷体" w:hAnsi="楷体" w:eastAsia="楷体" w:cs="楷体"/>
                <w:szCs w:val="21"/>
              </w:rPr>
              <w:t>0</w:t>
            </w:r>
          </w:p>
        </w:tc>
        <w:tc>
          <w:tcPr>
            <w:tcW w:w="1552" w:type="dxa"/>
            <w:gridSpan w:val="2"/>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682" w:type="dxa"/>
            <w:gridSpan w:val="2"/>
          </w:tcPr>
          <w:p>
            <w:pPr>
              <w:spacing w:line="560" w:lineRule="exact"/>
              <w:jc w:val="left"/>
              <w:rPr>
                <w:rFonts w:ascii="楷体" w:hAnsi="楷体" w:eastAsia="楷体" w:cs="楷体"/>
                <w:szCs w:val="21"/>
              </w:rPr>
            </w:pPr>
            <w:r>
              <w:rPr>
                <w:rFonts w:hint="eastAsia" w:ascii="楷体" w:hAnsi="楷体" w:eastAsia="楷体" w:cs="楷体"/>
                <w:szCs w:val="21"/>
              </w:rPr>
              <w:t>0</w:t>
            </w:r>
          </w:p>
        </w:tc>
        <w:tc>
          <w:tcPr>
            <w:tcW w:w="459" w:type="dxa"/>
            <w:vMerge w:val="continue"/>
            <w:vAlign w:val="center"/>
          </w:tcPr>
          <w:p>
            <w:pPr>
              <w:spacing w:line="560" w:lineRule="exact"/>
              <w:jc w:val="center"/>
              <w:rPr>
                <w:rFonts w:ascii="楷体" w:hAnsi="楷体" w:eastAsia="楷体" w:cs="楷体"/>
                <w:szCs w:val="21"/>
              </w:rPr>
            </w:pPr>
          </w:p>
        </w:tc>
        <w:tc>
          <w:tcPr>
            <w:tcW w:w="1062" w:type="dxa"/>
            <w:vMerge w:val="continue"/>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pPr>
              <w:widowControl/>
              <w:jc w:val="left"/>
              <w:rPr>
                <w:rFonts w:ascii="楷体" w:hAnsi="楷体" w:eastAsia="楷体" w:cs="楷体"/>
                <w:szCs w:val="21"/>
              </w:rPr>
            </w:pPr>
          </w:p>
        </w:tc>
        <w:tc>
          <w:tcPr>
            <w:tcW w:w="1168" w:type="dxa"/>
            <w:vMerge w:val="restart"/>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442.62</w:t>
            </w:r>
          </w:p>
        </w:tc>
        <w:tc>
          <w:tcPr>
            <w:tcW w:w="1559" w:type="dxa"/>
            <w:gridSpan w:val="3"/>
            <w:vMerge w:val="restart"/>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675"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543.6</w:t>
            </w:r>
          </w:p>
        </w:tc>
        <w:tc>
          <w:tcPr>
            <w:tcW w:w="459" w:type="dxa"/>
            <w:vMerge w:val="restart"/>
            <w:vAlign w:val="center"/>
          </w:tcPr>
          <w:p>
            <w:pPr>
              <w:jc w:val="center"/>
              <w:rPr>
                <w:rFonts w:ascii="楷体" w:hAnsi="楷体" w:eastAsia="楷体" w:cs="楷体"/>
                <w:szCs w:val="21"/>
              </w:rPr>
            </w:pPr>
            <w:r>
              <w:rPr>
                <w:rFonts w:hint="eastAsia" w:ascii="楷体" w:hAnsi="楷体" w:eastAsia="楷体" w:cs="楷体"/>
                <w:szCs w:val="21"/>
              </w:rPr>
              <w:t>合计</w:t>
            </w:r>
          </w:p>
        </w:tc>
        <w:tc>
          <w:tcPr>
            <w:tcW w:w="1062" w:type="dxa"/>
            <w:vMerge w:val="restart"/>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987.66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vAlign w:val="center"/>
          </w:tcPr>
          <w:p>
            <w:pPr>
              <w:widowControl/>
              <w:jc w:val="left"/>
              <w:rPr>
                <w:rFonts w:ascii="楷体" w:hAnsi="楷体" w:eastAsia="楷体" w:cs="楷体"/>
                <w:szCs w:val="21"/>
              </w:rPr>
            </w:pPr>
          </w:p>
        </w:tc>
        <w:tc>
          <w:tcPr>
            <w:tcW w:w="1168" w:type="dxa"/>
            <w:vMerge w:val="continue"/>
            <w:vAlign w:val="center"/>
          </w:tcPr>
          <w:p>
            <w:pPr>
              <w:jc w:val="center"/>
              <w:rPr>
                <w:rFonts w:ascii="楷体" w:hAnsi="楷体" w:eastAsia="楷体" w:cs="楷体"/>
                <w:szCs w:val="21"/>
              </w:rPr>
            </w:pPr>
          </w:p>
        </w:tc>
        <w:tc>
          <w:tcPr>
            <w:tcW w:w="2372" w:type="dxa"/>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1.44</w:t>
            </w:r>
          </w:p>
        </w:tc>
        <w:tc>
          <w:tcPr>
            <w:tcW w:w="1559" w:type="dxa"/>
            <w:gridSpan w:val="3"/>
            <w:vMerge w:val="continue"/>
          </w:tcPr>
          <w:p>
            <w:pPr>
              <w:jc w:val="center"/>
              <w:rPr>
                <w:rFonts w:ascii="楷体" w:hAnsi="楷体" w:eastAsia="楷体" w:cs="楷体"/>
                <w:szCs w:val="21"/>
              </w:rPr>
            </w:pPr>
          </w:p>
        </w:tc>
        <w:tc>
          <w:tcPr>
            <w:tcW w:w="675" w:type="dxa"/>
            <w:vMerge w:val="continue"/>
          </w:tcPr>
          <w:p>
            <w:pPr>
              <w:jc w:val="center"/>
              <w:rPr>
                <w:rFonts w:ascii="楷体" w:hAnsi="楷体" w:eastAsia="楷体" w:cs="楷体"/>
                <w:szCs w:val="21"/>
              </w:rPr>
            </w:pPr>
          </w:p>
        </w:tc>
        <w:tc>
          <w:tcPr>
            <w:tcW w:w="459" w:type="dxa"/>
            <w:vMerge w:val="continue"/>
            <w:vAlign w:val="center"/>
          </w:tcPr>
          <w:p>
            <w:pPr>
              <w:jc w:val="center"/>
              <w:rPr>
                <w:rFonts w:ascii="楷体" w:hAnsi="楷体" w:eastAsia="楷体" w:cs="楷体"/>
                <w:szCs w:val="21"/>
              </w:rPr>
            </w:pPr>
          </w:p>
        </w:tc>
        <w:tc>
          <w:tcPr>
            <w:tcW w:w="1062" w:type="dxa"/>
            <w:vMerge w:val="continue"/>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三公经费是否比上年度下降：是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eastAsia="zh-CN"/>
              </w:rPr>
              <w:t>37.1</w:t>
            </w:r>
            <w:r>
              <w:rPr>
                <w:rFonts w:hint="eastAsia" w:ascii="楷体" w:hAnsi="楷体" w:eastAsia="楷体" w:cs="楷体"/>
                <w:szCs w:val="21"/>
              </w:rPr>
              <w:t>万元，实际采购金额</w:t>
            </w:r>
            <w:r>
              <w:rPr>
                <w:rFonts w:hint="eastAsia" w:ascii="楷体" w:hAnsi="楷体" w:eastAsia="楷体" w:cs="楷体"/>
                <w:szCs w:val="21"/>
                <w:lang w:eastAsia="zh-CN"/>
              </w:rPr>
              <w:t>37.1</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 xml:space="preserve"> </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0</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rPr>
              <w:t>2021</w:t>
            </w:r>
            <w:r>
              <w:rPr>
                <w:rFonts w:ascii="楷体" w:hAnsi="楷体" w:eastAsia="楷体" w:cs="楷体"/>
                <w:szCs w:val="21"/>
              </w:rPr>
              <w:t xml:space="preserve"> </w:t>
            </w:r>
            <w:r>
              <w:rPr>
                <w:rFonts w:hint="eastAsia" w:ascii="楷体" w:hAnsi="楷体" w:eastAsia="楷体" w:cs="楷体"/>
                <w:szCs w:val="21"/>
              </w:rPr>
              <w:t>年4月</w:t>
            </w:r>
            <w:r>
              <w:rPr>
                <w:rFonts w:ascii="楷体" w:hAnsi="楷体" w:eastAsia="楷体" w:cs="楷体"/>
                <w:szCs w:val="21"/>
              </w:rPr>
              <w:t xml:space="preserve"> </w:t>
            </w:r>
            <w:r>
              <w:rPr>
                <w:rFonts w:hint="eastAsia" w:ascii="楷体" w:hAnsi="楷体" w:eastAsia="楷体" w:cs="楷体"/>
                <w:szCs w:val="21"/>
              </w:rPr>
              <w:t>21</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 xml:space="preserve">   </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 xml:space="preserve">    </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hint="eastAsia" w:ascii="楷体" w:hAnsi="楷体" w:eastAsia="楷体" w:cs="楷体"/>
                <w:szCs w:val="21"/>
              </w:rPr>
              <w:t xml:space="preserve"> </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vAlign w:val="center"/>
          </w:tcPr>
          <w:p>
            <w:pPr>
              <w:widowControl/>
              <w:jc w:val="left"/>
              <w:rPr>
                <w:rFonts w:ascii="楷体" w:hAnsi="楷体" w:eastAsia="楷体" w:cs="楷体"/>
                <w:szCs w:val="21"/>
              </w:rPr>
            </w:pPr>
          </w:p>
        </w:tc>
        <w:tc>
          <w:tcPr>
            <w:tcW w:w="1168" w:type="dxa"/>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 xml:space="preserve">    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41"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vAlign w:val="center"/>
          </w:tcPr>
          <w:p>
            <w:pPr>
              <w:ind w:firstLine="105" w:firstLineChars="50"/>
              <w:rPr>
                <w:rFonts w:ascii="楷体" w:hAnsi="楷体" w:eastAsia="楷体" w:cs="楷体"/>
                <w:szCs w:val="21"/>
              </w:rPr>
            </w:pPr>
            <w:r>
              <w:rPr>
                <w:rFonts w:hint="eastAsia" w:ascii="楷体" w:hAnsi="楷体" w:eastAsia="楷体" w:cs="楷体"/>
              </w:rPr>
              <w:t>贯彻和执行党和国家的教育方针、政策、法规。执行财务管理制度，严控三公经费，</w:t>
            </w:r>
            <w:r>
              <w:rPr>
                <w:rFonts w:hint="eastAsia" w:ascii="楷体" w:hAnsi="楷体" w:eastAsia="楷体" w:cs="楷体"/>
                <w:lang w:eastAsia="zh-CN"/>
              </w:rPr>
              <w:t>严格</w:t>
            </w:r>
            <w:r>
              <w:rPr>
                <w:rFonts w:hint="eastAsia" w:ascii="楷体" w:hAnsi="楷体" w:eastAsia="楷体" w:cs="楷体"/>
              </w:rPr>
              <w:t>经费管理规范。紧围绕“简政放权、放管结合、优化服务”改革目标，不断强化作风建设，深入贯彻“放管服”改革要求，大力推进流程再造，全面提升服务效能。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697" w:hRule="atLeast"/>
        </w:trPr>
        <w:tc>
          <w:tcPr>
            <w:tcW w:w="533" w:type="dxa"/>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vAlign w:val="center"/>
          </w:tcPr>
          <w:p>
            <w:pPr>
              <w:jc w:val="center"/>
              <w:rPr>
                <w:rFonts w:ascii="楷体" w:hAnsi="楷体" w:eastAsia="楷体" w:cs="楷体"/>
                <w:szCs w:val="21"/>
              </w:rPr>
            </w:pPr>
            <w:r>
              <w:rPr>
                <w:rFonts w:hint="eastAsia" w:eastAsia="黑体"/>
                <w:kern w:val="0"/>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534" w:hRule="atLeast"/>
        </w:trPr>
        <w:tc>
          <w:tcPr>
            <w:tcW w:w="533" w:type="dxa"/>
            <w:vAlign w:val="center"/>
          </w:tcPr>
          <w:p>
            <w:pPr>
              <w:rPr>
                <w:rFonts w:ascii="楷体" w:hAnsi="楷体" w:eastAsia="楷体" w:cs="楷体"/>
              </w:rPr>
            </w:pPr>
            <w:r>
              <w:rPr>
                <w:rFonts w:hint="eastAsia" w:ascii="楷体" w:hAnsi="楷体" w:eastAsia="楷体" w:cs="楷体"/>
              </w:rPr>
              <w:t>问题与建议</w:t>
            </w:r>
          </w:p>
        </w:tc>
        <w:tc>
          <w:tcPr>
            <w:tcW w:w="8467" w:type="dxa"/>
            <w:gridSpan w:val="10"/>
            <w:vAlign w:val="center"/>
          </w:tcPr>
          <w:p>
            <w:pPr>
              <w:rPr>
                <w:rFonts w:ascii="楷体" w:hAnsi="楷体" w:eastAsia="楷体" w:cs="楷体"/>
              </w:rPr>
            </w:pPr>
            <w:r>
              <w:rPr>
                <w:rFonts w:ascii="楷体" w:hAnsi="楷体" w:eastAsia="楷体" w:cs="楷体"/>
              </w:rPr>
              <w:t>1</w:t>
            </w:r>
            <w:r>
              <w:rPr>
                <w:rFonts w:hint="eastAsia" w:ascii="楷体" w:hAnsi="楷体" w:eastAsia="楷体" w:cs="楷体"/>
              </w:rPr>
              <w:t>、完善资产管理制度，加强提高资产的使用率;</w:t>
            </w:r>
          </w:p>
          <w:p>
            <w:pPr>
              <w:numPr>
                <w:ilvl w:val="0"/>
                <w:numId w:val="1"/>
              </w:numPr>
              <w:rPr>
                <w:rFonts w:ascii="楷体" w:hAnsi="楷体" w:eastAsia="楷体" w:cs="楷体"/>
              </w:rPr>
            </w:pPr>
            <w:r>
              <w:rPr>
                <w:rFonts w:hint="eastAsia" w:ascii="楷体" w:hAnsi="楷体" w:eastAsia="楷体" w:cs="楷体"/>
              </w:rPr>
              <w:t>进一步完善财务管理制度,合理规范使用经费。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5" w:type="dxa"/>
          <w:wAfter w:w="56" w:type="dxa"/>
          <w:trHeight w:val="1974" w:hRule="atLeast"/>
        </w:trPr>
        <w:tc>
          <w:tcPr>
            <w:tcW w:w="533" w:type="dxa"/>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pStyle w:val="7"/>
              <w:ind w:firstLine="640"/>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rPr>
          <w:szCs w:val="21"/>
        </w:rPr>
      </w:pPr>
      <w:r>
        <w:rPr>
          <w:rFonts w:hint="eastAsia" w:ascii="宋体" w:hAnsi="宋体"/>
          <w:szCs w:val="21"/>
        </w:rPr>
        <w:t>填报人：</w:t>
      </w:r>
      <w:r>
        <w:rPr>
          <w:rFonts w:hint="eastAsia" w:ascii="宋体" w:hAnsi="宋体"/>
          <w:szCs w:val="21"/>
          <w:lang w:eastAsia="zh-CN"/>
        </w:rPr>
        <w:t>黄滔</w:t>
      </w:r>
      <w:r>
        <w:rPr>
          <w:rFonts w:ascii="宋体" w:hAnsi="宋体"/>
          <w:szCs w:val="21"/>
        </w:rPr>
        <w:t xml:space="preserve">          </w:t>
      </w:r>
      <w:r>
        <w:rPr>
          <w:rFonts w:hint="eastAsia" w:ascii="宋体" w:hAnsi="宋体"/>
          <w:szCs w:val="21"/>
        </w:rPr>
        <w:t>联系电话：</w:t>
      </w:r>
      <w:r>
        <w:rPr>
          <w:rFonts w:hint="eastAsia" w:ascii="宋体" w:hAnsi="宋体"/>
          <w:szCs w:val="21"/>
          <w:lang w:eastAsia="zh-CN"/>
        </w:rPr>
        <w:t>13973939471</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rPr>
        <w:t>2022</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21日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 xml:space="preserve"> </w:t>
      </w:r>
      <w:r>
        <w:rPr>
          <w:rFonts w:ascii="黑体" w:hAnsi="宋体" w:eastAsia="黑体" w:cs="宋体"/>
          <w:kern w:val="0"/>
          <w:sz w:val="32"/>
          <w:szCs w:val="32"/>
        </w:rPr>
        <w:t xml:space="preserve">                                 </w:t>
      </w: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ascii="方正小标宋简体" w:eastAsia="方正小标宋简体"/>
          <w:b/>
          <w:bCs/>
          <w:kern w:val="0"/>
          <w:sz w:val="36"/>
          <w:szCs w:val="36"/>
        </w:rPr>
      </w:pPr>
      <w:r>
        <w:rPr>
          <w:rFonts w:hint="eastAsia" w:ascii="方正小标宋简体" w:eastAsia="方正小标宋简体"/>
          <w:b/>
          <w:bCs/>
          <w:kern w:val="0"/>
          <w:sz w:val="36"/>
          <w:szCs w:val="36"/>
        </w:rPr>
        <w:t>部门整体支出绩效自评报告</w:t>
      </w:r>
    </w:p>
    <w:p>
      <w:pPr>
        <w:jc w:val="center"/>
        <w:rPr>
          <w:rFonts w:eastAsia="仿宋_GB2312"/>
          <w:b/>
          <w:sz w:val="32"/>
          <w:szCs w:val="32"/>
        </w:rPr>
      </w:pPr>
    </w:p>
    <w:p>
      <w:pPr>
        <w:ind w:firstLine="420" w:firstLineChars="200"/>
      </w:pP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一、部门概况</w:t>
      </w:r>
    </w:p>
    <w:p>
      <w:pPr>
        <w:spacing w:line="600" w:lineRule="exact"/>
        <w:ind w:firstLine="482" w:firstLineChars="150"/>
        <w:rPr>
          <w:rFonts w:eastAsia="仿宋_GB2312"/>
          <w:b/>
          <w:sz w:val="32"/>
          <w:szCs w:val="32"/>
        </w:rPr>
      </w:pPr>
      <w:r>
        <w:rPr>
          <w:rFonts w:hint="eastAsia" w:eastAsia="仿宋_GB2312"/>
          <w:b/>
          <w:sz w:val="32"/>
          <w:szCs w:val="32"/>
        </w:rPr>
        <w:t>（一）部门基本情况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楷体" w:hAnsi="楷体" w:eastAsia="楷体" w:cs="楷体"/>
          <w:sz w:val="28"/>
          <w:szCs w:val="28"/>
        </w:rPr>
      </w:pPr>
      <w:r>
        <w:rPr>
          <w:rFonts w:hint="eastAsia" w:ascii="仿宋_GB2312" w:eastAsia="仿宋_GB2312"/>
          <w:sz w:val="28"/>
          <w:szCs w:val="28"/>
        </w:rPr>
        <w:t>单位基本情况</w:t>
      </w:r>
      <w:r>
        <w:rPr>
          <w:rFonts w:hint="eastAsia" w:ascii="楷体" w:hAnsi="楷体" w:eastAsia="楷体" w:cs="楷体"/>
          <w:color w:val="333333"/>
          <w:sz w:val="28"/>
          <w:szCs w:val="28"/>
          <w:shd w:val="clear" w:color="auto" w:fill="FFFFFF"/>
        </w:rPr>
        <w:t>：</w:t>
      </w:r>
      <w:r>
        <w:rPr>
          <w:rFonts w:hint="eastAsia" w:ascii="楷体" w:hAnsi="楷体" w:eastAsia="楷体" w:cs="楷体"/>
          <w:color w:val="333333"/>
          <w:sz w:val="28"/>
          <w:szCs w:val="28"/>
          <w:shd w:val="clear" w:color="auto" w:fill="FFFFFF"/>
        </w:rPr>
        <w:br w:type="textWrapping"/>
      </w:r>
      <w:r>
        <w:rPr>
          <w:rFonts w:hint="eastAsia" w:ascii="楷体" w:hAnsi="楷体" w:eastAsia="楷体" w:cs="楷体"/>
          <w:color w:val="333333"/>
          <w:sz w:val="28"/>
          <w:szCs w:val="28"/>
          <w:shd w:val="clear" w:color="auto" w:fill="FFFFFF"/>
        </w:rPr>
        <w:t xml:space="preserve">    </w:t>
      </w:r>
      <w:r>
        <w:rPr>
          <w:rFonts w:hint="eastAsia" w:ascii="楷体" w:hAnsi="楷体" w:eastAsia="楷体" w:cs="楷体"/>
          <w:sz w:val="28"/>
          <w:szCs w:val="28"/>
        </w:rPr>
        <w:t xml:space="preserve"> 隆回县行政审批服务局编制人数35人，实际人数33人，遗属补助人数0人，小车编制数0台，实际0台，房屋面积5000平方米。</w:t>
      </w:r>
    </w:p>
    <w:p>
      <w:pPr>
        <w:spacing w:line="600" w:lineRule="exact"/>
        <w:ind w:firstLine="321" w:firstLineChars="100"/>
        <w:rPr>
          <w:rFonts w:eastAsia="仿宋_GB2312"/>
          <w:b/>
          <w:sz w:val="32"/>
          <w:szCs w:val="32"/>
        </w:rPr>
      </w:pPr>
      <w:r>
        <w:rPr>
          <w:rFonts w:hint="eastAsia" w:eastAsia="仿宋_GB2312"/>
          <w:b/>
          <w:sz w:val="32"/>
          <w:szCs w:val="32"/>
        </w:rPr>
        <w:t>（二）</w:t>
      </w:r>
      <w:r>
        <w:rPr>
          <w:rFonts w:eastAsia="仿宋_GB2312"/>
          <w:b/>
          <w:sz w:val="32"/>
          <w:szCs w:val="32"/>
        </w:rPr>
        <w:t>20</w:t>
      </w:r>
      <w:r>
        <w:rPr>
          <w:rFonts w:hint="eastAsia" w:eastAsia="仿宋_GB2312"/>
          <w:b/>
          <w:sz w:val="32"/>
          <w:szCs w:val="32"/>
        </w:rPr>
        <w:t>21年的重点工作</w:t>
      </w:r>
    </w:p>
    <w:p>
      <w:pPr>
        <w:ind w:firstLine="840" w:firstLineChars="300"/>
        <w:textAlignment w:val="baseline"/>
        <w:rPr>
          <w:rFonts w:hint="eastAsia" w:ascii="楷体" w:hAnsi="楷体" w:eastAsia="楷体" w:cs="楷体"/>
          <w:kern w:val="0"/>
          <w:sz w:val="28"/>
          <w:szCs w:val="28"/>
          <w:lang w:val="en-US" w:eastAsia="zh-CN" w:bidi="ar-SA"/>
        </w:rPr>
      </w:pPr>
      <w:r>
        <w:rPr>
          <w:rFonts w:hint="eastAsia" w:ascii="楷体" w:hAnsi="楷体" w:eastAsia="楷体" w:cs="楷体"/>
          <w:kern w:val="0"/>
          <w:sz w:val="28"/>
          <w:szCs w:val="28"/>
          <w:lang w:val="en-US" w:eastAsia="zh-CN" w:bidi="ar-SA"/>
        </w:rPr>
        <w:t>持续推进简政放权。1是稳步推进“放管服”改革。2是纵深推进“一件事一次办”改革。3是深化“三集中三到位”改革。4是精准化精细化放权赋能。</w:t>
      </w:r>
    </w:p>
    <w:p>
      <w:pPr>
        <w:ind w:firstLine="840" w:firstLineChars="300"/>
        <w:textAlignment w:val="baseline"/>
        <w:rPr>
          <w:rFonts w:hint="eastAsia" w:ascii="楷体" w:hAnsi="楷体" w:eastAsia="楷体" w:cs="楷体"/>
          <w:kern w:val="0"/>
          <w:sz w:val="28"/>
          <w:szCs w:val="28"/>
          <w:lang w:val="en-US" w:eastAsia="zh-CN" w:bidi="ar-SA"/>
        </w:rPr>
      </w:pPr>
      <w:r>
        <w:rPr>
          <w:rFonts w:hint="eastAsia" w:ascii="楷体" w:hAnsi="楷体" w:eastAsia="楷体" w:cs="楷体"/>
          <w:kern w:val="0"/>
          <w:sz w:val="28"/>
          <w:szCs w:val="28"/>
          <w:lang w:val="en-US" w:eastAsia="zh-CN" w:bidi="ar-SA"/>
        </w:rPr>
        <w:t>持续提升服务能力。1是完善政务服务大厅功能设施。2是加快“数字政府”建设。3是推进政务服务标准化、规范化、便利化。</w:t>
      </w:r>
    </w:p>
    <w:p>
      <w:pPr>
        <w:widowControl/>
        <w:ind w:firstLine="560" w:firstLineChars="200"/>
        <w:textAlignment w:val="baseline"/>
        <w:rPr>
          <w:rFonts w:hint="eastAsia" w:ascii="楷体" w:hAnsi="楷体" w:eastAsia="楷体" w:cs="楷体"/>
          <w:kern w:val="0"/>
          <w:sz w:val="28"/>
          <w:szCs w:val="28"/>
          <w:lang w:val="en-US" w:eastAsia="zh-CN" w:bidi="ar-SA"/>
        </w:rPr>
      </w:pPr>
      <w:r>
        <w:rPr>
          <w:rFonts w:hint="eastAsia" w:ascii="楷体" w:hAnsi="楷体" w:eastAsia="楷体" w:cs="楷体"/>
          <w:kern w:val="0"/>
          <w:sz w:val="28"/>
          <w:szCs w:val="28"/>
          <w:lang w:val="en-US" w:eastAsia="zh-CN" w:bidi="ar-SA"/>
        </w:rPr>
        <w:t>持续强化干群交流。1是创新“网上政府”。2是高质量深化政务公开。开设政务公开专区，为办事群众提供政策咨询、解读、办事指引等服务。依托市“互联网+政务服务”一体化平台，构建隆回县基层政务公开标准化规范化专栏，创新增加信息分享、信息评价、热度展示等功能和按钮，进一步保障群众的知情权和参与权。三是强化运用政务服务监管系统。强化“好差评”和“红黄牌”系统运用，大力提高行政效能和服务质量。截止目前，政务服务“好差评”评价总数 101488 条，主动评价数101007条，主动评价率99.53%，好评率99.99%。电子监察系统共发出“红黄牌”预警178条，及时督促限期办结，全县未出现一起超期办理现象。加强12345热线优化归并，目前已整合16条热线，剩余27条热线待系统升级后进行整合。用心用情做好群众热线诉求办理，今年共接转热线46933人次，群众满意率99.89%。</w:t>
      </w:r>
    </w:p>
    <w:p>
      <w:pPr>
        <w:spacing w:line="600" w:lineRule="exact"/>
        <w:ind w:firstLine="643" w:firstLineChars="200"/>
        <w:rPr>
          <w:rFonts w:eastAsia="仿宋_GB2312"/>
          <w:b/>
          <w:sz w:val="32"/>
          <w:szCs w:val="32"/>
        </w:rPr>
      </w:pPr>
      <w:r>
        <w:rPr>
          <w:rFonts w:hint="eastAsia" w:eastAsia="仿宋_GB2312"/>
          <w:b/>
          <w:sz w:val="32"/>
          <w:szCs w:val="32"/>
        </w:rPr>
        <w:t>（三）部门整体支出情况</w:t>
      </w:r>
    </w:p>
    <w:p>
      <w:pPr>
        <w:snapToGrid w:val="0"/>
        <w:spacing w:line="520" w:lineRule="exact"/>
        <w:ind w:firstLine="700" w:firstLineChars="250"/>
        <w:rPr>
          <w:rFonts w:ascii="仿宋_GB2312" w:eastAsia="仿宋_GB2312"/>
          <w:sz w:val="28"/>
          <w:szCs w:val="28"/>
        </w:rPr>
      </w:pPr>
      <w:r>
        <w:rPr>
          <w:rFonts w:hint="eastAsia" w:ascii="仿宋_GB2312" w:eastAsia="仿宋_GB2312"/>
          <w:sz w:val="28"/>
          <w:szCs w:val="28"/>
        </w:rPr>
        <w:t>2021年度决算支出为</w:t>
      </w:r>
      <w:r>
        <w:rPr>
          <w:rFonts w:hint="eastAsia" w:ascii="仿宋_GB2312" w:eastAsia="仿宋_GB2312"/>
          <w:sz w:val="28"/>
          <w:szCs w:val="28"/>
          <w:lang w:val="en-US" w:eastAsia="zh-CN"/>
        </w:rPr>
        <w:t>987.66</w:t>
      </w:r>
      <w:r>
        <w:rPr>
          <w:rFonts w:hint="eastAsia" w:ascii="仿宋_GB2312" w:eastAsia="仿宋_GB2312"/>
          <w:sz w:val="28"/>
          <w:szCs w:val="28"/>
        </w:rPr>
        <w:t>万元。</w:t>
      </w: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二、部门整体支出管理及使用情况</w:t>
      </w:r>
    </w:p>
    <w:p>
      <w:pPr>
        <w:spacing w:line="600" w:lineRule="exact"/>
        <w:ind w:firstLine="643" w:firstLineChars="200"/>
        <w:rPr>
          <w:rFonts w:eastAsia="仿宋_GB2312"/>
          <w:b/>
          <w:sz w:val="32"/>
          <w:szCs w:val="32"/>
        </w:rPr>
      </w:pPr>
      <w:r>
        <w:rPr>
          <w:rFonts w:hint="eastAsia" w:eastAsia="仿宋_GB2312"/>
          <w:b/>
          <w:sz w:val="32"/>
          <w:szCs w:val="32"/>
        </w:rPr>
        <w:t>（一）基本支出情况</w:t>
      </w:r>
    </w:p>
    <w:p>
      <w:pPr>
        <w:pStyle w:val="7"/>
        <w:ind w:firstLine="700" w:firstLineChars="250"/>
      </w:pPr>
      <w:r>
        <w:rPr>
          <w:rFonts w:hint="eastAsia" w:ascii="楷体" w:hAnsi="楷体" w:eastAsia="楷体" w:cs="楷体"/>
          <w:color w:val="333333"/>
          <w:sz w:val="28"/>
          <w:szCs w:val="28"/>
          <w:shd w:val="clear" w:color="auto" w:fill="FFFFFF"/>
        </w:rPr>
        <w:t>2021年度决算数为</w:t>
      </w:r>
      <w:r>
        <w:rPr>
          <w:rFonts w:hint="eastAsia" w:ascii="楷体" w:hAnsi="楷体" w:eastAsia="楷体"/>
          <w:sz w:val="28"/>
          <w:szCs w:val="28"/>
          <w:lang w:val="en-US" w:eastAsia="zh-CN"/>
        </w:rPr>
        <w:t>444.06</w:t>
      </w:r>
      <w:r>
        <w:rPr>
          <w:rFonts w:hint="eastAsia" w:ascii="楷体" w:hAnsi="楷体" w:eastAsia="楷体" w:cs="楷体"/>
          <w:color w:val="333333"/>
          <w:sz w:val="28"/>
          <w:szCs w:val="28"/>
          <w:shd w:val="clear" w:color="auto" w:fill="FFFFFF"/>
        </w:rPr>
        <w:t>万元，是指为保障单位机构正常运转、完成日常工作任务而发生的各项支出，包括用于基本工资、津贴补贴等人员经费以及办公费、印刷费、水电费及办公设备购置等日常公用经费。</w:t>
      </w:r>
    </w:p>
    <w:p>
      <w:pPr>
        <w:spacing w:line="600" w:lineRule="exact"/>
        <w:ind w:firstLine="643" w:firstLineChars="200"/>
        <w:rPr>
          <w:rFonts w:eastAsia="仿宋_GB2312"/>
          <w:b/>
          <w:sz w:val="32"/>
          <w:szCs w:val="32"/>
        </w:rPr>
      </w:pPr>
      <w:r>
        <w:rPr>
          <w:rFonts w:hint="eastAsia" w:eastAsia="仿宋_GB2312"/>
          <w:b/>
          <w:sz w:val="32"/>
          <w:szCs w:val="32"/>
        </w:rPr>
        <w:t>（二）项目支出情况</w:t>
      </w:r>
    </w:p>
    <w:p>
      <w:pPr>
        <w:pStyle w:val="7"/>
        <w:ind w:firstLine="560"/>
        <w:rPr>
          <w:rFonts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2021年年度决算数为</w:t>
      </w:r>
      <w:r>
        <w:rPr>
          <w:rFonts w:hint="eastAsia" w:ascii="楷体" w:hAnsi="楷体" w:eastAsia="楷体" w:cs="楷体"/>
          <w:color w:val="333333"/>
          <w:sz w:val="28"/>
          <w:szCs w:val="28"/>
          <w:shd w:val="clear" w:color="auto" w:fill="FFFFFF"/>
          <w:lang w:val="en-US" w:eastAsia="zh-CN"/>
        </w:rPr>
        <w:t>543.6</w:t>
      </w:r>
      <w:r>
        <w:rPr>
          <w:rFonts w:hint="eastAsia" w:ascii="楷体" w:hAnsi="楷体" w:eastAsia="楷体" w:cs="楷体"/>
          <w:color w:val="333333"/>
          <w:sz w:val="28"/>
          <w:szCs w:val="28"/>
          <w:shd w:val="clear" w:color="auto" w:fill="FFFFFF"/>
        </w:rPr>
        <w:t>万元，是指单位为完成选定行政工作或事业发展目标而发生的支出，包括有关事业发展专项、专项业务费、基本建设支出等。</w:t>
      </w:r>
    </w:p>
    <w:p>
      <w:pPr>
        <w:pStyle w:val="7"/>
        <w:ind w:firstLine="700" w:firstLineChars="250"/>
        <w:rPr>
          <w:rFonts w:ascii="楷体" w:hAnsi="楷体" w:eastAsia="楷体" w:cs="楷体"/>
          <w:color w:val="333333"/>
          <w:sz w:val="28"/>
          <w:szCs w:val="28"/>
          <w:shd w:val="clear" w:color="auto" w:fill="FFFFFF"/>
        </w:rPr>
      </w:pPr>
    </w:p>
    <w:p>
      <w:pPr>
        <w:pStyle w:val="7"/>
        <w:ind w:firstLine="643"/>
        <w:rPr>
          <w:rFonts w:ascii="楷体" w:hAnsi="楷体" w:eastAsia="楷体" w:cs="楷体"/>
          <w:b/>
          <w:color w:val="333333"/>
          <w:szCs w:val="32"/>
          <w:shd w:val="clear" w:color="auto" w:fill="FFFFFF"/>
        </w:rPr>
      </w:pPr>
      <w:r>
        <w:rPr>
          <w:rFonts w:hint="eastAsia" w:ascii="楷体" w:hAnsi="楷体" w:eastAsia="楷体" w:cs="楷体"/>
          <w:b/>
          <w:color w:val="333333"/>
          <w:szCs w:val="32"/>
          <w:shd w:val="clear" w:color="auto" w:fill="FFFFFF"/>
        </w:rPr>
        <w:t>（三）</w:t>
      </w:r>
      <w:r>
        <w:rPr>
          <w:rFonts w:ascii="楷体" w:hAnsi="楷体" w:eastAsia="楷体" w:cs="楷体"/>
          <w:b/>
          <w:color w:val="333333"/>
          <w:szCs w:val="32"/>
          <w:shd w:val="clear" w:color="auto" w:fill="FFFFFF"/>
        </w:rPr>
        <w:t>“</w:t>
      </w:r>
      <w:r>
        <w:rPr>
          <w:rFonts w:hint="eastAsia" w:ascii="楷体" w:hAnsi="楷体" w:eastAsia="楷体" w:cs="楷体"/>
          <w:b/>
          <w:color w:val="333333"/>
          <w:szCs w:val="32"/>
          <w:shd w:val="clear" w:color="auto" w:fill="FFFFFF"/>
        </w:rPr>
        <w:t>三公</w:t>
      </w:r>
      <w:r>
        <w:rPr>
          <w:rFonts w:ascii="楷体" w:hAnsi="楷体" w:eastAsia="楷体" w:cs="楷体"/>
          <w:b/>
          <w:color w:val="333333"/>
          <w:szCs w:val="32"/>
          <w:shd w:val="clear" w:color="auto" w:fill="FFFFFF"/>
        </w:rPr>
        <w:t>”</w:t>
      </w:r>
      <w:r>
        <w:rPr>
          <w:rFonts w:hint="eastAsia" w:ascii="楷体" w:hAnsi="楷体" w:eastAsia="楷体" w:cs="楷体"/>
          <w:b/>
          <w:color w:val="333333"/>
          <w:szCs w:val="32"/>
          <w:shd w:val="clear" w:color="auto" w:fill="FFFFFF"/>
        </w:rPr>
        <w:t>经费情况</w:t>
      </w:r>
    </w:p>
    <w:p>
      <w:pPr>
        <w:pStyle w:val="7"/>
        <w:ind w:firstLine="700" w:firstLineChars="250"/>
        <w:rPr>
          <w:rFonts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 xml:space="preserve">2021年我单位“三公”经费 </w:t>
      </w:r>
      <w:r>
        <w:rPr>
          <w:rFonts w:hint="eastAsia" w:ascii="楷体" w:hAnsi="楷体" w:eastAsia="楷体" w:cs="楷体"/>
          <w:color w:val="333333"/>
          <w:sz w:val="28"/>
          <w:szCs w:val="28"/>
          <w:shd w:val="clear" w:color="auto" w:fill="FFFFFF"/>
          <w:lang w:eastAsia="zh-CN"/>
        </w:rPr>
        <w:t>3</w:t>
      </w:r>
      <w:r>
        <w:rPr>
          <w:rFonts w:hint="eastAsia" w:ascii="楷体" w:hAnsi="楷体" w:eastAsia="楷体" w:cs="楷体"/>
          <w:color w:val="333333"/>
          <w:sz w:val="28"/>
          <w:szCs w:val="28"/>
          <w:shd w:val="clear" w:color="auto" w:fill="FFFFFF"/>
        </w:rPr>
        <w:t>万元。</w:t>
      </w:r>
    </w:p>
    <w:p>
      <w:pPr>
        <w:pStyle w:val="7"/>
        <w:ind w:firstLine="700" w:firstLineChars="250"/>
        <w:rPr>
          <w:rFonts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1、因公出国(境)费0元；</w:t>
      </w:r>
    </w:p>
    <w:p>
      <w:pPr>
        <w:pStyle w:val="7"/>
        <w:ind w:firstLine="700" w:firstLineChars="250"/>
        <w:rPr>
          <w:rFonts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2、公务接待费</w:t>
      </w:r>
      <w:r>
        <w:rPr>
          <w:rFonts w:hint="eastAsia" w:ascii="楷体" w:hAnsi="楷体" w:eastAsia="楷体" w:cs="楷体"/>
          <w:color w:val="333333"/>
          <w:sz w:val="28"/>
          <w:szCs w:val="28"/>
          <w:shd w:val="clear" w:color="auto" w:fill="FFFFFF"/>
          <w:lang w:eastAsia="zh-CN"/>
        </w:rPr>
        <w:t>1.44</w:t>
      </w:r>
      <w:r>
        <w:rPr>
          <w:rFonts w:hint="eastAsia" w:ascii="楷体" w:hAnsi="楷体" w:eastAsia="楷体" w:cs="楷体"/>
          <w:color w:val="333333"/>
          <w:sz w:val="28"/>
          <w:szCs w:val="28"/>
          <w:shd w:val="clear" w:color="auto" w:fill="FFFFFF"/>
        </w:rPr>
        <w:t>万元；</w:t>
      </w:r>
    </w:p>
    <w:p>
      <w:pPr>
        <w:pStyle w:val="7"/>
        <w:ind w:firstLine="700" w:firstLineChars="250"/>
        <w:rPr>
          <w:rFonts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rPr>
        <w:t>3、公务用车费0万元（公务用车运行维护费0万元，公务用车购置费 0 元）。</w:t>
      </w:r>
    </w:p>
    <w:p>
      <w:pPr>
        <w:pStyle w:val="7"/>
        <w:ind w:firstLine="700" w:firstLineChars="250"/>
        <w:rPr>
          <w:rFonts w:ascii="楷体" w:hAnsi="楷体" w:eastAsia="楷体" w:cs="楷体"/>
          <w:color w:val="333333"/>
          <w:sz w:val="28"/>
          <w:szCs w:val="28"/>
          <w:shd w:val="clear" w:color="auto" w:fill="FFFFFF"/>
        </w:rPr>
      </w:pPr>
    </w:p>
    <w:p>
      <w:pPr>
        <w:pStyle w:val="6"/>
        <w:widowControl/>
        <w:spacing w:before="0" w:beforeAutospacing="0" w:after="0" w:afterAutospacing="0" w:line="480" w:lineRule="auto"/>
        <w:ind w:firstLine="643" w:firstLineChars="200"/>
        <w:jc w:val="both"/>
        <w:rPr>
          <w:rFonts w:ascii="黑体" w:hAnsi="黑体" w:eastAsia="黑体"/>
          <w:b/>
          <w:sz w:val="32"/>
          <w:szCs w:val="32"/>
        </w:rPr>
      </w:pPr>
      <w:r>
        <w:rPr>
          <w:rFonts w:hint="eastAsia" w:ascii="黑体" w:hAnsi="黑体" w:eastAsia="黑体"/>
          <w:b/>
          <w:sz w:val="32"/>
          <w:szCs w:val="32"/>
        </w:rPr>
        <w:t>三、部门整体支出绩效情况</w:t>
      </w:r>
    </w:p>
    <w:p>
      <w:pPr>
        <w:pStyle w:val="6"/>
        <w:shd w:val="clear" w:color="auto" w:fill="FFFFFF"/>
        <w:spacing w:before="0" w:beforeAutospacing="0" w:after="0" w:afterAutospacing="0" w:line="48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财务管理制度建设情况：资金拨付严格按程序申报、审批，合理合规使用资金，确保财政资金安全。</w:t>
      </w:r>
    </w:p>
    <w:p>
      <w:pPr>
        <w:pStyle w:val="6"/>
        <w:shd w:val="clear" w:color="auto" w:fill="FFFFFF"/>
        <w:spacing w:before="0" w:beforeAutospacing="0" w:after="0" w:afterAutospacing="0" w:line="48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资产管理：及时按照要求报送资产情况报表，确保各项资产核算准确、帐实相符、管理到位。</w:t>
      </w:r>
    </w:p>
    <w:p>
      <w:pPr>
        <w:pStyle w:val="6"/>
        <w:shd w:val="clear" w:color="auto" w:fill="FFFFFF"/>
        <w:spacing w:before="0" w:beforeAutospacing="0" w:after="0" w:afterAutospacing="0" w:line="48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预决算公开：及时在县人民政府门户网站上进行了预决算公开。</w:t>
      </w:r>
    </w:p>
    <w:p>
      <w:pPr>
        <w:pStyle w:val="6"/>
        <w:shd w:val="clear" w:color="auto" w:fill="FFFFFF"/>
        <w:spacing w:before="0" w:beforeAutospacing="0" w:after="0" w:afterAutospacing="0" w:line="48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“三公经费”控制情况：能严格遵守各项规章制度，严控“三公”经费支出，并及时在县人民政府门户网站上对“三公”经费情况进行公示。</w:t>
      </w:r>
    </w:p>
    <w:p>
      <w:pPr>
        <w:pStyle w:val="6"/>
        <w:shd w:val="clear" w:color="auto" w:fill="FFFFFF"/>
        <w:spacing w:before="0" w:beforeAutospacing="0" w:after="0" w:afterAutospacing="0" w:line="480" w:lineRule="exact"/>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rPr>
        <w:t>认真履行职责，及时报送财政供养信息、存量资金等有关资料及报表。</w:t>
      </w:r>
    </w:p>
    <w:p>
      <w:pPr>
        <w:pStyle w:val="6"/>
        <w:shd w:val="clear" w:color="auto" w:fill="FFFFFF"/>
        <w:spacing w:before="0" w:beforeAutospacing="0" w:after="0" w:afterAutospacing="0" w:line="480" w:lineRule="exact"/>
        <w:ind w:firstLine="560" w:firstLineChars="200"/>
        <w:rPr>
          <w:rFonts w:ascii="楷体" w:hAnsi="楷体" w:eastAsia="楷体" w:cs="楷体"/>
          <w:color w:val="000000"/>
          <w:sz w:val="28"/>
          <w:szCs w:val="28"/>
        </w:rPr>
      </w:pPr>
    </w:p>
    <w:p>
      <w:pPr>
        <w:pStyle w:val="6"/>
        <w:widowControl/>
        <w:spacing w:before="0" w:beforeAutospacing="0" w:after="0" w:afterAutospacing="0" w:line="480" w:lineRule="auto"/>
        <w:ind w:firstLine="643" w:firstLineChars="200"/>
        <w:jc w:val="both"/>
        <w:rPr>
          <w:rFonts w:ascii="黑体" w:hAnsi="黑体" w:eastAsia="黑体"/>
          <w:b/>
          <w:sz w:val="32"/>
          <w:szCs w:val="32"/>
        </w:rPr>
      </w:pPr>
      <w:r>
        <w:rPr>
          <w:rFonts w:hint="eastAsia" w:ascii="黑体" w:hAnsi="黑体" w:eastAsia="黑体"/>
          <w:b/>
          <w:sz w:val="32"/>
          <w:szCs w:val="32"/>
        </w:rPr>
        <w:t>四、存在的问题</w:t>
      </w:r>
    </w:p>
    <w:p>
      <w:pPr>
        <w:pStyle w:val="6"/>
        <w:widowControl/>
        <w:spacing w:before="0" w:beforeAutospacing="0" w:after="0" w:afterAutospacing="0" w:line="240" w:lineRule="atLeast"/>
        <w:ind w:firstLine="560" w:firstLineChars="200"/>
        <w:jc w:val="both"/>
        <w:rPr>
          <w:rFonts w:ascii="楷体" w:hAnsi="楷体" w:eastAsia="楷体" w:cs="楷体"/>
          <w:sz w:val="28"/>
          <w:szCs w:val="28"/>
        </w:rPr>
      </w:pPr>
      <w:r>
        <w:rPr>
          <w:rFonts w:hint="eastAsia" w:ascii="楷体" w:hAnsi="楷体" w:eastAsia="楷体" w:cs="楷体"/>
          <w:sz w:val="28"/>
          <w:szCs w:val="28"/>
          <w:shd w:val="clear" w:color="auto" w:fill="FFFFFF"/>
        </w:rPr>
        <w:t>1、预算编制工作有待细化。预算编制不够明确和细化，预算编制的合理性需要提高，预算执行力度还要进一步加强。</w:t>
      </w:r>
    </w:p>
    <w:p>
      <w:pPr>
        <w:pStyle w:val="6"/>
        <w:widowControl/>
        <w:spacing w:before="0" w:beforeAutospacing="0" w:after="0" w:afterAutospacing="0" w:line="240" w:lineRule="atLeast"/>
        <w:ind w:firstLine="560" w:firstLineChars="200"/>
        <w:jc w:val="both"/>
        <w:rPr>
          <w:rFonts w:ascii="楷体" w:hAnsi="楷体" w:eastAsia="楷体" w:cs="楷体"/>
          <w:sz w:val="28"/>
          <w:szCs w:val="28"/>
          <w:shd w:val="clear" w:color="auto" w:fill="FFFFFF"/>
        </w:rPr>
      </w:pPr>
      <w:r>
        <w:rPr>
          <w:rFonts w:hint="eastAsia" w:ascii="楷体" w:hAnsi="楷体" w:eastAsia="楷体" w:cs="楷体"/>
          <w:sz w:val="28"/>
          <w:szCs w:val="28"/>
          <w:shd w:val="clear" w:color="auto" w:fill="FFFFFF"/>
        </w:rPr>
        <w:t>2、公用经费的支出数大于预算数。</w:t>
      </w:r>
    </w:p>
    <w:p>
      <w:pPr>
        <w:pStyle w:val="6"/>
        <w:widowControl/>
        <w:spacing w:before="0" w:beforeAutospacing="0" w:after="0" w:afterAutospacing="0" w:line="240" w:lineRule="atLeast"/>
        <w:ind w:firstLine="560" w:firstLineChars="200"/>
        <w:jc w:val="both"/>
        <w:rPr>
          <w:rFonts w:ascii="楷体" w:hAnsi="楷体" w:eastAsia="楷体" w:cs="楷体"/>
          <w:sz w:val="28"/>
          <w:szCs w:val="28"/>
          <w:shd w:val="clear" w:color="auto" w:fill="FFFFFF"/>
        </w:rPr>
      </w:pPr>
      <w:r>
        <w:rPr>
          <w:rFonts w:hint="eastAsia" w:ascii="楷体" w:hAnsi="楷体" w:eastAsia="楷体" w:cs="楷体"/>
          <w:sz w:val="28"/>
          <w:szCs w:val="28"/>
          <w:shd w:val="clear" w:color="auto" w:fill="FFFFFF"/>
        </w:rPr>
        <w:t>3、工会经费等人头经费严重不足。</w:t>
      </w:r>
    </w:p>
    <w:p>
      <w:pPr>
        <w:pStyle w:val="6"/>
        <w:widowControl/>
        <w:spacing w:before="0" w:beforeAutospacing="0" w:after="0" w:afterAutospacing="0" w:line="240" w:lineRule="atLeast"/>
        <w:ind w:firstLine="560" w:firstLineChars="200"/>
        <w:jc w:val="both"/>
        <w:rPr>
          <w:rFonts w:ascii="楷体" w:hAnsi="楷体" w:eastAsia="楷体" w:cs="楷体"/>
          <w:sz w:val="28"/>
          <w:szCs w:val="28"/>
        </w:rPr>
      </w:pP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五、改进措施和有关建议</w:t>
      </w:r>
    </w:p>
    <w:p>
      <w:pPr>
        <w:pStyle w:val="7"/>
        <w:ind w:firstLine="640"/>
      </w:pPr>
    </w:p>
    <w:p>
      <w:pPr>
        <w:pStyle w:val="6"/>
        <w:widowControl/>
        <w:spacing w:before="0" w:beforeAutospacing="0" w:after="0" w:afterAutospacing="0" w:line="240" w:lineRule="atLeast"/>
        <w:ind w:firstLine="420"/>
        <w:jc w:val="both"/>
        <w:rPr>
          <w:rFonts w:ascii="楷体" w:hAnsi="楷体" w:eastAsia="楷体" w:cs="楷体"/>
          <w:sz w:val="28"/>
          <w:szCs w:val="28"/>
          <w:shd w:val="clear" w:color="auto" w:fill="FFFFFF"/>
        </w:rPr>
      </w:pPr>
      <w:r>
        <w:rPr>
          <w:rFonts w:hint="eastAsia" w:ascii="楷体" w:hAnsi="楷体" w:eastAsia="楷体" w:cs="楷体"/>
          <w:sz w:val="28"/>
          <w:szCs w:val="28"/>
          <w:shd w:val="clear" w:color="auto" w:fill="FFFFFF"/>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pStyle w:val="6"/>
        <w:widowControl/>
        <w:spacing w:before="0" w:beforeAutospacing="0" w:after="0" w:afterAutospacing="0" w:line="240" w:lineRule="atLeast"/>
        <w:ind w:firstLine="420"/>
        <w:jc w:val="both"/>
        <w:rPr>
          <w:rFonts w:ascii="楷体" w:hAnsi="楷体" w:eastAsia="楷体" w:cs="楷体"/>
          <w:sz w:val="28"/>
          <w:szCs w:val="28"/>
        </w:rPr>
      </w:pPr>
      <w:r>
        <w:rPr>
          <w:rFonts w:hint="eastAsia" w:ascii="楷体" w:hAnsi="楷体" w:eastAsia="楷体" w:cs="楷体"/>
          <w:sz w:val="28"/>
          <w:szCs w:val="28"/>
          <w:shd w:val="clear" w:color="auto" w:fill="FFFFFF"/>
        </w:rPr>
        <w:t>2、加强财务管理，严格财务审核。加强单位财务管理，在费用报账支付时，按照预算规定的费用项目和用途进行资金使用审核、列报支付、财务核算，杜绝超支现象的发生。</w:t>
      </w:r>
    </w:p>
    <w:p>
      <w:pPr>
        <w:pStyle w:val="6"/>
        <w:widowControl/>
        <w:spacing w:before="0" w:beforeAutospacing="0" w:after="0" w:afterAutospacing="0" w:line="240" w:lineRule="atLeast"/>
        <w:ind w:firstLine="420"/>
        <w:jc w:val="both"/>
        <w:rPr>
          <w:rFonts w:ascii="楷体" w:hAnsi="楷体" w:eastAsia="楷体" w:cs="楷体"/>
          <w:sz w:val="28"/>
          <w:szCs w:val="28"/>
          <w:shd w:val="clear" w:color="auto" w:fill="FFFFFF"/>
        </w:rPr>
      </w:pPr>
      <w:r>
        <w:rPr>
          <w:rFonts w:hint="eastAsia" w:ascii="楷体" w:hAnsi="楷体" w:eastAsia="楷体" w:cs="楷体"/>
          <w:sz w:val="28"/>
          <w:szCs w:val="28"/>
          <w:shd w:val="clear" w:color="auto" w:fill="FFFFFF"/>
        </w:rPr>
        <w:t>3、完善资产管理，抓好“三公”经费控制。把关“三公”经费支出的审核、审批，杜绝挪用和挤占其他预算资金行为；合理压缩“三公”经费支出。</w:t>
      </w:r>
    </w:p>
    <w:p>
      <w:pPr>
        <w:pStyle w:val="6"/>
        <w:widowControl/>
        <w:spacing w:before="0" w:beforeAutospacing="0" w:after="0" w:afterAutospacing="0" w:line="240" w:lineRule="atLeast"/>
        <w:ind w:firstLine="420"/>
        <w:jc w:val="both"/>
        <w:rPr>
          <w:rFonts w:ascii="楷体" w:hAnsi="楷体" w:eastAsia="楷体" w:cs="楷体"/>
          <w:sz w:val="28"/>
          <w:szCs w:val="28"/>
          <w:shd w:val="clear" w:color="auto" w:fill="FFFFFF"/>
        </w:rPr>
      </w:pPr>
      <w:r>
        <w:rPr>
          <w:rFonts w:hint="eastAsia" w:ascii="楷体" w:hAnsi="楷体" w:eastAsia="楷体" w:cs="楷体"/>
          <w:sz w:val="28"/>
          <w:szCs w:val="28"/>
          <w:shd w:val="clear" w:color="auto" w:fill="FFFFFF"/>
        </w:rPr>
        <w:t>4、希望财政管理部门能落实好单位的社保缺口经费及工会缺口经费。</w:t>
      </w:r>
    </w:p>
    <w:p>
      <w:pPr>
        <w:pStyle w:val="6"/>
        <w:widowControl/>
        <w:spacing w:before="0" w:beforeAutospacing="0" w:after="0" w:afterAutospacing="0" w:line="240" w:lineRule="atLeast"/>
        <w:ind w:firstLine="420"/>
        <w:jc w:val="both"/>
        <w:rPr>
          <w:rFonts w:ascii="楷体" w:hAnsi="楷体" w:eastAsia="楷体" w:cs="楷体"/>
          <w:sz w:val="28"/>
          <w:szCs w:val="28"/>
          <w:shd w:val="clear" w:color="auto" w:fill="FFFFFF"/>
        </w:rPr>
      </w:pPr>
    </w:p>
    <w:p>
      <w:pPr>
        <w:pStyle w:val="6"/>
        <w:widowControl/>
        <w:spacing w:before="0" w:beforeAutospacing="0" w:after="0" w:afterAutospacing="0" w:line="240" w:lineRule="atLeast"/>
        <w:ind w:firstLine="3640" w:firstLineChars="1300"/>
        <w:jc w:val="right"/>
        <w:rPr>
          <w:rFonts w:ascii="楷体" w:hAnsi="楷体" w:eastAsia="楷体" w:cs="楷体"/>
          <w:sz w:val="28"/>
          <w:szCs w:val="28"/>
          <w:shd w:val="clear" w:color="auto" w:fill="FFFFFF"/>
        </w:rPr>
      </w:pPr>
    </w:p>
    <w:p>
      <w:pPr>
        <w:pStyle w:val="6"/>
        <w:widowControl/>
        <w:spacing w:before="0" w:beforeAutospacing="0" w:after="0" w:afterAutospacing="0" w:line="240" w:lineRule="atLeast"/>
        <w:ind w:firstLine="3640" w:firstLineChars="1300"/>
        <w:jc w:val="right"/>
        <w:rPr>
          <w:rFonts w:hint="eastAsia" w:ascii="楷体" w:hAnsi="楷体" w:eastAsia="楷体" w:cs="楷体"/>
          <w:sz w:val="28"/>
          <w:szCs w:val="28"/>
          <w:shd w:val="clear" w:color="auto" w:fill="FFFFFF"/>
          <w:lang w:eastAsia="zh-CN"/>
        </w:rPr>
      </w:pPr>
      <w:r>
        <w:rPr>
          <w:rFonts w:hint="eastAsia" w:ascii="楷体" w:hAnsi="楷体" w:eastAsia="楷体" w:cs="楷体"/>
          <w:sz w:val="28"/>
          <w:szCs w:val="28"/>
          <w:shd w:val="clear" w:color="auto" w:fill="FFFFFF"/>
          <w:lang w:eastAsia="zh-CN"/>
        </w:rPr>
        <w:t xml:space="preserve"> </w:t>
      </w:r>
      <w:r>
        <w:rPr>
          <w:rFonts w:hint="eastAsia" w:ascii="楷体" w:hAnsi="楷体" w:eastAsia="楷体" w:cs="楷体"/>
          <w:sz w:val="28"/>
          <w:szCs w:val="28"/>
          <w:shd w:val="clear" w:color="auto" w:fill="FFFFFF"/>
        </w:rPr>
        <w:t>隆回县</w:t>
      </w:r>
      <w:r>
        <w:rPr>
          <w:rFonts w:hint="eastAsia" w:ascii="楷体" w:hAnsi="楷体" w:eastAsia="楷体" w:cs="楷体"/>
          <w:sz w:val="28"/>
          <w:szCs w:val="28"/>
          <w:shd w:val="clear" w:color="auto" w:fill="FFFFFF"/>
          <w:lang w:eastAsia="zh-CN"/>
        </w:rPr>
        <w:t>行政审批服务局</w:t>
      </w:r>
    </w:p>
    <w:p>
      <w:pPr>
        <w:pStyle w:val="6"/>
        <w:widowControl/>
        <w:spacing w:before="0" w:beforeAutospacing="0" w:after="0" w:afterAutospacing="0" w:line="240" w:lineRule="atLeast"/>
        <w:ind w:firstLine="3640" w:firstLineChars="1300"/>
        <w:jc w:val="right"/>
        <w:rPr>
          <w:rFonts w:ascii="楷体" w:hAnsi="楷体" w:eastAsia="楷体" w:cs="楷体"/>
          <w:sz w:val="28"/>
          <w:szCs w:val="28"/>
          <w:shd w:val="clear" w:color="auto" w:fill="FFFFFF"/>
        </w:rPr>
      </w:pPr>
    </w:p>
    <w:p>
      <w:pPr>
        <w:pStyle w:val="6"/>
        <w:widowControl/>
        <w:spacing w:before="0" w:beforeAutospacing="0" w:after="0" w:afterAutospacing="0" w:line="240" w:lineRule="atLeast"/>
        <w:ind w:firstLine="420"/>
        <w:jc w:val="right"/>
        <w:rPr>
          <w:rFonts w:ascii="楷体" w:hAnsi="楷体" w:eastAsia="楷体" w:cs="楷体"/>
          <w:sz w:val="28"/>
          <w:szCs w:val="28"/>
          <w:shd w:val="clear" w:color="auto" w:fill="FFFFFF"/>
        </w:rPr>
      </w:pPr>
      <w:r>
        <w:rPr>
          <w:rFonts w:hint="eastAsia" w:ascii="楷体" w:hAnsi="楷体" w:eastAsia="楷体" w:cs="楷体"/>
          <w:sz w:val="28"/>
          <w:szCs w:val="28"/>
          <w:shd w:val="clear" w:color="auto" w:fill="FFFFFF"/>
        </w:rPr>
        <w:t xml:space="preserve">                          2022年4月21日</w:t>
      </w: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rFonts w:hint="eastAsia" w:cs="宋体"/>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5</w:t>
    </w:r>
    <w:r>
      <w:rPr>
        <w:sz w:val="28"/>
        <w:szCs w:val="28"/>
      </w:rPr>
      <w:fldChar w:fldCharType="end"/>
    </w:r>
    <w:r>
      <w:rPr>
        <w:rStyle w:val="10"/>
        <w:rFonts w:hint="eastAsia" w:cs="宋体"/>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CB32E1"/>
    <w:multiLevelType w:val="singleLevel"/>
    <w:tmpl w:val="4CCB32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YmZkY2RhNmQxNjhkYWNlZTM0ZjMxZjViMzEzZjkifQ=="/>
  </w:docVars>
  <w:rsids>
    <w:rsidRoot w:val="7B711489"/>
    <w:rsid w:val="00057C7B"/>
    <w:rsid w:val="0016226A"/>
    <w:rsid w:val="0017578B"/>
    <w:rsid w:val="00267812"/>
    <w:rsid w:val="00272BE5"/>
    <w:rsid w:val="002A13D3"/>
    <w:rsid w:val="003A3EF5"/>
    <w:rsid w:val="003B7D59"/>
    <w:rsid w:val="00427905"/>
    <w:rsid w:val="004320C4"/>
    <w:rsid w:val="00444087"/>
    <w:rsid w:val="00446103"/>
    <w:rsid w:val="004809DC"/>
    <w:rsid w:val="004900AD"/>
    <w:rsid w:val="005C2453"/>
    <w:rsid w:val="0065436C"/>
    <w:rsid w:val="008A0037"/>
    <w:rsid w:val="00947949"/>
    <w:rsid w:val="00AA356E"/>
    <w:rsid w:val="00B776E5"/>
    <w:rsid w:val="00BE00C6"/>
    <w:rsid w:val="00CA57FD"/>
    <w:rsid w:val="00CD5335"/>
    <w:rsid w:val="00DB55B8"/>
    <w:rsid w:val="00E05328"/>
    <w:rsid w:val="00E41510"/>
    <w:rsid w:val="00F236F4"/>
    <w:rsid w:val="00F25687"/>
    <w:rsid w:val="00F40ECE"/>
    <w:rsid w:val="00FA4CD8"/>
    <w:rsid w:val="02DA2291"/>
    <w:rsid w:val="16B34BE9"/>
    <w:rsid w:val="31830071"/>
    <w:rsid w:val="445722E1"/>
    <w:rsid w:val="44F91E86"/>
    <w:rsid w:val="5B930B8F"/>
    <w:rsid w:val="5CB21B90"/>
    <w:rsid w:val="630C5145"/>
    <w:rsid w:val="7B71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仿宋_GB2312" w:cs="宋体"/>
      <w:color w:val="000000"/>
      <w:sz w:val="32"/>
      <w:szCs w:val="24"/>
      <w:lang w:val="en-US" w:eastAsia="zh-CN" w:bidi="ar-SA"/>
    </w:rPr>
  </w:style>
  <w:style w:type="paragraph" w:styleId="3">
    <w:name w:val="Body Text Indent"/>
    <w:basedOn w:val="1"/>
    <w:qFormat/>
    <w:uiPriority w:val="0"/>
    <w:pPr>
      <w:ind w:firstLine="640" w:firstLineChars="20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cs="宋体"/>
      <w:kern w:val="0"/>
      <w:sz w:val="24"/>
    </w:rPr>
  </w:style>
  <w:style w:type="paragraph" w:styleId="7">
    <w:name w:val="Body Text First Indent 2"/>
    <w:basedOn w:val="3"/>
    <w:qFormat/>
    <w:uiPriority w:val="99"/>
    <w:pPr>
      <w:ind w:firstLine="42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395</Words>
  <Characters>2253</Characters>
  <Lines>18</Lines>
  <Paragraphs>5</Paragraphs>
  <TotalTime>6</TotalTime>
  <ScaleCrop>false</ScaleCrop>
  <LinksUpToDate>false</LinksUpToDate>
  <CharactersWithSpaces>2643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2021-04-21T06:44:00Z</dcterms:created>
  <dc:creator>曦微。</dc:creator>
  <cp:lastModifiedBy>演示人</cp:lastModifiedBy>
  <dcterms:modified xsi:type="dcterms:W3CDTF">2023-09-22T02:02:16Z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EC4A562252BC4C9F9A8EFAD509C89D26_13</vt:lpwstr>
  </property>
</Properties>
</file>