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08" w:rsidRDefault="00AD5D03">
      <w:pPr>
        <w:pStyle w:val="2"/>
        <w:adjustRightInd w:val="0"/>
        <w:snapToGrid w:val="0"/>
        <w:spacing w:before="0" w:after="0" w:line="600" w:lineRule="exact"/>
        <w:jc w:val="center"/>
        <w:rPr>
          <w:rFonts w:ascii="方正小标宋简体" w:eastAsia="方正小标宋简体" w:hAnsi="Times New Roman"/>
          <w:b w:val="0"/>
          <w:sz w:val="36"/>
          <w:szCs w:val="36"/>
        </w:rPr>
      </w:pPr>
      <w:r>
        <w:rPr>
          <w:rFonts w:ascii="方正小标宋简体" w:eastAsia="方正小标宋简体" w:hAnsi="Times New Roman" w:hint="eastAsia"/>
          <w:b w:val="0"/>
          <w:sz w:val="36"/>
          <w:szCs w:val="36"/>
        </w:rPr>
        <w:t>20</w:t>
      </w:r>
      <w:r w:rsidR="001D0599">
        <w:rPr>
          <w:rFonts w:ascii="方正小标宋简体" w:eastAsia="方正小标宋简体" w:hAnsi="Times New Roman" w:hint="eastAsia"/>
          <w:b w:val="0"/>
          <w:sz w:val="36"/>
          <w:szCs w:val="36"/>
        </w:rPr>
        <w:t>20</w:t>
      </w:r>
      <w:r>
        <w:rPr>
          <w:rFonts w:ascii="方正小标宋简体" w:eastAsia="方正小标宋简体" w:hAnsi="Times New Roman" w:hint="eastAsia"/>
          <w:b w:val="0"/>
          <w:sz w:val="36"/>
          <w:szCs w:val="36"/>
        </w:rPr>
        <w:t>年污水处理费专项资金</w:t>
      </w:r>
    </w:p>
    <w:p w:rsidR="00304908" w:rsidRDefault="00AD5D03">
      <w:pPr>
        <w:pStyle w:val="2"/>
        <w:adjustRightInd w:val="0"/>
        <w:snapToGrid w:val="0"/>
        <w:spacing w:before="0" w:after="0" w:line="600" w:lineRule="exact"/>
        <w:jc w:val="center"/>
        <w:rPr>
          <w:rFonts w:ascii="方正小标宋简体" w:eastAsia="方正小标宋简体" w:hAnsi="Times New Roman"/>
          <w:b w:val="0"/>
          <w:sz w:val="36"/>
          <w:szCs w:val="36"/>
        </w:rPr>
      </w:pPr>
      <w:r>
        <w:rPr>
          <w:rFonts w:ascii="方正小标宋简体" w:eastAsia="方正小标宋简体" w:hAnsi="Times New Roman" w:hint="eastAsia"/>
          <w:b w:val="0"/>
          <w:sz w:val="36"/>
          <w:szCs w:val="36"/>
        </w:rPr>
        <w:t>绩效自评报告</w:t>
      </w:r>
    </w:p>
    <w:p w:rsidR="00304908" w:rsidRDefault="00304908"/>
    <w:p w:rsidR="00304908" w:rsidRDefault="00AD5D03">
      <w:pPr>
        <w:spacing w:line="700" w:lineRule="exact"/>
        <w:ind w:leftChars="-55" w:left="-115" w:rightChars="-43" w:right="-90" w:firstLineChars="234" w:firstLine="655"/>
        <w:rPr>
          <w:rFonts w:ascii="仿宋" w:eastAsia="仿宋" w:hAnsi="仿宋" w:cs="仿宋"/>
          <w:sz w:val="28"/>
          <w:szCs w:val="28"/>
        </w:rPr>
      </w:pPr>
      <w:r>
        <w:rPr>
          <w:rFonts w:ascii="仿宋" w:eastAsia="仿宋" w:hAnsi="仿宋" w:cs="仿宋" w:hint="eastAsia"/>
          <w:sz w:val="28"/>
          <w:szCs w:val="28"/>
        </w:rPr>
        <w:t>根据《隆回县财政局关于开展20</w:t>
      </w:r>
      <w:r w:rsidR="001D0599">
        <w:rPr>
          <w:rFonts w:ascii="仿宋" w:eastAsia="仿宋" w:hAnsi="仿宋" w:cs="仿宋" w:hint="eastAsia"/>
          <w:sz w:val="28"/>
          <w:szCs w:val="28"/>
        </w:rPr>
        <w:t>20</w:t>
      </w:r>
      <w:r>
        <w:rPr>
          <w:rFonts w:ascii="仿宋" w:eastAsia="仿宋" w:hAnsi="仿宋" w:cs="仿宋" w:hint="eastAsia"/>
          <w:sz w:val="28"/>
          <w:szCs w:val="28"/>
        </w:rPr>
        <w:t>年度部门整体支出和县级财政资金支出绩效评价工作的通知》（隆财绩</w:t>
      </w:r>
      <w:r w:rsidR="001D0599">
        <w:rPr>
          <w:rFonts w:ascii="仿宋" w:eastAsia="仿宋" w:hAnsi="仿宋" w:cs="仿宋" w:hint="eastAsia"/>
          <w:sz w:val="28"/>
          <w:szCs w:val="28"/>
        </w:rPr>
        <w:t>[2021]1</w:t>
      </w:r>
      <w:r>
        <w:rPr>
          <w:rFonts w:ascii="仿宋" w:eastAsia="仿宋" w:hAnsi="仿宋" w:cs="仿宋" w:hint="eastAsia"/>
          <w:sz w:val="28"/>
          <w:szCs w:val="28"/>
        </w:rPr>
        <w:t>号）文件精神，我单位认真对</w:t>
      </w:r>
      <w:r w:rsidR="001D0599">
        <w:rPr>
          <w:rFonts w:ascii="仿宋" w:eastAsia="仿宋" w:hAnsi="仿宋" w:cs="仿宋" w:hint="eastAsia"/>
          <w:sz w:val="28"/>
          <w:szCs w:val="28"/>
        </w:rPr>
        <w:t>2020</w:t>
      </w:r>
      <w:r>
        <w:rPr>
          <w:rFonts w:ascii="仿宋" w:eastAsia="仿宋" w:hAnsi="仿宋" w:cs="仿宋" w:hint="eastAsia"/>
          <w:sz w:val="28"/>
          <w:szCs w:val="28"/>
        </w:rPr>
        <w:t>年度污水处理费专项资金进行了绩效自评，</w:t>
      </w:r>
      <w:r>
        <w:rPr>
          <w:rFonts w:ascii="仿宋" w:eastAsia="仿宋" w:hAnsi="仿宋" w:cs="仿宋" w:hint="eastAsia"/>
          <w:b/>
          <w:bCs/>
          <w:sz w:val="28"/>
          <w:szCs w:val="28"/>
        </w:rPr>
        <w:t>自评结论为良</w:t>
      </w:r>
      <w:r>
        <w:rPr>
          <w:rFonts w:ascii="仿宋" w:eastAsia="仿宋" w:hAnsi="仿宋" w:cs="仿宋" w:hint="eastAsia"/>
          <w:sz w:val="28"/>
          <w:szCs w:val="28"/>
        </w:rPr>
        <w:t>，现将绩效自评情况汇报如下：</w:t>
      </w:r>
    </w:p>
    <w:p w:rsidR="00304908" w:rsidRDefault="00AD5D03">
      <w:pPr>
        <w:adjustRightInd w:val="0"/>
        <w:snapToGrid w:val="0"/>
        <w:spacing w:line="6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一、项目概况</w:t>
      </w:r>
    </w:p>
    <w:p w:rsidR="00304908" w:rsidRDefault="00AD5D03">
      <w:pPr>
        <w:adjustRightInd w:val="0"/>
        <w:snapToGrid w:val="0"/>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（一）项目基本情况简介，包括项目基本性质、用途和主要内容、涉及范围。</w:t>
      </w:r>
    </w:p>
    <w:p w:rsidR="00304908" w:rsidRDefault="00AD5D03">
      <w:pPr>
        <w:pStyle w:val="a3"/>
        <w:spacing w:before="0" w:beforeAutospacing="0" w:after="0" w:afterAutospacing="0" w:line="480" w:lineRule="auto"/>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为保障我县排水、污水处理设施正常运转，保证污水收集管网、泵站设备正常运行，集中处理市政污水，使其达到一级B标准排放，并减少污泥恶臭等二次污染，保障隆回县实现污染减排目标，加快改善赧水河流水环境质量，维护生态平衡。</w:t>
      </w:r>
      <w:r w:rsidR="001D0599">
        <w:rPr>
          <w:rFonts w:ascii="仿宋" w:eastAsia="仿宋" w:hAnsi="仿宋" w:cs="仿宋" w:hint="eastAsia"/>
          <w:color w:val="333333"/>
          <w:sz w:val="28"/>
          <w:szCs w:val="28"/>
          <w:shd w:val="clear" w:color="auto" w:fill="FFFFFF"/>
        </w:rPr>
        <w:t>2020</w:t>
      </w:r>
      <w:r>
        <w:rPr>
          <w:rFonts w:ascii="仿宋" w:eastAsia="仿宋" w:hAnsi="仿宋" w:cs="仿宋" w:hint="eastAsia"/>
          <w:color w:val="333333"/>
          <w:sz w:val="28"/>
          <w:szCs w:val="28"/>
          <w:shd w:val="clear" w:color="auto" w:fill="FFFFFF"/>
        </w:rPr>
        <w:t>年共收取污水处理费</w:t>
      </w:r>
      <w:r w:rsidR="001D0599">
        <w:rPr>
          <w:rFonts w:ascii="仿宋" w:eastAsia="仿宋" w:hAnsi="仿宋" w:cs="仿宋" w:hint="eastAsia"/>
          <w:color w:val="333333"/>
          <w:sz w:val="28"/>
          <w:szCs w:val="28"/>
          <w:shd w:val="clear" w:color="auto" w:fill="FFFFFF"/>
        </w:rPr>
        <w:t>1075.48</w:t>
      </w:r>
      <w:r>
        <w:rPr>
          <w:rFonts w:ascii="仿宋" w:eastAsia="仿宋" w:hAnsi="仿宋" w:cs="仿宋" w:hint="eastAsia"/>
          <w:color w:val="333333"/>
          <w:sz w:val="28"/>
          <w:szCs w:val="28"/>
          <w:shd w:val="clear" w:color="auto" w:fill="FFFFFF"/>
        </w:rPr>
        <w:t>万元</w:t>
      </w:r>
      <w:r w:rsidR="00CB202D">
        <w:rPr>
          <w:rFonts w:ascii="仿宋" w:eastAsia="仿宋" w:hAnsi="仿宋" w:cs="仿宋" w:hint="eastAsia"/>
          <w:color w:val="333333"/>
          <w:sz w:val="28"/>
          <w:szCs w:val="28"/>
          <w:shd w:val="clear" w:color="auto" w:fill="FFFFFF"/>
        </w:rPr>
        <w:t>，污水处理费收缴后，除支付自来水公司代征污水处理费手续费95.28万元外、其余全部投入到污水处理厂及管网疏浚清淤、泵站的维护运行中。</w:t>
      </w:r>
    </w:p>
    <w:p w:rsidR="00304908" w:rsidRDefault="00AD5D03">
      <w:pPr>
        <w:adjustRightInd w:val="0"/>
        <w:snapToGrid w:val="0"/>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（二）、项目预期达到的经济、政治和社会效益等。</w:t>
      </w:r>
    </w:p>
    <w:p w:rsidR="00304908" w:rsidRDefault="00AD5D03">
      <w:pPr>
        <w:adjustRightInd w:val="0"/>
        <w:snapToGrid w:val="0"/>
        <w:spacing w:line="600" w:lineRule="exact"/>
        <w:ind w:firstLineChars="200" w:firstLine="560"/>
        <w:rPr>
          <w:rFonts w:ascii="仿宋" w:eastAsia="仿宋" w:hAnsi="仿宋" w:cs="仿宋"/>
          <w:color w:val="333333"/>
          <w:kern w:val="0"/>
          <w:sz w:val="28"/>
          <w:szCs w:val="28"/>
          <w:shd w:val="clear" w:color="auto" w:fill="FFFFFF"/>
        </w:rPr>
      </w:pPr>
      <w:r>
        <w:rPr>
          <w:rFonts w:ascii="仿宋" w:eastAsia="仿宋" w:hAnsi="仿宋" w:cs="仿宋" w:hint="eastAsia"/>
          <w:color w:val="333333"/>
          <w:sz w:val="28"/>
          <w:szCs w:val="28"/>
          <w:shd w:val="clear" w:color="auto" w:fill="FFFFFF"/>
        </w:rPr>
        <w:t>为加强生态环境保护，提高人民群众生活质量，促进社会可持续发展</w:t>
      </w:r>
      <w:r>
        <w:rPr>
          <w:rFonts w:ascii="仿宋" w:eastAsia="仿宋" w:hAnsi="仿宋" w:cs="仿宋" w:hint="eastAsia"/>
          <w:color w:val="333333"/>
          <w:kern w:val="0"/>
          <w:sz w:val="28"/>
          <w:szCs w:val="28"/>
          <w:shd w:val="clear" w:color="auto" w:fill="FFFFFF"/>
        </w:rPr>
        <w:t>。</w:t>
      </w:r>
    </w:p>
    <w:p w:rsidR="00304908" w:rsidRDefault="00AD5D03">
      <w:pPr>
        <w:adjustRightInd w:val="0"/>
        <w:snapToGrid w:val="0"/>
        <w:spacing w:line="6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二、项目资金使用及管理情况</w:t>
      </w:r>
    </w:p>
    <w:p w:rsidR="00304908" w:rsidRDefault="00AD5D03">
      <w:pPr>
        <w:adjustRightInd w:val="0"/>
        <w:snapToGrid w:val="0"/>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（一）项目资金到位、投入等情况分析。</w:t>
      </w:r>
    </w:p>
    <w:p w:rsidR="00304908" w:rsidRDefault="001D0599">
      <w:pPr>
        <w:adjustRightInd w:val="0"/>
        <w:snapToGrid w:val="0"/>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2020</w:t>
      </w:r>
      <w:r w:rsidR="00AD5D03">
        <w:rPr>
          <w:rFonts w:ascii="仿宋" w:eastAsia="仿宋" w:hAnsi="仿宋" w:cs="仿宋" w:hint="eastAsia"/>
          <w:sz w:val="28"/>
          <w:szCs w:val="28"/>
        </w:rPr>
        <w:t>年隆回县污水处理费由县自来水公司严格按照物价部门确定的征收标准（平均0.8 元/吨水）代收，收缴率100%，全年共收取污水处理费10</w:t>
      </w:r>
      <w:r>
        <w:rPr>
          <w:rFonts w:ascii="仿宋" w:eastAsia="仿宋" w:hAnsi="仿宋" w:cs="仿宋" w:hint="eastAsia"/>
          <w:sz w:val="28"/>
          <w:szCs w:val="28"/>
        </w:rPr>
        <w:t>75.48</w:t>
      </w:r>
      <w:r w:rsidR="00AD5D03">
        <w:rPr>
          <w:rFonts w:ascii="仿宋" w:eastAsia="仿宋" w:hAnsi="仿宋" w:cs="仿宋" w:hint="eastAsia"/>
          <w:sz w:val="28"/>
          <w:szCs w:val="28"/>
        </w:rPr>
        <w:t>万元。</w:t>
      </w:r>
    </w:p>
    <w:p w:rsidR="00304908" w:rsidRDefault="00AD5D03" w:rsidP="00AD5D03">
      <w:pPr>
        <w:numPr>
          <w:ilvl w:val="0"/>
          <w:numId w:val="1"/>
        </w:numPr>
        <w:adjustRightInd w:val="0"/>
        <w:snapToGrid w:val="0"/>
        <w:spacing w:line="600" w:lineRule="exact"/>
        <w:ind w:leftChars="250" w:left="525"/>
        <w:rPr>
          <w:rFonts w:ascii="仿宋" w:eastAsia="仿宋" w:hAnsi="仿宋" w:cs="仿宋"/>
          <w:sz w:val="28"/>
          <w:szCs w:val="28"/>
        </w:rPr>
      </w:pPr>
      <w:r>
        <w:rPr>
          <w:rFonts w:ascii="仿宋" w:eastAsia="仿宋" w:hAnsi="仿宋" w:cs="仿宋" w:hint="eastAsia"/>
          <w:sz w:val="28"/>
          <w:szCs w:val="28"/>
        </w:rPr>
        <w:t>项目资金实际使用情况分析。</w:t>
      </w:r>
    </w:p>
    <w:p w:rsidR="00155DFD" w:rsidRDefault="00155DFD">
      <w:pPr>
        <w:adjustRightInd w:val="0"/>
        <w:snapToGrid w:val="0"/>
        <w:spacing w:line="600" w:lineRule="exact"/>
        <w:ind w:firstLineChars="200" w:firstLine="560"/>
        <w:rPr>
          <w:rFonts w:ascii="仿宋" w:eastAsia="仿宋" w:hAnsi="仿宋" w:cs="仿宋" w:hint="eastAsia"/>
          <w:color w:val="333333"/>
          <w:sz w:val="28"/>
          <w:szCs w:val="28"/>
          <w:shd w:val="clear" w:color="auto" w:fill="FFFFFF"/>
        </w:rPr>
      </w:pPr>
      <w:r>
        <w:rPr>
          <w:rFonts w:ascii="仿宋" w:eastAsia="仿宋" w:hAnsi="仿宋" w:cs="仿宋" w:hint="eastAsia"/>
          <w:color w:val="333333"/>
          <w:sz w:val="28"/>
          <w:szCs w:val="28"/>
          <w:shd w:val="clear" w:color="auto" w:fill="FFFFFF"/>
        </w:rPr>
        <w:t>2019年结转8439019元，除支付赧水北路2480余米污水顶管及赧水北路污水管网（一桥至友谊路口段约1000米）进行清淤、疏浚工程款100万元外，剩余的7439019元已做存量资金全数上缴县财政。2020年度共</w:t>
      </w:r>
      <w:r w:rsidR="00AD5D03">
        <w:rPr>
          <w:rFonts w:ascii="仿宋" w:eastAsia="仿宋" w:hAnsi="仿宋" w:cs="仿宋" w:hint="eastAsia"/>
          <w:color w:val="333333"/>
          <w:sz w:val="28"/>
          <w:szCs w:val="28"/>
          <w:shd w:val="clear" w:color="auto" w:fill="FFFFFF"/>
        </w:rPr>
        <w:t>收缴10</w:t>
      </w:r>
      <w:r w:rsidR="001D0599">
        <w:rPr>
          <w:rFonts w:ascii="仿宋" w:eastAsia="仿宋" w:hAnsi="仿宋" w:cs="仿宋" w:hint="eastAsia"/>
          <w:color w:val="333333"/>
          <w:sz w:val="28"/>
          <w:szCs w:val="28"/>
          <w:shd w:val="clear" w:color="auto" w:fill="FFFFFF"/>
        </w:rPr>
        <w:t>75.48</w:t>
      </w:r>
      <w:r w:rsidR="00AD5D03">
        <w:rPr>
          <w:rFonts w:ascii="仿宋" w:eastAsia="仿宋" w:hAnsi="仿宋" w:cs="仿宋" w:hint="eastAsia"/>
          <w:color w:val="333333"/>
          <w:sz w:val="28"/>
          <w:szCs w:val="28"/>
          <w:shd w:val="clear" w:color="auto" w:fill="FFFFFF"/>
        </w:rPr>
        <w:t>万元，已完成支付的项目有</w:t>
      </w:r>
      <w:r>
        <w:rPr>
          <w:rFonts w:ascii="仿宋" w:eastAsia="仿宋" w:hAnsi="仿宋" w:cs="仿宋" w:hint="eastAsia"/>
          <w:color w:val="333333"/>
          <w:sz w:val="28"/>
          <w:szCs w:val="28"/>
          <w:shd w:val="clear" w:color="auto" w:fill="FFFFFF"/>
        </w:rPr>
        <w:t>1、</w:t>
      </w:r>
      <w:r w:rsidR="00AD5D03">
        <w:rPr>
          <w:rFonts w:ascii="仿宋" w:eastAsia="仿宋" w:hAnsi="仿宋" w:cs="仿宋" w:hint="eastAsia"/>
          <w:color w:val="333333"/>
          <w:sz w:val="28"/>
          <w:szCs w:val="28"/>
          <w:shd w:val="clear" w:color="auto" w:fill="FFFFFF"/>
        </w:rPr>
        <w:t>自来水公司代征手续费7</w:t>
      </w:r>
      <w:r w:rsidR="001D0599">
        <w:rPr>
          <w:rFonts w:ascii="仿宋" w:eastAsia="仿宋" w:hAnsi="仿宋" w:cs="仿宋" w:hint="eastAsia"/>
          <w:color w:val="333333"/>
          <w:sz w:val="28"/>
          <w:szCs w:val="28"/>
          <w:shd w:val="clear" w:color="auto" w:fill="FFFFFF"/>
        </w:rPr>
        <w:t>5.28</w:t>
      </w:r>
      <w:r w:rsidR="00AD5D03">
        <w:rPr>
          <w:rFonts w:ascii="仿宋" w:eastAsia="仿宋" w:hAnsi="仿宋" w:cs="仿宋" w:hint="eastAsia"/>
          <w:color w:val="333333"/>
          <w:sz w:val="28"/>
          <w:szCs w:val="28"/>
          <w:shd w:val="clear" w:color="auto" w:fill="FFFFFF"/>
        </w:rPr>
        <w:t>万元；</w:t>
      </w:r>
      <w:r>
        <w:rPr>
          <w:rFonts w:ascii="仿宋" w:eastAsia="仿宋" w:hAnsi="仿宋" w:cs="仿宋" w:hint="eastAsia"/>
          <w:color w:val="333333"/>
          <w:sz w:val="28"/>
          <w:szCs w:val="28"/>
          <w:shd w:val="clear" w:color="auto" w:fill="FFFFFF"/>
        </w:rPr>
        <w:t>2、</w:t>
      </w:r>
      <w:r w:rsidR="00AD5D03">
        <w:rPr>
          <w:rFonts w:ascii="仿宋" w:eastAsia="仿宋" w:hAnsi="仿宋" w:cs="仿宋" w:hint="eastAsia"/>
          <w:color w:val="333333"/>
          <w:sz w:val="28"/>
          <w:szCs w:val="28"/>
          <w:shd w:val="clear" w:color="auto" w:fill="FFFFFF"/>
        </w:rPr>
        <w:t>按日处理规模2万吨标准支付隆回县华茂污水处理有限公司20</w:t>
      </w:r>
      <w:r w:rsidR="00A577A0">
        <w:rPr>
          <w:rFonts w:ascii="仿宋" w:eastAsia="仿宋" w:hAnsi="仿宋" w:cs="仿宋" w:hint="eastAsia"/>
          <w:color w:val="333333"/>
          <w:sz w:val="28"/>
          <w:szCs w:val="28"/>
          <w:shd w:val="clear" w:color="auto" w:fill="FFFFFF"/>
        </w:rPr>
        <w:t>20</w:t>
      </w:r>
      <w:r w:rsidR="00AD5D03">
        <w:rPr>
          <w:rFonts w:ascii="仿宋" w:eastAsia="仿宋" w:hAnsi="仿宋" w:cs="仿宋" w:hint="eastAsia"/>
          <w:color w:val="333333"/>
          <w:sz w:val="28"/>
          <w:szCs w:val="28"/>
          <w:shd w:val="clear" w:color="auto" w:fill="FFFFFF"/>
        </w:rPr>
        <w:t>年度全年污水处理费576.7万元</w:t>
      </w:r>
      <w:r w:rsidR="00CB202D">
        <w:rPr>
          <w:rFonts w:ascii="仿宋" w:eastAsia="仿宋" w:hAnsi="仿宋" w:cs="仿宋" w:hint="eastAsia"/>
          <w:color w:val="333333"/>
          <w:sz w:val="28"/>
          <w:szCs w:val="28"/>
          <w:shd w:val="clear" w:color="auto" w:fill="FFFFFF"/>
        </w:rPr>
        <w:t>，尚结余423.5万元。</w:t>
      </w:r>
    </w:p>
    <w:p w:rsidR="00304908" w:rsidRDefault="00AD5D03" w:rsidP="00155DFD">
      <w:pPr>
        <w:adjustRightInd w:val="0"/>
        <w:snapToGrid w:val="0"/>
        <w:spacing w:line="600" w:lineRule="exact"/>
        <w:ind w:firstLineChars="187" w:firstLine="524"/>
        <w:rPr>
          <w:rFonts w:ascii="仿宋" w:eastAsia="仿宋" w:hAnsi="仿宋" w:cs="仿宋"/>
          <w:sz w:val="28"/>
          <w:szCs w:val="28"/>
        </w:rPr>
      </w:pPr>
      <w:r>
        <w:rPr>
          <w:rFonts w:ascii="仿宋" w:eastAsia="仿宋" w:hAnsi="仿宋" w:cs="仿宋" w:hint="eastAsia"/>
          <w:sz w:val="28"/>
          <w:szCs w:val="28"/>
        </w:rPr>
        <w:t>（三）项目资金管理情况分析，主要包括管理制度、办法的制订及执行情况。</w:t>
      </w:r>
    </w:p>
    <w:p w:rsidR="00304908" w:rsidRDefault="00AD5D03">
      <w:pPr>
        <w:adjustRightInd w:val="0"/>
        <w:snapToGrid w:val="0"/>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项目的开展主要根据县政府的安排，绩效总目标和阶段性目标按照计划完成。所有开支均按照我局财务管理制度执行，专项资金的使用严格把关；整个项目的运行完全按照县委县政府、财政的有关规定及局内部管理制度执行。</w:t>
      </w:r>
    </w:p>
    <w:p w:rsidR="00304908" w:rsidRDefault="00AD5D03">
      <w:pPr>
        <w:adjustRightInd w:val="0"/>
        <w:snapToGrid w:val="0"/>
        <w:spacing w:line="6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三、项目组织实施情况</w:t>
      </w:r>
    </w:p>
    <w:p w:rsidR="00304908" w:rsidRDefault="00AD5D03">
      <w:pPr>
        <w:pStyle w:val="a3"/>
        <w:spacing w:before="0" w:beforeAutospacing="0" w:after="0" w:afterAutospacing="0" w:line="384" w:lineRule="atLeast"/>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根据上年度的收取金额预估本年度的收入数，通过科学、合理的预测，进行目标分解和财务控制，制定出全年的经费支出计划，全面推行目标责任制，制定专项资金管理办法，保证专款专用，保障完成减排目标和绩效目标。一是推行全面预算管理，实行年预算和月预算相结合的管理办法，使资金支出能够做到相对开支稳定，便于全年资</w:t>
      </w:r>
      <w:r>
        <w:rPr>
          <w:rFonts w:ascii="仿宋" w:eastAsia="仿宋" w:hAnsi="仿宋" w:cs="仿宋" w:hint="eastAsia"/>
          <w:color w:val="333333"/>
          <w:sz w:val="28"/>
          <w:szCs w:val="28"/>
          <w:shd w:val="clear" w:color="auto" w:fill="FFFFFF"/>
        </w:rPr>
        <w:lastRenderedPageBreak/>
        <w:t>金使用的平衡。二是加强目标成本管理，对预算资金进行目标分解和财务控制，建立和实施成本费用审核制度，严格预算支出顺序，确保高质量、高标准完成专项资金的使用。</w:t>
      </w:r>
    </w:p>
    <w:p w:rsidR="00304908" w:rsidRDefault="00AD5D03">
      <w:pPr>
        <w:adjustRightInd w:val="0"/>
        <w:snapToGrid w:val="0"/>
        <w:spacing w:line="6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四、项目绩效情况</w:t>
      </w:r>
    </w:p>
    <w:p w:rsidR="00304908" w:rsidRDefault="00AD5D03">
      <w:pPr>
        <w:pStyle w:val="a3"/>
        <w:spacing w:before="0" w:beforeAutospacing="0" w:after="0" w:afterAutospacing="0" w:line="384" w:lineRule="atLeast"/>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按日处理规模2万吨标准支付隆回县华茂污水处理有限公司2019年度全年污水处理费576.7万元；主要用于保障污水处理厂企业的正常运行，实现县内污水处理全部得到有效处置，为市民创造舒适整洁的城市环境。</w:t>
      </w:r>
    </w:p>
    <w:p w:rsidR="00304908" w:rsidRDefault="00AD5D03">
      <w:pPr>
        <w:pStyle w:val="a3"/>
        <w:spacing w:before="0" w:beforeAutospacing="0" w:after="0" w:afterAutospacing="0" w:line="384" w:lineRule="atLeast"/>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加强对提升泵站设备和污水管网的运行管理和维护，保证泵站设备安全、可靠运行；安排专职人员负责提升泵站设备和污水管网的运行管理，实现24小时全天候监管发现问题及时处理；清理下水管网养护、疏通及时到位，确保提升泵站和污水管网的良好运行。</w:t>
      </w:r>
    </w:p>
    <w:p w:rsidR="00304908" w:rsidRDefault="00AD5D03">
      <w:pPr>
        <w:pStyle w:val="a3"/>
        <w:spacing w:before="0" w:beforeAutospacing="0" w:after="0" w:afterAutospacing="0" w:line="384" w:lineRule="atLeast"/>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对污水顶管及管道及时进行清淤，疏浚，保证污水管网排水设施处于正常的运行状态，降低污水溢流等对周边环境的污染，为市民创造舒适整洁的城市环境。</w:t>
      </w:r>
    </w:p>
    <w:p w:rsidR="00304908" w:rsidRDefault="00AD5D03">
      <w:pPr>
        <w:pStyle w:val="a3"/>
        <w:spacing w:before="0" w:beforeAutospacing="0" w:after="0" w:afterAutospacing="0" w:line="384" w:lineRule="atLeast"/>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编制县城排水防涝系统化方案可以提高城市防汛指挥调度的针对性、科学性，保障全市排水畅通；把城市排水防涝工作作为改善民生、保障城市安全的紧迫任务，切实落实好确保安全度汛要求。</w:t>
      </w:r>
    </w:p>
    <w:p w:rsidR="00304908" w:rsidRDefault="00AD5D03">
      <w:pPr>
        <w:pStyle w:val="a3"/>
        <w:numPr>
          <w:ilvl w:val="0"/>
          <w:numId w:val="2"/>
        </w:numPr>
        <w:spacing w:before="0" w:beforeAutospacing="0" w:after="0" w:afterAutospacing="0" w:line="384" w:lineRule="atLeast"/>
        <w:rPr>
          <w:rFonts w:ascii="仿宋" w:eastAsia="仿宋" w:hAnsi="仿宋" w:cs="仿宋"/>
          <w:b/>
          <w:bCs/>
          <w:sz w:val="28"/>
          <w:szCs w:val="28"/>
        </w:rPr>
      </w:pPr>
      <w:r>
        <w:rPr>
          <w:rFonts w:ascii="仿宋" w:eastAsia="仿宋" w:hAnsi="仿宋" w:cs="仿宋" w:hint="eastAsia"/>
          <w:b/>
          <w:bCs/>
          <w:sz w:val="28"/>
          <w:szCs w:val="28"/>
        </w:rPr>
        <w:t>存在的问题</w:t>
      </w:r>
    </w:p>
    <w:p w:rsidR="00304908" w:rsidRDefault="00CB202D" w:rsidP="00CB202D">
      <w:pPr>
        <w:pStyle w:val="a3"/>
        <w:spacing w:before="0" w:beforeAutospacing="0" w:after="0" w:afterAutospacing="0" w:line="384" w:lineRule="atLeast"/>
        <w:ind w:firstLineChars="150" w:firstLine="420"/>
        <w:rPr>
          <w:rFonts w:ascii="仿宋" w:eastAsia="仿宋" w:hAnsi="仿宋" w:cs="仿宋"/>
          <w:sz w:val="28"/>
          <w:szCs w:val="28"/>
        </w:rPr>
      </w:pPr>
      <w:r>
        <w:rPr>
          <w:rFonts w:ascii="仿宋" w:eastAsia="仿宋" w:hAnsi="仿宋" w:cs="仿宋" w:hint="eastAsia"/>
          <w:sz w:val="28"/>
          <w:szCs w:val="28"/>
        </w:rPr>
        <w:t>（一）、</w:t>
      </w:r>
      <w:r w:rsidR="00AD5D03">
        <w:rPr>
          <w:rFonts w:ascii="仿宋" w:eastAsia="仿宋" w:hAnsi="仿宋" w:cs="仿宋" w:hint="eastAsia"/>
          <w:sz w:val="28"/>
          <w:szCs w:val="28"/>
        </w:rPr>
        <w:t>污水处理配套管网建设资金紧张，我县污水收集管网建设相对滞后，大大降低了污水处理的效益。</w:t>
      </w:r>
    </w:p>
    <w:p w:rsidR="00304908" w:rsidRDefault="00CB202D" w:rsidP="00CB202D">
      <w:pPr>
        <w:pStyle w:val="a3"/>
        <w:spacing w:before="0" w:beforeAutospacing="0" w:after="0" w:afterAutospacing="0" w:line="384" w:lineRule="atLeast"/>
        <w:ind w:firstLineChars="150" w:firstLine="420"/>
        <w:rPr>
          <w:rFonts w:ascii="仿宋" w:eastAsia="仿宋" w:hAnsi="仿宋" w:cs="仿宋" w:hint="eastAsia"/>
          <w:sz w:val="28"/>
          <w:szCs w:val="28"/>
        </w:rPr>
      </w:pPr>
      <w:r>
        <w:rPr>
          <w:rFonts w:ascii="仿宋" w:eastAsia="仿宋" w:hAnsi="仿宋" w:cs="仿宋" w:hint="eastAsia"/>
          <w:sz w:val="28"/>
          <w:szCs w:val="28"/>
        </w:rPr>
        <w:lastRenderedPageBreak/>
        <w:t>（二）、</w:t>
      </w:r>
      <w:r w:rsidR="00AD5D03">
        <w:rPr>
          <w:rFonts w:ascii="仿宋" w:eastAsia="仿宋" w:hAnsi="仿宋" w:cs="仿宋" w:hint="eastAsia"/>
          <w:sz w:val="28"/>
          <w:szCs w:val="28"/>
        </w:rPr>
        <w:t>BOT投资建设模式的监督管理机制不完善。我县污水处理厂建设和运营采用BOT投资建设模式，污水处理厂由投资商建设和运营，管网和提升泵站由县政府委托公用事业服务中心管理，致使政府对污水处理厂的运营和建设管理控制不到位，不利于项目统一管理，不利于项目综合调度、及时掌握项目的准确信息和了解第一手资料。</w:t>
      </w:r>
      <w:bookmarkStart w:id="0" w:name="_GoBack"/>
      <w:bookmarkEnd w:id="0"/>
    </w:p>
    <w:p w:rsidR="00CB202D" w:rsidRDefault="00CB202D" w:rsidP="00CB202D">
      <w:pPr>
        <w:pStyle w:val="a3"/>
        <w:spacing w:before="0" w:beforeAutospacing="0" w:after="0" w:afterAutospacing="0" w:line="384" w:lineRule="atLeast"/>
        <w:ind w:firstLineChars="150" w:firstLine="420"/>
        <w:rPr>
          <w:rFonts w:ascii="仿宋" w:eastAsia="仿宋" w:hAnsi="仿宋" w:cs="仿宋" w:hint="eastAsia"/>
          <w:sz w:val="28"/>
          <w:szCs w:val="28"/>
        </w:rPr>
      </w:pPr>
    </w:p>
    <w:p w:rsidR="00CB202D" w:rsidRDefault="00CB202D" w:rsidP="00CB202D">
      <w:pPr>
        <w:pStyle w:val="a3"/>
        <w:spacing w:before="0" w:beforeAutospacing="0" w:after="0" w:afterAutospacing="0" w:line="384" w:lineRule="atLeast"/>
        <w:ind w:firstLineChars="150" w:firstLine="420"/>
        <w:rPr>
          <w:rFonts w:ascii="仿宋" w:eastAsia="仿宋" w:hAnsi="仿宋" w:cs="仿宋" w:hint="eastAsia"/>
          <w:sz w:val="28"/>
          <w:szCs w:val="28"/>
        </w:rPr>
      </w:pPr>
    </w:p>
    <w:p w:rsidR="00CB202D" w:rsidRDefault="00CB202D" w:rsidP="00CB202D">
      <w:pPr>
        <w:pStyle w:val="a3"/>
        <w:spacing w:before="0" w:beforeAutospacing="0" w:after="0" w:afterAutospacing="0" w:line="384" w:lineRule="atLeast"/>
        <w:ind w:firstLineChars="150" w:firstLine="420"/>
        <w:rPr>
          <w:rFonts w:ascii="仿宋" w:eastAsia="仿宋" w:hAnsi="仿宋" w:cs="仿宋" w:hint="eastAsia"/>
          <w:sz w:val="28"/>
          <w:szCs w:val="28"/>
        </w:rPr>
      </w:pPr>
      <w:r>
        <w:rPr>
          <w:rFonts w:ascii="仿宋" w:eastAsia="仿宋" w:hAnsi="仿宋" w:cs="仿宋" w:hint="eastAsia"/>
          <w:sz w:val="28"/>
          <w:szCs w:val="28"/>
        </w:rPr>
        <w:t xml:space="preserve">                              隆回县住房和城乡建设局</w:t>
      </w:r>
    </w:p>
    <w:p w:rsidR="00CB202D" w:rsidRDefault="00CB202D" w:rsidP="00CB202D">
      <w:pPr>
        <w:pStyle w:val="a3"/>
        <w:spacing w:before="0" w:beforeAutospacing="0" w:after="0" w:afterAutospacing="0" w:line="384" w:lineRule="atLeast"/>
        <w:ind w:firstLineChars="150" w:firstLine="420"/>
        <w:rPr>
          <w:rFonts w:ascii="仿宋" w:eastAsia="仿宋" w:hAnsi="仿宋" w:cs="仿宋"/>
          <w:sz w:val="28"/>
          <w:szCs w:val="28"/>
        </w:rPr>
      </w:pPr>
      <w:r>
        <w:rPr>
          <w:rFonts w:ascii="仿宋" w:eastAsia="仿宋" w:hAnsi="仿宋" w:cs="仿宋" w:hint="eastAsia"/>
          <w:sz w:val="28"/>
          <w:szCs w:val="28"/>
        </w:rPr>
        <w:t xml:space="preserve">                                  2021年4月20日</w:t>
      </w:r>
    </w:p>
    <w:sectPr w:rsidR="00CB202D" w:rsidSect="003049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68502F"/>
    <w:multiLevelType w:val="singleLevel"/>
    <w:tmpl w:val="EE68502F"/>
    <w:lvl w:ilvl="0">
      <w:start w:val="2"/>
      <w:numFmt w:val="chineseCounting"/>
      <w:suff w:val="space"/>
      <w:lvlText w:val="(%1)"/>
      <w:lvlJc w:val="left"/>
      <w:rPr>
        <w:rFonts w:hint="eastAsia"/>
      </w:rPr>
    </w:lvl>
  </w:abstractNum>
  <w:abstractNum w:abstractNumId="1">
    <w:nsid w:val="F140C765"/>
    <w:multiLevelType w:val="singleLevel"/>
    <w:tmpl w:val="F140C765"/>
    <w:lvl w:ilvl="0">
      <w:start w:val="1"/>
      <w:numFmt w:val="chineseCounting"/>
      <w:suff w:val="nothing"/>
      <w:lvlText w:val="（%1）"/>
      <w:lvlJc w:val="left"/>
      <w:rPr>
        <w:rFonts w:hint="eastAsia"/>
      </w:rPr>
    </w:lvl>
  </w:abstractNum>
  <w:abstractNum w:abstractNumId="2">
    <w:nsid w:val="0F9DBD29"/>
    <w:multiLevelType w:val="singleLevel"/>
    <w:tmpl w:val="0F9DBD29"/>
    <w:lvl w:ilvl="0">
      <w:start w:val="5"/>
      <w:numFmt w:val="chineseCounting"/>
      <w:suff w:val="nothing"/>
      <w:lvlText w:val="%1、"/>
      <w:lvlJc w:val="left"/>
      <w:pPr>
        <w:ind w:left="560" w:firstLine="0"/>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4908"/>
    <w:rsid w:val="00155DFD"/>
    <w:rsid w:val="001D0599"/>
    <w:rsid w:val="0022456B"/>
    <w:rsid w:val="00304908"/>
    <w:rsid w:val="005C3BFD"/>
    <w:rsid w:val="00A577A0"/>
    <w:rsid w:val="00AD5D03"/>
    <w:rsid w:val="00CB202D"/>
    <w:rsid w:val="046412C7"/>
    <w:rsid w:val="072E6020"/>
    <w:rsid w:val="3C134F47"/>
    <w:rsid w:val="749C4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4908"/>
    <w:pPr>
      <w:widowControl w:val="0"/>
      <w:jc w:val="both"/>
    </w:pPr>
    <w:rPr>
      <w:kern w:val="2"/>
      <w:sz w:val="21"/>
      <w:szCs w:val="24"/>
    </w:rPr>
  </w:style>
  <w:style w:type="paragraph" w:styleId="2">
    <w:name w:val="heading 2"/>
    <w:basedOn w:val="a"/>
    <w:next w:val="a"/>
    <w:semiHidden/>
    <w:unhideWhenUsed/>
    <w:qFormat/>
    <w:rsid w:val="00304908"/>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04908"/>
    <w:pPr>
      <w:widowControl/>
      <w:spacing w:before="100" w:beforeAutospacing="1" w:after="100" w:afterAutospacing="1"/>
      <w:jc w:val="left"/>
    </w:pPr>
    <w:rPr>
      <w:rFonts w:ascii="宋体" w:hAnsi="宋体" w:cs="宋体"/>
      <w:kern w:val="0"/>
      <w:sz w:val="24"/>
    </w:rPr>
  </w:style>
  <w:style w:type="character" w:styleId="a4">
    <w:name w:val="Strong"/>
    <w:basedOn w:val="a0"/>
    <w:qFormat/>
    <w:rsid w:val="00304908"/>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2014-10-29T12:08:00Z</dcterms:created>
  <dcterms:modified xsi:type="dcterms:W3CDTF">2021-04-25T08:49:00Z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