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hd w:val="clear" w:color="auto" w:fill="auto"/>
        <w:kinsoku/>
        <w:wordWrap/>
        <w:overflowPunct/>
        <w:topLinePunct w:val="0"/>
        <w:autoSpaceDE/>
        <w:autoSpaceDN/>
        <w:bidi w:val="0"/>
        <w:adjustRightInd/>
        <w:spacing w:beforeAutospacing="0" w:afterAutospacing="0" w:line="600" w:lineRule="exact"/>
        <w:jc w:val="left"/>
        <w:textAlignment w:val="auto"/>
        <w:rPr>
          <w:rFonts w:hint="default" w:ascii="黑体" w:hAnsi="黑体" w:eastAsia="黑体" w:cs="黑体"/>
          <w:color w:val="auto"/>
          <w:sz w:val="28"/>
          <w:szCs w:val="28"/>
          <w:lang w:val="en-US" w:eastAsia="zh-CN"/>
        </w:rPr>
      </w:pPr>
      <w:r>
        <w:rPr>
          <w:rFonts w:hint="eastAsia" w:ascii="黑体" w:hAnsi="黑体" w:eastAsia="黑体" w:cs="黑体"/>
          <w:color w:val="auto"/>
          <w:sz w:val="28"/>
          <w:szCs w:val="28"/>
          <w:lang w:val="en-US" w:eastAsia="zh-CN"/>
        </w:rPr>
        <w:t xml:space="preserve"> LHDR-2022-01002</w:t>
      </w:r>
    </w:p>
    <w:p>
      <w:pPr>
        <w:pStyle w:val="2"/>
        <w:keepNext w:val="0"/>
        <w:keepLines w:val="0"/>
        <w:pageBreakBefore w:val="0"/>
        <w:widowControl w:val="0"/>
        <w:kinsoku/>
        <w:wordWrap/>
        <w:overflowPunct/>
        <w:topLinePunct w:val="0"/>
        <w:autoSpaceDE/>
        <w:autoSpaceDN/>
        <w:bidi w:val="0"/>
        <w:adjustRightInd/>
        <w:spacing w:line="600" w:lineRule="exact"/>
        <w:textAlignment w:val="auto"/>
        <w:rPr>
          <w:rFonts w:hint="eastAsia" w:ascii="方正仿宋简体" w:eastAsia="方正仿宋简体"/>
          <w:color w:val="auto"/>
          <w:sz w:val="32"/>
          <w:szCs w:val="32"/>
        </w:rPr>
      </w:pPr>
    </w:p>
    <w:p>
      <w:pPr>
        <w:pStyle w:val="2"/>
        <w:keepNext w:val="0"/>
        <w:keepLines w:val="0"/>
        <w:pageBreakBefore w:val="0"/>
        <w:widowControl w:val="0"/>
        <w:kinsoku/>
        <w:wordWrap/>
        <w:overflowPunct/>
        <w:topLinePunct w:val="0"/>
        <w:autoSpaceDE/>
        <w:autoSpaceDN/>
        <w:bidi w:val="0"/>
        <w:adjustRightInd/>
        <w:spacing w:line="600" w:lineRule="exact"/>
        <w:textAlignment w:val="auto"/>
        <w:rPr>
          <w:rFonts w:hint="eastAsia" w:ascii="方正仿宋简体" w:eastAsia="方正仿宋简体"/>
          <w:color w:val="auto"/>
          <w:sz w:val="32"/>
          <w:szCs w:val="32"/>
        </w:rPr>
      </w:pPr>
    </w:p>
    <w:p>
      <w:pPr>
        <w:pStyle w:val="2"/>
        <w:keepNext w:val="0"/>
        <w:keepLines w:val="0"/>
        <w:pageBreakBefore w:val="0"/>
        <w:widowControl w:val="0"/>
        <w:kinsoku/>
        <w:wordWrap/>
        <w:overflowPunct/>
        <w:topLinePunct w:val="0"/>
        <w:autoSpaceDE/>
        <w:autoSpaceDN/>
        <w:bidi w:val="0"/>
        <w:adjustRightInd/>
        <w:spacing w:line="600" w:lineRule="exact"/>
        <w:textAlignment w:val="auto"/>
        <w:rPr>
          <w:rFonts w:hint="eastAsia" w:ascii="方正仿宋简体" w:eastAsia="方正仿宋简体"/>
          <w:color w:val="auto"/>
          <w:sz w:val="32"/>
          <w:szCs w:val="32"/>
        </w:rPr>
      </w:pPr>
    </w:p>
    <w:p>
      <w:pPr>
        <w:pStyle w:val="2"/>
        <w:keepNext w:val="0"/>
        <w:keepLines w:val="0"/>
        <w:pageBreakBefore w:val="0"/>
        <w:widowControl w:val="0"/>
        <w:kinsoku/>
        <w:wordWrap/>
        <w:overflowPunct/>
        <w:topLinePunct w:val="0"/>
        <w:autoSpaceDE/>
        <w:autoSpaceDN/>
        <w:bidi w:val="0"/>
        <w:adjustRightInd/>
        <w:snapToGrid w:val="0"/>
        <w:spacing w:line="500" w:lineRule="exact"/>
        <w:textAlignment w:val="auto"/>
        <w:rPr>
          <w:rFonts w:hint="eastAsia" w:ascii="方正仿宋简体" w:eastAsia="方正仿宋简体"/>
          <w:color w:val="auto"/>
          <w:sz w:val="32"/>
          <w:szCs w:val="32"/>
        </w:rPr>
      </w:pPr>
    </w:p>
    <w:p>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jc w:val="center"/>
        <w:textAlignment w:val="auto"/>
        <w:rPr>
          <w:rFonts w:hint="eastAsia" w:ascii="方正仿宋简体" w:eastAsia="方正仿宋简体"/>
          <w:color w:val="auto"/>
          <w:sz w:val="32"/>
          <w:szCs w:val="32"/>
        </w:rPr>
      </w:pPr>
    </w:p>
    <w:p>
      <w:pPr>
        <w:pStyle w:val="2"/>
        <w:rPr>
          <w:rFonts w:hint="eastAsia" w:ascii="方正仿宋简体" w:eastAsia="方正仿宋简体"/>
          <w:color w:val="auto"/>
          <w:sz w:val="32"/>
          <w:szCs w:val="32"/>
        </w:rPr>
      </w:pPr>
    </w:p>
    <w:p>
      <w:pPr>
        <w:pStyle w:val="2"/>
        <w:rPr>
          <w:rFonts w:hint="eastAsia" w:ascii="方正仿宋简体" w:eastAsia="方正仿宋简体"/>
          <w:color w:val="auto"/>
          <w:sz w:val="32"/>
          <w:szCs w:val="32"/>
        </w:rPr>
      </w:pPr>
    </w:p>
    <w:p>
      <w:pPr>
        <w:keepNext w:val="0"/>
        <w:keepLines w:val="0"/>
        <w:pageBreakBefore w:val="0"/>
        <w:widowControl w:val="0"/>
        <w:shd w:val="clear" w:color="auto" w:fill="auto"/>
        <w:kinsoku/>
        <w:wordWrap/>
        <w:overflowPunct/>
        <w:autoSpaceDE/>
        <w:autoSpaceDN/>
        <w:bidi w:val="0"/>
        <w:spacing w:beforeAutospacing="0" w:afterAutospacing="0" w:line="586" w:lineRule="exact"/>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隆政办发</w:t>
      </w:r>
      <w:r>
        <w:rPr>
          <w:rFonts w:hint="eastAsia" w:ascii="仿宋" w:hAnsi="仿宋" w:eastAsia="仿宋" w:cs="仿宋"/>
          <w:color w:val="auto"/>
          <w:sz w:val="32"/>
          <w:szCs w:val="32"/>
        </w:rPr>
        <w:t>〔20</w:t>
      </w:r>
      <w:r>
        <w:rPr>
          <w:rFonts w:hint="eastAsia" w:ascii="仿宋" w:hAnsi="仿宋" w:eastAsia="仿宋" w:cs="仿宋"/>
          <w:color w:val="auto"/>
          <w:sz w:val="32"/>
          <w:szCs w:val="32"/>
          <w:lang w:val="en-US" w:eastAsia="zh-CN"/>
        </w:rPr>
        <w:t>22</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号</w:t>
      </w:r>
      <w:r>
        <w:rPr>
          <w:rFonts w:hint="eastAsia" w:ascii="仿宋" w:hAnsi="仿宋" w:eastAsia="仿宋" w:cs="仿宋"/>
          <w:color w:val="auto"/>
          <w:sz w:val="32"/>
          <w:szCs w:val="32"/>
          <w:lang w:val="en-US" w:eastAsia="zh-CN"/>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1100" w:lineRule="exact"/>
        <w:jc w:val="center"/>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b w:val="0"/>
          <w:bCs w:val="0"/>
          <w:sz w:val="44"/>
          <w:szCs w:val="44"/>
          <w:lang w:eastAsia="zh-CN"/>
        </w:rPr>
      </w:pPr>
      <w:r>
        <w:rPr>
          <w:rFonts w:hint="eastAsia" w:ascii="方正小标宋_GBK" w:hAnsi="方正小标宋_GBK" w:eastAsia="方正小标宋_GBK" w:cs="方正小标宋_GBK"/>
          <w:b w:val="0"/>
          <w:bCs w:val="0"/>
          <w:sz w:val="44"/>
          <w:szCs w:val="44"/>
          <w:lang w:eastAsia="zh-CN"/>
        </w:rPr>
        <w:t>隆回县人民政府办公室</w:t>
      </w:r>
    </w:p>
    <w:p>
      <w:pPr>
        <w:keepNext w:val="0"/>
        <w:keepLines w:val="0"/>
        <w:pageBreakBefore w:val="0"/>
        <w:widowControl w:val="0"/>
        <w:kinsoku/>
        <w:wordWrap/>
        <w:overflowPunct/>
        <w:topLinePunct w:val="0"/>
        <w:autoSpaceDE/>
        <w:autoSpaceDN/>
        <w:bidi w:val="0"/>
        <w:adjustRightInd/>
        <w:snapToGrid/>
        <w:spacing w:line="640" w:lineRule="exact"/>
        <w:ind w:firstLine="440" w:firstLineChars="100"/>
        <w:jc w:val="both"/>
        <w:textAlignment w:val="auto"/>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eastAsia="zh-CN"/>
        </w:rPr>
        <w:t>关于加快推进装配式建筑发</w:t>
      </w:r>
      <w:r>
        <w:rPr>
          <w:rFonts w:hint="eastAsia" w:ascii="方正小标宋简体" w:hAnsi="方正小标宋简体" w:eastAsia="方正小标宋简体" w:cs="方正小标宋简体"/>
          <w:b w:val="0"/>
          <w:bCs w:val="0"/>
          <w:sz w:val="44"/>
          <w:szCs w:val="44"/>
          <w:lang w:val="en-US" w:eastAsia="zh-CN"/>
        </w:rPr>
        <w:t>展</w:t>
      </w:r>
      <w:r>
        <w:rPr>
          <w:rFonts w:hint="eastAsia" w:ascii="方正小标宋简体" w:hAnsi="方正小标宋简体" w:eastAsia="方正小标宋简体" w:cs="方正小标宋简体"/>
          <w:b w:val="0"/>
          <w:bCs w:val="0"/>
          <w:sz w:val="44"/>
          <w:szCs w:val="44"/>
          <w:lang w:eastAsia="zh-CN"/>
        </w:rPr>
        <w:t>的实施意见</w:t>
      </w:r>
    </w:p>
    <w:p>
      <w:pPr>
        <w:pStyle w:val="2"/>
        <w:rPr>
          <w:rFonts w:hint="eastAsia"/>
          <w:lang w:eastAsia="zh-CN"/>
        </w:rPr>
      </w:pPr>
      <w:bookmarkStart w:id="0" w:name="_GoBack"/>
      <w:bookmarkEnd w:id="0"/>
    </w:p>
    <w:p>
      <w:pPr>
        <w:pStyle w:val="2"/>
        <w:rPr>
          <w:rFonts w:hint="eastAsia"/>
          <w:lang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各乡镇人民政府、街道办</w:t>
      </w:r>
      <w:r>
        <w:rPr>
          <w:rFonts w:hint="eastAsia" w:ascii="仿宋" w:hAnsi="仿宋" w:eastAsia="仿宋" w:cs="仿宋"/>
          <w:b w:val="0"/>
          <w:bCs w:val="0"/>
          <w:sz w:val="32"/>
          <w:szCs w:val="32"/>
          <w:lang w:val="en-US" w:eastAsia="zh-CN"/>
        </w:rPr>
        <w:t>事处</w:t>
      </w:r>
      <w:r>
        <w:rPr>
          <w:rFonts w:hint="eastAsia" w:ascii="仿宋" w:hAnsi="仿宋" w:eastAsia="仿宋" w:cs="仿宋"/>
          <w:b w:val="0"/>
          <w:bCs w:val="0"/>
          <w:sz w:val="32"/>
          <w:szCs w:val="32"/>
          <w:lang w:eastAsia="zh-CN"/>
        </w:rPr>
        <w:t>，县直</w:t>
      </w:r>
      <w:r>
        <w:rPr>
          <w:rFonts w:hint="eastAsia" w:ascii="仿宋" w:hAnsi="仿宋" w:eastAsia="仿宋" w:cs="仿宋"/>
          <w:b w:val="0"/>
          <w:bCs w:val="0"/>
          <w:sz w:val="32"/>
          <w:szCs w:val="32"/>
          <w:lang w:val="en-US" w:eastAsia="zh-CN"/>
        </w:rPr>
        <w:t>机关</w:t>
      </w:r>
      <w:r>
        <w:rPr>
          <w:rFonts w:hint="eastAsia" w:ascii="仿宋" w:hAnsi="仿宋" w:eastAsia="仿宋" w:cs="仿宋"/>
          <w:b w:val="0"/>
          <w:bCs w:val="0"/>
          <w:sz w:val="32"/>
          <w:szCs w:val="32"/>
          <w:lang w:eastAsia="zh-CN"/>
        </w:rPr>
        <w:t>各单位：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根据《国务院办公厅关于大力发展装配式建筑的指导意见》(国办发〔201</w:t>
      </w:r>
      <w:r>
        <w:rPr>
          <w:rFonts w:hint="eastAsia" w:ascii="仿宋" w:hAnsi="仿宋" w:eastAsia="仿宋" w:cs="仿宋"/>
          <w:b w:val="0"/>
          <w:bCs w:val="0"/>
          <w:sz w:val="32"/>
          <w:szCs w:val="32"/>
          <w:lang w:val="en-US" w:eastAsia="zh-CN"/>
        </w:rPr>
        <w:t>6</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lang w:val="en-US" w:eastAsia="zh-CN"/>
        </w:rPr>
        <w:t>71</w:t>
      </w:r>
      <w:r>
        <w:rPr>
          <w:rFonts w:hint="eastAsia" w:ascii="仿宋" w:hAnsi="仿宋" w:eastAsia="仿宋" w:cs="仿宋"/>
          <w:b w:val="0"/>
          <w:bCs w:val="0"/>
          <w:sz w:val="32"/>
          <w:szCs w:val="32"/>
          <w:lang w:eastAsia="zh-CN"/>
        </w:rPr>
        <w:t>号)、《湖南省人民政府办公厅关于印发〈湖南省推进住宅产业化实施细则〉的通知》(湘政办发〔201</w:t>
      </w:r>
      <w:r>
        <w:rPr>
          <w:rFonts w:hint="eastAsia" w:ascii="仿宋" w:hAnsi="仿宋" w:eastAsia="仿宋" w:cs="仿宋"/>
          <w:b w:val="0"/>
          <w:bCs w:val="0"/>
          <w:sz w:val="32"/>
          <w:szCs w:val="32"/>
          <w:lang w:val="en-US" w:eastAsia="zh-CN"/>
        </w:rPr>
        <w:t>4</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lang w:val="en-US" w:eastAsia="zh-CN"/>
        </w:rPr>
        <w:t>111</w:t>
      </w:r>
      <w:r>
        <w:rPr>
          <w:rFonts w:hint="eastAsia" w:ascii="仿宋" w:hAnsi="仿宋" w:eastAsia="仿宋" w:cs="仿宋"/>
          <w:b w:val="0"/>
          <w:bCs w:val="0"/>
          <w:sz w:val="32"/>
          <w:szCs w:val="32"/>
          <w:lang w:eastAsia="zh-CN"/>
        </w:rPr>
        <w:t>号)、《湖南省人民政府办公厅关于加快推进装配式建筑发展的实施意见》(湘政办发〔201</w:t>
      </w:r>
      <w:r>
        <w:rPr>
          <w:rFonts w:hint="eastAsia" w:ascii="仿宋" w:hAnsi="仿宋" w:eastAsia="仿宋" w:cs="仿宋"/>
          <w:b w:val="0"/>
          <w:bCs w:val="0"/>
          <w:sz w:val="32"/>
          <w:szCs w:val="32"/>
          <w:lang w:val="en-US" w:eastAsia="zh-CN"/>
        </w:rPr>
        <w:t>7</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lang w:val="en-US" w:eastAsia="zh-CN"/>
        </w:rPr>
        <w:t>28</w:t>
      </w:r>
      <w:r>
        <w:rPr>
          <w:rFonts w:hint="eastAsia" w:ascii="仿宋" w:hAnsi="仿宋" w:eastAsia="仿宋" w:cs="仿宋"/>
          <w:b w:val="0"/>
          <w:bCs w:val="0"/>
          <w:sz w:val="32"/>
          <w:szCs w:val="32"/>
          <w:lang w:eastAsia="zh-CN"/>
        </w:rPr>
        <w:t>号)，《</w:t>
      </w:r>
      <w:r>
        <w:rPr>
          <w:rFonts w:hint="eastAsia" w:ascii="仿宋" w:hAnsi="仿宋" w:eastAsia="仿宋" w:cs="仿宋"/>
          <w:b w:val="0"/>
          <w:bCs w:val="0"/>
          <w:sz w:val="32"/>
          <w:szCs w:val="32"/>
          <w:lang w:val="en-US" w:eastAsia="zh-CN"/>
        </w:rPr>
        <w:t>湖南</w:t>
      </w:r>
      <w:r>
        <w:rPr>
          <w:rFonts w:hint="eastAsia" w:ascii="仿宋" w:hAnsi="仿宋" w:eastAsia="仿宋" w:cs="仿宋"/>
          <w:b w:val="0"/>
          <w:bCs w:val="0"/>
          <w:sz w:val="32"/>
          <w:szCs w:val="32"/>
          <w:lang w:eastAsia="zh-CN"/>
        </w:rPr>
        <w:t>省住房和城乡建设厅</w:t>
      </w:r>
      <w:r>
        <w:rPr>
          <w:rFonts w:hint="eastAsia" w:ascii="仿宋" w:hAnsi="仿宋" w:eastAsia="仿宋" w:cs="仿宋"/>
          <w:b w:val="0"/>
          <w:bCs w:val="0"/>
          <w:sz w:val="32"/>
          <w:szCs w:val="32"/>
          <w:lang w:val="en-US" w:eastAsia="zh-CN"/>
        </w:rPr>
        <w:t>湖南</w:t>
      </w:r>
      <w:r>
        <w:rPr>
          <w:rFonts w:hint="eastAsia" w:ascii="仿宋" w:hAnsi="仿宋" w:eastAsia="仿宋" w:cs="仿宋"/>
          <w:b w:val="0"/>
          <w:bCs w:val="0"/>
          <w:sz w:val="32"/>
          <w:szCs w:val="32"/>
          <w:lang w:eastAsia="zh-CN"/>
        </w:rPr>
        <w:t>省发展和改革委员会</w:t>
      </w:r>
      <w:r>
        <w:rPr>
          <w:rFonts w:hint="eastAsia" w:ascii="仿宋" w:hAnsi="仿宋" w:eastAsia="仿宋" w:cs="仿宋"/>
          <w:b w:val="0"/>
          <w:bCs w:val="0"/>
          <w:sz w:val="32"/>
          <w:szCs w:val="32"/>
          <w:lang w:val="en-US" w:eastAsia="zh-CN"/>
        </w:rPr>
        <w:t>湖南</w:t>
      </w:r>
      <w:r>
        <w:rPr>
          <w:rFonts w:hint="eastAsia" w:ascii="仿宋" w:hAnsi="仿宋" w:eastAsia="仿宋" w:cs="仿宋"/>
          <w:b w:val="0"/>
          <w:bCs w:val="0"/>
          <w:sz w:val="32"/>
          <w:szCs w:val="32"/>
          <w:lang w:eastAsia="zh-CN"/>
        </w:rPr>
        <w:t>省自然资源厅</w:t>
      </w:r>
      <w:r>
        <w:rPr>
          <w:rFonts w:hint="eastAsia" w:ascii="仿宋" w:hAnsi="仿宋" w:eastAsia="仿宋" w:cs="仿宋"/>
          <w:b w:val="0"/>
          <w:bCs w:val="0"/>
          <w:sz w:val="32"/>
          <w:szCs w:val="32"/>
          <w:lang w:val="en-US" w:eastAsia="zh-CN"/>
        </w:rPr>
        <w:t>湖南</w:t>
      </w:r>
      <w:r>
        <w:rPr>
          <w:rFonts w:hint="eastAsia" w:ascii="仿宋" w:hAnsi="仿宋" w:eastAsia="仿宋" w:cs="仿宋"/>
          <w:b w:val="0"/>
          <w:bCs w:val="0"/>
          <w:sz w:val="32"/>
          <w:szCs w:val="32"/>
          <w:lang w:eastAsia="zh-CN"/>
        </w:rPr>
        <w:t>省财政厅关于推进我省装配式建筑发展有关工作的通知》(湘建科〔2019〕240号)和《邵阳市人民政府办公室关于加快推进装配式建筑发展的实施意见》(邵市政办发〔2018〕15号)等文件精神，促进我县建筑市场环保、绿色发展，提高建筑施工效率，经县人民政府同意，结合我县实际，特提出以下实施意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一、主要目标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加快推进装配式混凝土(PC)结构、钢结构、现代木结构建筑的应用，到202</w:t>
      </w:r>
      <w:r>
        <w:rPr>
          <w:rFonts w:hint="eastAsia" w:ascii="仿宋" w:hAnsi="仿宋" w:eastAsia="仿宋" w:cs="仿宋"/>
          <w:b w:val="0"/>
          <w:bCs w:val="0"/>
          <w:sz w:val="32"/>
          <w:szCs w:val="32"/>
          <w:lang w:val="en-US" w:eastAsia="zh-CN"/>
        </w:rPr>
        <w:t>5</w:t>
      </w:r>
      <w:r>
        <w:rPr>
          <w:rFonts w:hint="eastAsia" w:ascii="仿宋" w:hAnsi="仿宋" w:eastAsia="仿宋" w:cs="仿宋"/>
          <w:b w:val="0"/>
          <w:bCs w:val="0"/>
          <w:sz w:val="32"/>
          <w:szCs w:val="32"/>
          <w:lang w:eastAsia="zh-CN"/>
        </w:rPr>
        <w:t>年底，力争我县中心城区内装配式建筑占到新建建筑</w:t>
      </w:r>
      <w:r>
        <w:rPr>
          <w:rFonts w:hint="eastAsia" w:ascii="仿宋" w:hAnsi="仿宋" w:eastAsia="仿宋" w:cs="仿宋"/>
          <w:b w:val="0"/>
          <w:bCs w:val="0"/>
          <w:sz w:val="32"/>
          <w:szCs w:val="32"/>
          <w:lang w:val="en-US" w:eastAsia="zh-CN"/>
        </w:rPr>
        <w:t>5</w:t>
      </w:r>
      <w:r>
        <w:rPr>
          <w:rFonts w:hint="eastAsia" w:ascii="仿宋" w:hAnsi="仿宋" w:eastAsia="仿宋" w:cs="仿宋"/>
          <w:b w:val="0"/>
          <w:bCs w:val="0"/>
          <w:sz w:val="32"/>
          <w:szCs w:val="32"/>
          <w:lang w:eastAsia="zh-CN"/>
        </w:rPr>
        <w:t>0%以上。</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二、实施范围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下列工程项目需采用装配式建筑，并达到《湖南省绿色装配式建筑评价标准》中装配率要求:</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（一）政府投资建设的学校、医院、科研、机关办公楼、综合楼、工业厂房等项目(有专业工程技术要求的除外)。</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（二）适合于工厂预制的地下综合管廊、城市道路、市政桥梁和园林绿化的辅助设施等市政公用设施的项目。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（三）社会资本投资的适合采用装配式建筑的工程项目。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lang w:eastAsia="zh-CN"/>
        </w:rPr>
      </w:pPr>
      <w:r>
        <w:rPr>
          <w:rFonts w:hint="eastAsia" w:ascii="黑体" w:hAnsi="黑体" w:eastAsia="黑体" w:cs="黑体"/>
          <w:b w:val="0"/>
          <w:bCs w:val="0"/>
          <w:sz w:val="32"/>
          <w:szCs w:val="32"/>
          <w:lang w:eastAsia="zh-CN"/>
        </w:rPr>
        <w:t>三、执行标准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按照《湖南省绿色装配式建筑评价标准》(DBJ43T332-</w:t>
      </w:r>
      <w:r>
        <w:rPr>
          <w:rFonts w:hint="eastAsia" w:ascii="仿宋" w:hAnsi="仿宋" w:eastAsia="仿宋" w:cs="仿宋"/>
          <w:b w:val="0"/>
          <w:bCs w:val="0"/>
          <w:sz w:val="32"/>
          <w:szCs w:val="32"/>
          <w:lang w:val="en-US" w:eastAsia="zh-CN"/>
        </w:rPr>
        <w:t>2018）</w:t>
      </w:r>
      <w:r>
        <w:rPr>
          <w:rFonts w:hint="eastAsia" w:ascii="仿宋" w:hAnsi="仿宋" w:eastAsia="仿宋" w:cs="仿宋"/>
          <w:b w:val="0"/>
          <w:bCs w:val="0"/>
          <w:sz w:val="32"/>
          <w:szCs w:val="32"/>
          <w:lang w:eastAsia="zh-CN"/>
        </w:rPr>
        <w:t>和《湖南省绿色装配式建筑评价标准补充规定的通知》(湘建科〔2019〕158号)要求，绿色装配式建筑执行标准为单体建筑装配率不低于50%以及装配率计算规则。鼓励采用全装修;不采用全装修的装配式建设项目，经项目所在地主管部门审批同意后，在装配率计算时可认为装修和设备管线计分项为项目中缺少的评分项。</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四、政策支持</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 w:val="0"/>
          <w:bCs w:val="0"/>
          <w:sz w:val="32"/>
          <w:szCs w:val="32"/>
          <w:lang w:eastAsia="zh-CN"/>
        </w:rPr>
      </w:pPr>
      <w:r>
        <w:rPr>
          <w:rFonts w:hint="eastAsia" w:ascii="楷体_GB2312" w:hAnsi="楷体_GB2312" w:eastAsia="楷体_GB2312" w:cs="楷体_GB2312"/>
          <w:b/>
          <w:bCs/>
          <w:sz w:val="32"/>
          <w:szCs w:val="32"/>
          <w:lang w:eastAsia="zh-CN"/>
        </w:rPr>
        <w:t>(一)加强财政支持。</w:t>
      </w:r>
      <w:r>
        <w:rPr>
          <w:rFonts w:hint="eastAsia" w:ascii="仿宋" w:hAnsi="仿宋" w:eastAsia="仿宋" w:cs="仿宋"/>
          <w:b w:val="0"/>
          <w:bCs w:val="0"/>
          <w:sz w:val="32"/>
          <w:szCs w:val="32"/>
          <w:lang w:eastAsia="zh-CN"/>
        </w:rPr>
        <w:t>整合新型城镇化建设等相关专项资金，适当支持装配式建筑发展，其中对列入县级装配式建筑产业试点示范的产业基地给予重点支持。对装配式建筑技术创新、产业基地和农村装配式建筑项目给予财政奖补。对实施装配式建筑且预制装配率达到50%以上的商品房项目（土地挂牌已明确装配式建筑要求的除外），经建设单位申请、建设主管部门审定后，在计算报建费时预制外墙板部分不计入建筑面积，报建费中涉及到基础设施配套费等政府非税收入的可按非税收入缓减免程序办理审批手续后实行减半征收。</w:t>
      </w:r>
      <w:r>
        <w:rPr>
          <w:rFonts w:hint="eastAsia" w:ascii="楷体_GB2312" w:hAnsi="楷体_GB2312" w:eastAsia="楷体_GB2312" w:cs="楷体_GB2312"/>
          <w:b w:val="0"/>
          <w:bCs w:val="0"/>
          <w:sz w:val="32"/>
          <w:szCs w:val="32"/>
          <w:lang w:eastAsia="zh-CN"/>
        </w:rPr>
        <w:t>（责任单位：县财政局、县发改</w:t>
      </w:r>
      <w:r>
        <w:rPr>
          <w:rFonts w:hint="eastAsia" w:ascii="楷体_GB2312" w:hAnsi="楷体_GB2312" w:eastAsia="楷体_GB2312" w:cs="楷体_GB2312"/>
          <w:b w:val="0"/>
          <w:bCs w:val="0"/>
          <w:sz w:val="32"/>
          <w:szCs w:val="32"/>
          <w:lang w:val="en-US" w:eastAsia="zh-CN"/>
        </w:rPr>
        <w:t>局</w:t>
      </w:r>
      <w:r>
        <w:rPr>
          <w:rFonts w:hint="eastAsia" w:ascii="楷体_GB2312" w:hAnsi="楷体_GB2312" w:eastAsia="楷体_GB2312" w:cs="楷体_GB2312"/>
          <w:b w:val="0"/>
          <w:bCs w:val="0"/>
          <w:sz w:val="32"/>
          <w:szCs w:val="32"/>
          <w:lang w:eastAsia="zh-CN"/>
        </w:rPr>
        <w:t>、县住建局)</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 w:val="0"/>
          <w:bCs w:val="0"/>
          <w:sz w:val="32"/>
          <w:szCs w:val="32"/>
          <w:lang w:eastAsia="zh-CN"/>
        </w:rPr>
      </w:pPr>
      <w:r>
        <w:rPr>
          <w:rFonts w:hint="eastAsia" w:ascii="楷体_GB2312" w:hAnsi="楷体_GB2312" w:eastAsia="楷体_GB2312" w:cs="楷体_GB2312"/>
          <w:b/>
          <w:bCs/>
          <w:sz w:val="32"/>
          <w:szCs w:val="32"/>
          <w:lang w:eastAsia="zh-CN"/>
        </w:rPr>
        <w:t>（二）强化项目落地。</w:t>
      </w:r>
      <w:r>
        <w:rPr>
          <w:rFonts w:hint="eastAsia" w:ascii="仿宋" w:hAnsi="仿宋" w:eastAsia="仿宋" w:cs="仿宋"/>
          <w:b w:val="0"/>
          <w:bCs w:val="0"/>
          <w:sz w:val="32"/>
          <w:szCs w:val="32"/>
          <w:lang w:eastAsia="zh-CN"/>
        </w:rPr>
        <w:t>县自然资源局和县住建局要根据土地利用总体规划、城市(镇)总体规划和装配式建筑发展规划，重点保证装配式建筑发展合理用地。装配式建筑工程可参照重点工程报建流程，纳入工程审批绿色通道。</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政府投资类项目，由县发改局在立项批文中明确采用装配式建筑技术进行建造，并纳入项目投资估算；县自然资源局在规划审批环节提出装配式建设要求。社会投资类项目，由县自然资源局从用地规划条件、规划审批环节提出装配式建设要求；县自然资源局根据规划条件中宗地装配式建筑要求，在土地划拨或出让时纳入土地供应方案。</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bCs/>
          <w:sz w:val="32"/>
          <w:szCs w:val="32"/>
          <w:lang w:eastAsia="zh-CN"/>
        </w:rPr>
      </w:pPr>
      <w:r>
        <w:rPr>
          <w:rFonts w:hint="eastAsia" w:ascii="仿宋" w:hAnsi="仿宋" w:eastAsia="仿宋" w:cs="仿宋"/>
          <w:b w:val="0"/>
          <w:bCs w:val="0"/>
          <w:sz w:val="32"/>
          <w:szCs w:val="32"/>
          <w:lang w:eastAsia="zh-CN"/>
        </w:rPr>
        <w:t>每年年初，县装配式建筑推进工作领导小组召开专门会议，按照政府投资和社会投资工程项目分别确定装配式建筑项目计划，建立本年度装配式建筑项目库，明确项目的名称、位置、类别、规模、开工竣工时间等信息。</w:t>
      </w:r>
      <w:r>
        <w:rPr>
          <w:rFonts w:hint="eastAsia" w:ascii="楷体_GB2312" w:hAnsi="楷体_GB2312" w:eastAsia="楷体_GB2312" w:cs="楷体_GB2312"/>
          <w:b w:val="0"/>
          <w:bCs w:val="0"/>
          <w:sz w:val="32"/>
          <w:szCs w:val="32"/>
          <w:lang w:eastAsia="zh-CN"/>
        </w:rPr>
        <w:t>(责任单位:县发改局、县自然资源局、县住建局)</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
          <w:bCs/>
          <w:sz w:val="32"/>
          <w:szCs w:val="32"/>
          <w:lang w:eastAsia="zh-CN"/>
        </w:rPr>
      </w:pPr>
      <w:r>
        <w:rPr>
          <w:rFonts w:hint="eastAsia" w:ascii="楷体_GB2312" w:hAnsi="楷体_GB2312" w:eastAsia="楷体_GB2312" w:cs="楷体_GB2312"/>
          <w:b/>
          <w:bCs/>
          <w:sz w:val="32"/>
          <w:szCs w:val="32"/>
          <w:lang w:eastAsia="zh-CN"/>
        </w:rPr>
        <w:t>（三）加大金融支持。</w:t>
      </w:r>
      <w:r>
        <w:rPr>
          <w:rFonts w:hint="eastAsia" w:ascii="仿宋" w:hAnsi="仿宋" w:eastAsia="仿宋" w:cs="仿宋"/>
          <w:b w:val="0"/>
          <w:bCs w:val="0"/>
          <w:sz w:val="32"/>
          <w:szCs w:val="32"/>
          <w:lang w:eastAsia="zh-CN"/>
        </w:rPr>
        <w:t>消费者购买装配式建筑的商品房，在贷款利率方面可相对于购买普通商品房给予适当优惠，购买装配式全装修商品房的购房者，可以成品住宅成交总价为基数确定贷款额度。住房公积金缴存职工购买装配式建筑商品房的，首付购房总价款20％后可申请办理住房公积金个人贷款,贷款额度可按成品住宅成交总价为基数来核定，不超过我县住房公积金最高贷款上限。</w:t>
      </w:r>
      <w:r>
        <w:rPr>
          <w:rFonts w:hint="eastAsia" w:ascii="楷体_GB2312" w:hAnsi="楷体_GB2312" w:eastAsia="楷体_GB2312" w:cs="楷体_GB2312"/>
          <w:b w:val="0"/>
          <w:bCs w:val="0"/>
          <w:sz w:val="32"/>
          <w:szCs w:val="32"/>
          <w:lang w:eastAsia="zh-CN"/>
        </w:rPr>
        <w:t>(责任单位：中国人民银行隆回县支行、县住房公积金管理中心)</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
          <w:bCs/>
          <w:sz w:val="32"/>
          <w:szCs w:val="32"/>
          <w:lang w:eastAsia="zh-CN"/>
        </w:rPr>
      </w:pPr>
      <w:r>
        <w:rPr>
          <w:rFonts w:hint="eastAsia" w:ascii="楷体_GB2312" w:hAnsi="楷体_GB2312" w:eastAsia="楷体_GB2312" w:cs="楷体_GB2312"/>
          <w:b/>
          <w:bCs/>
          <w:sz w:val="32"/>
          <w:szCs w:val="32"/>
          <w:lang w:eastAsia="zh-CN"/>
        </w:rPr>
        <w:t>（四）实施税费优惠。</w:t>
      </w:r>
      <w:r>
        <w:rPr>
          <w:rFonts w:hint="eastAsia" w:ascii="仿宋" w:hAnsi="仿宋" w:eastAsia="仿宋" w:cs="仿宋"/>
          <w:b w:val="0"/>
          <w:bCs w:val="0"/>
          <w:sz w:val="32"/>
          <w:szCs w:val="32"/>
          <w:lang w:eastAsia="zh-CN"/>
        </w:rPr>
        <w:t>鼓励和支持企业、高等学校、研发机构研究开发装配式建筑新技术、新产品、新工艺，符合条件的研究开发费用可以按照国家有关规定享受税前加计扣除等优惠政策。对装配式建筑产业基地企业,经相关职能部门认定为高新技术企业的,享受高新技术企业相应税收优惠政策。</w:t>
      </w:r>
      <w:r>
        <w:rPr>
          <w:rFonts w:hint="eastAsia" w:ascii="楷体_GB2312" w:hAnsi="楷体_GB2312" w:eastAsia="楷体_GB2312" w:cs="楷体_GB2312"/>
          <w:b w:val="0"/>
          <w:bCs w:val="0"/>
          <w:sz w:val="32"/>
          <w:szCs w:val="32"/>
          <w:lang w:eastAsia="zh-CN"/>
        </w:rPr>
        <w:t>(责任单位：县税务局、县自然资源局、县科工信局)</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
          <w:bCs/>
          <w:sz w:val="32"/>
          <w:szCs w:val="32"/>
          <w:lang w:eastAsia="zh-CN"/>
        </w:rPr>
      </w:pPr>
      <w:r>
        <w:rPr>
          <w:rFonts w:hint="eastAsia" w:ascii="楷体_GB2312" w:hAnsi="楷体_GB2312" w:eastAsia="楷体_GB2312" w:cs="楷体_GB2312"/>
          <w:b/>
          <w:bCs/>
          <w:sz w:val="32"/>
          <w:szCs w:val="32"/>
          <w:lang w:eastAsia="zh-CN"/>
        </w:rPr>
        <w:t>（五）实行容积率奖励。</w:t>
      </w:r>
      <w:r>
        <w:rPr>
          <w:rFonts w:hint="eastAsia" w:ascii="仿宋" w:hAnsi="仿宋" w:eastAsia="仿宋" w:cs="仿宋"/>
          <w:b w:val="0"/>
          <w:bCs w:val="0"/>
          <w:sz w:val="32"/>
          <w:szCs w:val="32"/>
          <w:lang w:eastAsia="zh-CN"/>
        </w:rPr>
        <w:t>对主动实施装配式建筑且装配率达到50%以上的商品房项目(土地挂牌已明确装配式建筑要求的除外)，给予</w:t>
      </w:r>
      <w:r>
        <w:rPr>
          <w:rFonts w:hint="eastAsia" w:ascii="仿宋" w:hAnsi="仿宋" w:eastAsia="仿宋" w:cs="仿宋"/>
          <w:b w:val="0"/>
          <w:bCs w:val="0"/>
          <w:sz w:val="32"/>
          <w:szCs w:val="32"/>
          <w:lang w:val="en-US" w:eastAsia="zh-CN"/>
        </w:rPr>
        <w:t>4%</w:t>
      </w:r>
      <w:r>
        <w:rPr>
          <w:rFonts w:hint="eastAsia" w:ascii="仿宋" w:hAnsi="仿宋" w:eastAsia="仿宋" w:cs="仿宋"/>
          <w:b w:val="0"/>
          <w:bCs w:val="0"/>
          <w:sz w:val="32"/>
          <w:szCs w:val="32"/>
          <w:lang w:eastAsia="zh-CN"/>
        </w:rPr>
        <w:t>建筑容积率奖励</w:t>
      </w:r>
      <w:r>
        <w:rPr>
          <w:rFonts w:hint="eastAsia" w:ascii="仿宋" w:hAnsi="仿宋" w:eastAsia="仿宋" w:cs="仿宋"/>
          <w:b w:val="0"/>
          <w:bCs w:val="0"/>
          <w:sz w:val="32"/>
          <w:szCs w:val="32"/>
          <w:lang w:val="en-US" w:eastAsia="zh-CN"/>
        </w:rPr>
        <w:t>且奖励容积率可以突破控规</w:t>
      </w:r>
      <w:r>
        <w:rPr>
          <w:rFonts w:hint="eastAsia" w:ascii="仿宋" w:hAnsi="仿宋" w:eastAsia="仿宋" w:cs="仿宋"/>
          <w:b w:val="0"/>
          <w:bCs w:val="0"/>
          <w:sz w:val="32"/>
          <w:szCs w:val="32"/>
          <w:lang w:eastAsia="zh-CN"/>
        </w:rPr>
        <w:t>（如市人民政府另有调整通知，则按市人民政府新文件执行）。</w:t>
      </w:r>
      <w:r>
        <w:rPr>
          <w:rFonts w:hint="eastAsia" w:ascii="楷体_GB2312" w:hAnsi="楷体_GB2312" w:eastAsia="楷体_GB2312" w:cs="楷体_GB2312"/>
          <w:b w:val="0"/>
          <w:bCs w:val="0"/>
          <w:sz w:val="32"/>
          <w:szCs w:val="32"/>
          <w:lang w:eastAsia="zh-CN"/>
        </w:rPr>
        <w:t>(责任单位：县自然资源局)</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
          <w:bCs/>
          <w:sz w:val="32"/>
          <w:szCs w:val="32"/>
          <w:lang w:eastAsia="zh-CN"/>
        </w:rPr>
      </w:pPr>
      <w:r>
        <w:rPr>
          <w:rFonts w:hint="eastAsia" w:ascii="楷体_GB2312" w:hAnsi="楷体_GB2312" w:eastAsia="楷体_GB2312" w:cs="楷体_GB2312"/>
          <w:b/>
          <w:bCs/>
          <w:sz w:val="32"/>
          <w:szCs w:val="32"/>
          <w:lang w:eastAsia="zh-CN"/>
        </w:rPr>
        <w:t>（六）优先办理商品房预售。</w:t>
      </w:r>
      <w:r>
        <w:rPr>
          <w:rFonts w:hint="eastAsia" w:ascii="仿宋" w:hAnsi="仿宋" w:eastAsia="仿宋" w:cs="仿宋"/>
          <w:b w:val="0"/>
          <w:bCs w:val="0"/>
          <w:sz w:val="32"/>
          <w:szCs w:val="32"/>
          <w:lang w:eastAsia="zh-CN"/>
        </w:rPr>
        <w:t>对满足</w:t>
      </w:r>
      <w:r>
        <w:rPr>
          <w:rFonts w:hint="eastAsia" w:ascii="仿宋" w:hAnsi="仿宋" w:eastAsia="仿宋" w:cs="仿宋"/>
          <w:b w:val="0"/>
          <w:bCs w:val="0"/>
          <w:sz w:val="32"/>
          <w:szCs w:val="32"/>
          <w:lang w:val="en-US" w:eastAsia="zh-CN"/>
        </w:rPr>
        <w:t>50%</w:t>
      </w:r>
      <w:r>
        <w:rPr>
          <w:rFonts w:hint="eastAsia" w:ascii="仿宋" w:hAnsi="仿宋" w:eastAsia="仿宋" w:cs="仿宋"/>
          <w:b w:val="0"/>
          <w:bCs w:val="0"/>
          <w:sz w:val="32"/>
          <w:szCs w:val="32"/>
          <w:lang w:eastAsia="zh-CN"/>
        </w:rPr>
        <w:t>装配率的装配式建筑的商品房,在已交付全部土地使用权出让金，取得土地使用权证书， 持有建设工程规划许可证和施工许可证，按提供预售的商品房计算,投入开发建设的资金达到工程建设总投资的25%以上，或完成基础工程达到正负零的标准，并已确定施工进度和竣工交付日期的情况下，可向县住建局办理预售登记，领取商品房预售许可证，法律法规另有规定的除外。在办理《商品房预售许可证》时，装配式预制构件投资计入工程建设总投资额，可纳入进度衡量。</w:t>
      </w:r>
      <w:r>
        <w:rPr>
          <w:rFonts w:hint="eastAsia" w:ascii="楷体_GB2312" w:hAnsi="楷体_GB2312" w:eastAsia="楷体_GB2312" w:cs="楷体_GB2312"/>
          <w:b w:val="0"/>
          <w:bCs w:val="0"/>
          <w:sz w:val="32"/>
          <w:szCs w:val="32"/>
          <w:lang w:eastAsia="zh-CN"/>
        </w:rPr>
        <w:t>(责任单位:县住建局)</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
          <w:bCs/>
          <w:sz w:val="32"/>
          <w:szCs w:val="32"/>
          <w:lang w:eastAsia="zh-CN"/>
        </w:rPr>
      </w:pPr>
      <w:r>
        <w:rPr>
          <w:rFonts w:hint="eastAsia" w:ascii="楷体_GB2312" w:hAnsi="楷体_GB2312" w:eastAsia="楷体_GB2312" w:cs="楷体_GB2312"/>
          <w:b/>
          <w:bCs/>
          <w:sz w:val="32"/>
          <w:szCs w:val="32"/>
          <w:lang w:eastAsia="zh-CN"/>
        </w:rPr>
        <w:t>（七）优化工程招投标程序。</w:t>
      </w:r>
      <w:r>
        <w:rPr>
          <w:rFonts w:hint="eastAsia" w:ascii="仿宋" w:hAnsi="仿宋" w:eastAsia="仿宋" w:cs="仿宋"/>
          <w:b w:val="0"/>
          <w:bCs w:val="0"/>
          <w:sz w:val="32"/>
          <w:szCs w:val="32"/>
          <w:lang w:eastAsia="zh-CN"/>
        </w:rPr>
        <w:t>装配式建筑原则上应采用工程总承包模式，可按照技术复杂类工程项目招投标。装配式建筑项目工程总承包招标后，总包范围内涵盖的勘察、设计、采购、施工可不再通过招标形式确定分包单位。工程总承包企业要对工程质量、安全、进度、造价负总责。</w:t>
      </w:r>
      <w:r>
        <w:rPr>
          <w:rFonts w:hint="eastAsia" w:ascii="楷体_GB2312" w:hAnsi="楷体_GB2312" w:eastAsia="楷体_GB2312" w:cs="楷体_GB2312"/>
          <w:b w:val="0"/>
          <w:bCs w:val="0"/>
          <w:sz w:val="32"/>
          <w:szCs w:val="32"/>
          <w:lang w:eastAsia="zh-CN"/>
        </w:rPr>
        <w:t>(责任单位：县发改</w:t>
      </w:r>
      <w:r>
        <w:rPr>
          <w:rFonts w:hint="eastAsia" w:ascii="楷体_GB2312" w:hAnsi="楷体_GB2312" w:eastAsia="楷体_GB2312" w:cs="楷体_GB2312"/>
          <w:b w:val="0"/>
          <w:bCs w:val="0"/>
          <w:sz w:val="32"/>
          <w:szCs w:val="32"/>
          <w:lang w:val="en-US" w:eastAsia="zh-CN"/>
        </w:rPr>
        <w:t>局</w:t>
      </w:r>
      <w:r>
        <w:rPr>
          <w:rFonts w:hint="eastAsia" w:ascii="楷体_GB2312" w:hAnsi="楷体_GB2312" w:eastAsia="楷体_GB2312" w:cs="楷体_GB2312"/>
          <w:b w:val="0"/>
          <w:bCs w:val="0"/>
          <w:sz w:val="32"/>
          <w:szCs w:val="32"/>
          <w:lang w:eastAsia="zh-CN"/>
        </w:rPr>
        <w:t>、县住建局)</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五、保障措施</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 w:val="0"/>
          <w:bCs w:val="0"/>
          <w:sz w:val="32"/>
          <w:szCs w:val="32"/>
          <w:lang w:eastAsia="zh-CN"/>
        </w:rPr>
      </w:pPr>
      <w:r>
        <w:rPr>
          <w:rFonts w:hint="eastAsia" w:ascii="楷体_GB2312" w:hAnsi="楷体_GB2312" w:eastAsia="楷体_GB2312" w:cs="楷体_GB2312"/>
          <w:b/>
          <w:bCs/>
          <w:sz w:val="32"/>
          <w:szCs w:val="32"/>
          <w:lang w:eastAsia="zh-CN"/>
        </w:rPr>
        <w:t>（一）加强组织领导。</w:t>
      </w:r>
      <w:r>
        <w:rPr>
          <w:rFonts w:hint="eastAsia" w:ascii="仿宋" w:hAnsi="仿宋" w:eastAsia="仿宋" w:cs="仿宋"/>
          <w:b w:val="0"/>
          <w:bCs w:val="0"/>
          <w:sz w:val="32"/>
          <w:szCs w:val="32"/>
          <w:lang w:eastAsia="zh-CN"/>
        </w:rPr>
        <w:t>成立隆回县装配式建筑推进工作领导小组，由县委常委、常务副县长任组长，分管住建工作的副县长任副组长，县政府办、县发改局、县财政局、县住建局、县自然资源局、县科工信局、县税务局、中国人民银行隆回县支行、县住房公积金管理中心等单位为成员单位。领导小组下设办公室，办公地点设在县住建局，县住建局局长兼任办公室主任。各单位明确分管领导和联络员，联络员承担相关具体工作。</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 w:val="0"/>
          <w:bCs w:val="0"/>
          <w:sz w:val="32"/>
          <w:szCs w:val="32"/>
          <w:lang w:eastAsia="zh-CN"/>
        </w:rPr>
      </w:pPr>
      <w:r>
        <w:rPr>
          <w:rFonts w:hint="eastAsia" w:ascii="楷体_GB2312" w:hAnsi="楷体_GB2312" w:eastAsia="楷体_GB2312" w:cs="楷体_GB2312"/>
          <w:b/>
          <w:bCs/>
          <w:sz w:val="32"/>
          <w:szCs w:val="32"/>
          <w:lang w:eastAsia="zh-CN"/>
        </w:rPr>
        <w:t>（二）加强人才培养。</w:t>
      </w:r>
      <w:r>
        <w:rPr>
          <w:rFonts w:hint="eastAsia" w:ascii="仿宋" w:hAnsi="仿宋" w:eastAsia="仿宋" w:cs="仿宋"/>
          <w:b w:val="0"/>
          <w:bCs w:val="0"/>
          <w:sz w:val="32"/>
          <w:szCs w:val="32"/>
          <w:lang w:eastAsia="zh-CN"/>
        </w:rPr>
        <w:t>建立装配式建筑人才引进培养机制，开展装配式建筑企业和管理部门相关人员的分类培训，提高相关专业人员的管理能力和技术水平。</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 w:val="0"/>
          <w:bCs w:val="0"/>
          <w:sz w:val="32"/>
          <w:szCs w:val="32"/>
          <w:lang w:eastAsia="zh-CN"/>
        </w:rPr>
      </w:pPr>
      <w:r>
        <w:rPr>
          <w:rFonts w:hint="eastAsia" w:ascii="楷体_GB2312" w:hAnsi="楷体_GB2312" w:eastAsia="楷体_GB2312" w:cs="楷体_GB2312"/>
          <w:b/>
          <w:bCs/>
          <w:sz w:val="32"/>
          <w:szCs w:val="32"/>
          <w:lang w:eastAsia="zh-CN"/>
        </w:rPr>
        <w:t>（三）加强宣传推广。</w:t>
      </w:r>
      <w:r>
        <w:rPr>
          <w:rFonts w:hint="eastAsia" w:ascii="仿宋" w:hAnsi="仿宋" w:eastAsia="仿宋" w:cs="仿宋"/>
          <w:b w:val="0"/>
          <w:bCs w:val="0"/>
          <w:sz w:val="32"/>
          <w:szCs w:val="32"/>
          <w:lang w:eastAsia="zh-CN"/>
        </w:rPr>
        <w:t>加大装配式建筑宣传力度，通过编发装配式建筑知识手册、举办展览、讲座等多种方式，广泛宣传装配式建筑相关政策，提高社会认同度和公众认知度，营造全社会共同关注、支持装配式建筑发展的良好氛围。</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3200" w:firstLineChars="1000"/>
        <w:jc w:val="both"/>
        <w:textAlignment w:val="auto"/>
        <w:rPr>
          <w:rFonts w:hint="eastAsia" w:ascii="仿宋" w:hAnsi="仿宋" w:eastAsia="仿宋" w:cs="仿宋"/>
          <w:b w:val="0"/>
          <w:bCs w:val="0"/>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480" w:firstLineChars="14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隆回县人民政府办公室</w:t>
      </w:r>
      <w:r>
        <w:rPr>
          <w:rFonts w:hint="eastAsia" w:ascii="仿宋" w:hAnsi="仿宋" w:eastAsia="仿宋" w:cs="仿宋"/>
          <w:b w:val="0"/>
          <w:bCs w:val="0"/>
          <w:sz w:val="32"/>
          <w:szCs w:val="32"/>
          <w:lang w:eastAsia="zh-CN"/>
        </w:rPr>
        <w:tab/>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0" w:firstLineChars="1500"/>
        <w:jc w:val="both"/>
        <w:textAlignment w:val="auto"/>
        <w:rPr>
          <w:rFonts w:hint="default" w:ascii="仿宋" w:hAnsi="仿宋" w:eastAsia="仿宋" w:cs="仿宋"/>
          <w:b w:val="0"/>
          <w:bCs w:val="0"/>
          <w:sz w:val="32"/>
          <w:szCs w:val="32"/>
          <w:lang w:val="en-US" w:eastAsia="zh-CN"/>
        </w:rPr>
      </w:pPr>
      <w:r>
        <w:rPr>
          <w:rFonts w:hint="eastAsia" w:ascii="仿宋" w:hAnsi="仿宋" w:eastAsia="仿宋" w:cs="仿宋"/>
          <w:b w:val="0"/>
          <w:bCs w:val="0"/>
          <w:sz w:val="32"/>
          <w:szCs w:val="32"/>
          <w:lang w:eastAsia="zh-CN"/>
        </w:rPr>
        <w:t>20</w:t>
      </w:r>
      <w:r>
        <w:rPr>
          <w:rFonts w:hint="eastAsia" w:ascii="仿宋" w:hAnsi="仿宋" w:eastAsia="仿宋" w:cs="仿宋"/>
          <w:b w:val="0"/>
          <w:bCs w:val="0"/>
          <w:sz w:val="32"/>
          <w:szCs w:val="32"/>
          <w:lang w:val="en-US" w:eastAsia="zh-CN"/>
        </w:rPr>
        <w:t>22</w:t>
      </w:r>
      <w:r>
        <w:rPr>
          <w:rFonts w:hint="eastAsia" w:ascii="仿宋" w:hAnsi="仿宋" w:eastAsia="仿宋" w:cs="仿宋"/>
          <w:b w:val="0"/>
          <w:bCs w:val="0"/>
          <w:sz w:val="32"/>
          <w:szCs w:val="32"/>
          <w:lang w:eastAsia="zh-CN"/>
        </w:rPr>
        <w:t>年</w:t>
      </w:r>
      <w:r>
        <w:rPr>
          <w:rFonts w:hint="eastAsia" w:ascii="仿宋" w:hAnsi="仿宋" w:eastAsia="仿宋" w:cs="仿宋"/>
          <w:b w:val="0"/>
          <w:bCs w:val="0"/>
          <w:sz w:val="32"/>
          <w:szCs w:val="32"/>
          <w:lang w:val="en-US" w:eastAsia="zh-CN"/>
        </w:rPr>
        <w:t>3</w:t>
      </w:r>
      <w:r>
        <w:rPr>
          <w:rFonts w:hint="eastAsia" w:ascii="仿宋" w:hAnsi="仿宋" w:eastAsia="仿宋" w:cs="仿宋"/>
          <w:b w:val="0"/>
          <w:bCs w:val="0"/>
          <w:sz w:val="32"/>
          <w:szCs w:val="32"/>
          <w:lang w:eastAsia="zh-CN"/>
        </w:rPr>
        <w:t>月</w:t>
      </w:r>
      <w:r>
        <w:rPr>
          <w:rFonts w:hint="eastAsia" w:ascii="仿宋" w:hAnsi="仿宋" w:eastAsia="仿宋" w:cs="仿宋"/>
          <w:b w:val="0"/>
          <w:bCs w:val="0"/>
          <w:sz w:val="32"/>
          <w:szCs w:val="32"/>
          <w:lang w:val="en-US" w:eastAsia="zh-CN"/>
        </w:rPr>
        <w:t>12</w:t>
      </w:r>
      <w:r>
        <w:rPr>
          <w:rFonts w:hint="eastAsia" w:ascii="仿宋" w:hAnsi="仿宋" w:eastAsia="仿宋" w:cs="仿宋"/>
          <w:b w:val="0"/>
          <w:bCs w:val="0"/>
          <w:sz w:val="32"/>
          <w:szCs w:val="32"/>
          <w:lang w:eastAsia="zh-CN"/>
        </w:rPr>
        <w:t>日</w:t>
      </w:r>
    </w:p>
    <w:p>
      <w:pPr>
        <w:keepNext w:val="0"/>
        <w:keepLines w:val="0"/>
        <w:pageBreakBefore w:val="0"/>
        <w:widowControl w:val="0"/>
        <w:kinsoku/>
        <w:wordWrap/>
        <w:overflowPunct/>
        <w:topLinePunct w:val="0"/>
        <w:autoSpaceDE/>
        <w:autoSpaceDN/>
        <w:bidi w:val="0"/>
        <w:adjustRightInd/>
        <w:snapToGrid/>
        <w:spacing w:line="600" w:lineRule="exact"/>
        <w:textAlignment w:val="auto"/>
      </w:pPr>
    </w:p>
    <w:sectPr>
      <w:footerReference r:id="rId3" w:type="default"/>
      <w:pgSz w:w="11906" w:h="16838"/>
      <w:pgMar w:top="1701" w:right="1417" w:bottom="1417" w:left="141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F4013BE-E778-4A68-904F-1E066D88E62E}"/>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5EA980BA-A351-4C10-A155-087DA37AC07A}"/>
  </w:font>
  <w:font w:name="方正仿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3" w:fontKey="{931E51F1-89F1-4509-9F2B-4441A9EA3DFE}"/>
  </w:font>
  <w:font w:name="方正小标宋_GBK">
    <w:panose1 w:val="03000509000000000000"/>
    <w:charset w:val="86"/>
    <w:family w:val="auto"/>
    <w:pitch w:val="default"/>
    <w:sig w:usb0="00000001" w:usb1="080E0000" w:usb2="00000000" w:usb3="00000000" w:csb0="00040000" w:csb1="00000000"/>
    <w:embedRegular r:id="rId4" w:fontKey="{4F63FA70-A57D-4E38-B76B-99F7DFCDF61C}"/>
  </w:font>
  <w:font w:name="楷体_GB2312">
    <w:panose1 w:val="02010609030101010101"/>
    <w:charset w:val="86"/>
    <w:family w:val="auto"/>
    <w:pitch w:val="default"/>
    <w:sig w:usb0="00000001" w:usb1="080E0000" w:usb2="00000000" w:usb3="00000000" w:csb0="00040000" w:csb1="00000000"/>
    <w:embedRegular r:id="rId5" w:fontKey="{2FED8C37-9C92-493A-ABA6-E3BA8C55F2C6}"/>
  </w:font>
  <w:font w:name="方正小标宋简体">
    <w:panose1 w:val="02010601030101010101"/>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EzZDU3ZTM3NTg5NjhhZWU1NGU2YjFjNDMzMDM3ZjUifQ=="/>
    <w:docVar w:name="KSO_WPS_MARK_KEY" w:val="e4aaeea2-65e6-49b3-a95c-c2a22809573c"/>
  </w:docVars>
  <w:rsids>
    <w:rsidRoot w:val="00000000"/>
    <w:rsid w:val="036C34DA"/>
    <w:rsid w:val="078D4735"/>
    <w:rsid w:val="12356F93"/>
    <w:rsid w:val="19020B51"/>
    <w:rsid w:val="1F02343B"/>
    <w:rsid w:val="21163F0F"/>
    <w:rsid w:val="2ABD6894"/>
    <w:rsid w:val="338558E4"/>
    <w:rsid w:val="38A547BD"/>
    <w:rsid w:val="3A38763C"/>
    <w:rsid w:val="3F2B4CB3"/>
    <w:rsid w:val="3FCB232C"/>
    <w:rsid w:val="42460B14"/>
    <w:rsid w:val="428D254A"/>
    <w:rsid w:val="43CC0DB5"/>
    <w:rsid w:val="44592057"/>
    <w:rsid w:val="46B548F8"/>
    <w:rsid w:val="50605FE1"/>
    <w:rsid w:val="50863AEE"/>
    <w:rsid w:val="50A52C7D"/>
    <w:rsid w:val="536A6290"/>
    <w:rsid w:val="5AE3545D"/>
    <w:rsid w:val="5B1E69D5"/>
    <w:rsid w:val="5F304531"/>
    <w:rsid w:val="627B76B3"/>
    <w:rsid w:val="631E2EDA"/>
    <w:rsid w:val="63C82E3E"/>
    <w:rsid w:val="65750EF0"/>
    <w:rsid w:val="6A754B69"/>
    <w:rsid w:val="70FE5C4F"/>
    <w:rsid w:val="75B000C2"/>
    <w:rsid w:val="7E3869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note text"/>
    <w:basedOn w:val="1"/>
    <w:qFormat/>
    <w:uiPriority w:val="99"/>
    <w:pPr>
      <w:snapToGrid w:val="0"/>
    </w:pPr>
    <w:rPr>
      <w:rFonts w:ascii="Calibri" w:hAnsi="Calibri" w:eastAsia="宋体" w:cs="Times New Roman"/>
      <w:kern w:val="2"/>
      <w:sz w:val="18"/>
      <w:szCs w:val="18"/>
      <w:lang w:eastAsia="zh-CN"/>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2612</Words>
  <Characters>2694</Characters>
  <Lines>0</Lines>
  <Paragraphs>0</Paragraphs>
  <TotalTime>19</TotalTime>
  <ScaleCrop>false</ScaleCrop>
  <LinksUpToDate>false</LinksUpToDate>
  <CharactersWithSpaces>2699</CharactersWithSpaces>
  <Application>WPS Office_11.1.0.12651_F1E327BC-269C-435d-A152-05C5408002CA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2022-01-20T03:46:00Z</dcterms:created>
  <dc:creator>Administrator</dc:creator>
  <cp:lastModifiedBy>Bluerose</cp:lastModifiedBy>
  <cp:lastPrinted>2022-03-15T01:59:00Z</cp:lastPrinted>
  <dcterms:modified xsi:type="dcterms:W3CDTF">2022-11-30T04:18:31Z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2052-11.1.0.12651</vt:lpwstr>
  </property>
  <property fmtid="{D5CDD505-2E9C-101B-9397-08002B2CF9AE}" pid="3" name="ICV">
    <vt:lpwstr>B4380F84172D4A4EA23FFED5D9F6BD91</vt:lpwstr>
  </property>
</Properties>
</file>