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ACB" w:rsidRDefault="008153AF">
      <w:pPr>
        <w:widowControl/>
        <w:shd w:val="clear" w:color="auto" w:fill="FFFFFF"/>
        <w:spacing w:line="480" w:lineRule="exact"/>
        <w:ind w:firstLine="646"/>
        <w:jc w:val="center"/>
        <w:rPr>
          <w:rFonts w:ascii="仿宋_GB2312" w:eastAsia="仿宋_GB2312" w:hAnsi="Calibri" w:cs="宋体"/>
          <w:color w:val="000000"/>
          <w:kern w:val="0"/>
          <w:sz w:val="32"/>
          <w:szCs w:val="32"/>
        </w:rPr>
      </w:pPr>
      <w:r>
        <w:rPr>
          <w:rFonts w:ascii="方正小标宋简体" w:eastAsia="方正小标宋简体" w:hAnsi="Calibri" w:cs="宋体" w:hint="eastAsia"/>
          <w:color w:val="000000"/>
          <w:kern w:val="0"/>
          <w:sz w:val="32"/>
          <w:szCs w:val="32"/>
        </w:rPr>
        <w:t>隆回县国家重点生态功能区产业准入负面清单（试行）</w:t>
      </w:r>
    </w:p>
    <w:p w:rsidR="00472ACB" w:rsidRDefault="00472ACB">
      <w:pPr>
        <w:widowControl/>
        <w:shd w:val="clear" w:color="auto" w:fill="FFFFFF"/>
        <w:spacing w:line="480" w:lineRule="exact"/>
        <w:ind w:firstLine="646"/>
        <w:jc w:val="left"/>
        <w:rPr>
          <w:rFonts w:ascii="仿宋_GB2312" w:eastAsia="仿宋_GB2312" w:hAnsi="Calibri" w:cs="宋体"/>
          <w:color w:val="000000"/>
          <w:kern w:val="0"/>
          <w:sz w:val="32"/>
          <w:szCs w:val="32"/>
        </w:rPr>
      </w:pP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一、隆回县地处南岭山地森林及生物多样性国家重点生态功能区。本负面清单涉及国民经济3门类11大类17中类23小类。其中禁止类涉及国民经济3门类7大类12中类11小类；限制类涉及国民经济3门类5大类6中类13小类。</w:t>
      </w: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二、负面清单遵循的基本原则和要求</w:t>
      </w: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1、所列产业涵盖了本行政区现有产业和具有资源要素禀赋的拟发展产业，但不涉及由国家规划布局的产业。</w:t>
      </w: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2、所列产业准入条件均严于《产业结构调整指导目录（2011年本）》（2013年修正）（以下简称《指导目录》）的有关要求。</w:t>
      </w: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3、列入禁止类产业有：《指导目录》中淘汰类;《指导目录》中限制类，且与所处重点生态功能区主体功能定位和发展方向不相符合的产业；《指导目录》中鼓励类和允许类，但在本行政区不具备资源要素禀赋，且与所处重点生态功能区主体功能定位和发展方向不相符合的产业。</w:t>
      </w:r>
    </w:p>
    <w:p w:rsidR="00472ACB" w:rsidRDefault="008153AF">
      <w:pPr>
        <w:widowControl/>
        <w:shd w:val="clear" w:color="auto" w:fill="FFFFFF"/>
        <w:spacing w:line="480" w:lineRule="exact"/>
        <w:ind w:firstLine="646"/>
        <w:jc w:val="left"/>
        <w:rPr>
          <w:rFonts w:ascii="Calibri" w:eastAsia="宋体" w:hAnsi="Calibri" w:cs="宋体"/>
          <w:color w:val="000000"/>
          <w:kern w:val="0"/>
          <w:sz w:val="30"/>
          <w:szCs w:val="30"/>
        </w:rPr>
      </w:pPr>
      <w:r>
        <w:rPr>
          <w:rFonts w:ascii="仿宋_GB2312" w:eastAsia="仿宋_GB2312" w:hAnsi="Calibri" w:cs="宋体" w:hint="eastAsia"/>
          <w:color w:val="000000"/>
          <w:kern w:val="0"/>
          <w:sz w:val="30"/>
          <w:szCs w:val="30"/>
        </w:rPr>
        <w:t>4、列入限制业产业有：《指导目录》中限制类；《指导目录》中鼓励类，在本行政区具备一定资源要素禀赋，但与所处重点生态功能区主体功能定位和发展方向不相符合的产业。</w:t>
      </w:r>
    </w:p>
    <w:p w:rsidR="00472ACB" w:rsidRDefault="008153AF">
      <w:pPr>
        <w:widowControl/>
        <w:shd w:val="clear" w:color="auto" w:fill="FFFFFF"/>
        <w:spacing w:line="480" w:lineRule="exact"/>
        <w:ind w:firstLine="646"/>
        <w:jc w:val="left"/>
        <w:rPr>
          <w:rFonts w:ascii="仿宋_GB2312" w:eastAsia="仿宋_GB2312" w:hAnsi="Calibri" w:cs="宋体"/>
          <w:color w:val="000000"/>
          <w:kern w:val="0"/>
          <w:sz w:val="32"/>
          <w:szCs w:val="32"/>
        </w:rPr>
        <w:sectPr w:rsidR="00472ACB">
          <w:pgSz w:w="11906" w:h="16838"/>
          <w:pgMar w:top="1440" w:right="1797" w:bottom="1440" w:left="1797" w:header="851" w:footer="992" w:gutter="0"/>
          <w:cols w:space="425"/>
          <w:docGrid w:linePitch="312"/>
        </w:sectPr>
      </w:pPr>
      <w:r>
        <w:rPr>
          <w:rFonts w:ascii="仿宋_GB2312" w:eastAsia="仿宋_GB2312" w:hAnsi="Calibri" w:cs="宋体" w:hint="eastAsia"/>
          <w:color w:val="000000"/>
          <w:kern w:val="0"/>
          <w:sz w:val="30"/>
          <w:szCs w:val="30"/>
        </w:rPr>
        <w:t>5、各类管控要求依据《全国主体功能区规划》、《关于贯彻实施国家主体功能区环境政策的若干意见》（环发[2015]92号）、《关于加强国家重点生态功能区环境保护和管理的意见》（环发[2013]16号），以及我省对重点生态功能区产业准入的有关要求等提出。涉及自然保护区、世界文化自然遗产、风景名胜区、森林公园、饮用水水源地保护区等依法管控的区域，其管理要求依法执行。</w:t>
      </w:r>
    </w:p>
    <w:p w:rsidR="00472ACB" w:rsidRDefault="008153AF">
      <w:pPr>
        <w:widowControl/>
        <w:shd w:val="clear" w:color="auto" w:fill="FFFFFF"/>
        <w:spacing w:line="525" w:lineRule="atLeast"/>
        <w:ind w:firstLine="645"/>
        <w:jc w:val="left"/>
        <w:rPr>
          <w:rFonts w:ascii="Calibri" w:eastAsia="宋体" w:hAnsi="Calibri" w:cs="宋体"/>
          <w:color w:val="000000"/>
          <w:kern w:val="0"/>
          <w:szCs w:val="21"/>
        </w:rPr>
      </w:pPr>
      <w:r>
        <w:rPr>
          <w:rFonts w:ascii="黑体" w:eastAsia="黑体" w:hAnsi="黑体" w:cs="宋体" w:hint="eastAsia"/>
          <w:color w:val="000000"/>
          <w:kern w:val="0"/>
          <w:sz w:val="32"/>
          <w:szCs w:val="32"/>
        </w:rPr>
        <w:lastRenderedPageBreak/>
        <w:t>三、负面清单(试行)</w:t>
      </w:r>
    </w:p>
    <w:tbl>
      <w:tblPr>
        <w:tblpPr w:leftFromText="180" w:rightFromText="180" w:vertAnchor="text"/>
        <w:tblW w:w="14250" w:type="dxa"/>
        <w:tblLayout w:type="fixed"/>
        <w:tblCellMar>
          <w:left w:w="0" w:type="dxa"/>
          <w:right w:w="0" w:type="dxa"/>
        </w:tblCellMar>
        <w:tblLook w:val="04A0"/>
      </w:tblPr>
      <w:tblGrid>
        <w:gridCol w:w="531"/>
        <w:gridCol w:w="146"/>
        <w:gridCol w:w="1413"/>
        <w:gridCol w:w="1428"/>
        <w:gridCol w:w="1422"/>
        <w:gridCol w:w="268"/>
        <w:gridCol w:w="1418"/>
        <w:gridCol w:w="425"/>
        <w:gridCol w:w="567"/>
        <w:gridCol w:w="709"/>
        <w:gridCol w:w="3575"/>
        <w:gridCol w:w="252"/>
        <w:gridCol w:w="2096"/>
      </w:tblGrid>
      <w:tr w:rsidR="00472ACB">
        <w:trPr>
          <w:trHeight w:val="459"/>
        </w:trPr>
        <w:tc>
          <w:tcPr>
            <w:tcW w:w="677"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序号</w:t>
            </w:r>
          </w:p>
        </w:tc>
        <w:tc>
          <w:tcPr>
            <w:tcW w:w="1413"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门类（代码及名称）</w:t>
            </w:r>
          </w:p>
        </w:tc>
        <w:tc>
          <w:tcPr>
            <w:tcW w:w="1428"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大类（代码及名称）</w:t>
            </w:r>
          </w:p>
        </w:tc>
        <w:tc>
          <w:tcPr>
            <w:tcW w:w="142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中类（代码及名称）</w:t>
            </w:r>
          </w:p>
        </w:tc>
        <w:tc>
          <w:tcPr>
            <w:tcW w:w="1686"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小类（代码及名称）</w:t>
            </w:r>
          </w:p>
        </w:tc>
        <w:tc>
          <w:tcPr>
            <w:tcW w:w="992"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产业存在状况</w:t>
            </w:r>
          </w:p>
        </w:tc>
        <w:tc>
          <w:tcPr>
            <w:tcW w:w="4284"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管控要求</w:t>
            </w:r>
          </w:p>
        </w:tc>
        <w:tc>
          <w:tcPr>
            <w:tcW w:w="2348"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备注</w:t>
            </w:r>
          </w:p>
        </w:tc>
      </w:tr>
      <w:tr w:rsidR="00472ACB">
        <w:trPr>
          <w:trHeight w:val="425"/>
        </w:trPr>
        <w:tc>
          <w:tcPr>
            <w:tcW w:w="14250" w:type="dxa"/>
            <w:gridSpan w:val="13"/>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黑体" w:eastAsia="黑体" w:hAnsi="黑体" w:cs="宋体" w:hint="eastAsia"/>
                <w:kern w:val="0"/>
                <w:sz w:val="29"/>
                <w:szCs w:val="29"/>
              </w:rPr>
              <w:t>限制类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A农、林、牧、渔业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01农业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019其他农业</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0190其他农业</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1、严禁在生态保护红线划定区域内开发建设农产品基地；2、县域内主要开发建设优质高效农业示范基地、休闲观光农业基地等。</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仿宋" w:eastAsia="仿宋" w:hAnsi="仿宋" w:cs="宋体"/>
                <w:kern w:val="0"/>
                <w:sz w:val="24"/>
                <w:szCs w:val="24"/>
              </w:rPr>
            </w:pPr>
            <w:r>
              <w:rPr>
                <w:rFonts w:ascii="仿宋" w:eastAsia="仿宋" w:hAnsi="仿宋" w:cs="宋体" w:hint="eastAsia"/>
                <w:kern w:val="0"/>
                <w:sz w:val="24"/>
                <w:szCs w:val="24"/>
              </w:rPr>
              <w:t>2</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仿宋" w:eastAsia="仿宋" w:hAnsi="仿宋" w:cs="宋体"/>
                <w:kern w:val="0"/>
                <w:sz w:val="24"/>
                <w:szCs w:val="24"/>
              </w:rPr>
            </w:pPr>
            <w:r>
              <w:rPr>
                <w:rFonts w:ascii="仿宋" w:eastAsia="仿宋" w:hAnsi="仿宋" w:cs="宋体" w:hint="eastAsia"/>
                <w:kern w:val="0"/>
                <w:sz w:val="24"/>
                <w:szCs w:val="24"/>
              </w:rPr>
              <w:t>A农、林、牧、渔业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02林业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023森林经营和管护</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0230森林经营和管护</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不再新增以优质木材（竹子除外）为原料的一次性木制品生产和加工，5年内逐步淘汰现有以优质木材（竹子除外）为原料的一次性木制品生产和加工项目</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45" w:lineRule="atLeast"/>
              <w:rPr>
                <w:rFonts w:ascii="仿宋" w:eastAsia="仿宋" w:hAnsi="仿宋" w:cs="宋体"/>
                <w:kern w:val="0"/>
                <w:sz w:val="24"/>
                <w:szCs w:val="24"/>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A农、林、牧、渔业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03畜牧业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031牲畜饲养</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0313猪的饲养</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水源地保护区不得新建规模化养殖场，现有规模养殖场3年内搬迁出该区域</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4</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A农、林、牧、渔业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03畜牧业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031畜牧饲养</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0314羊的饲养</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1、禁止放养；2、向大型标准化规模养殖场等现代农、畜业基地发展；3、禁止在生态保护红线划定区域内建设。</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5</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B采矿业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10非金属矿采选业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101土砂石开采</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1011石灰石、石膏开采</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1、禁止在生态保护红线划定区域内开采；2、企业生产工艺和环保设施要升级改造，清洁生产水平要达到国内先进水平。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6</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B采矿业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10非金属矿采选业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101土砂石开采</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1012建筑装饰用石开采</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1、禁止在生态保护红线划定区域内开采；2、企业生产工艺和环保设施要升级改造，清洁生产水平要达到国内先进水平。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lastRenderedPageBreak/>
              <w:t>序号</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门类（代码及名称）</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大类（代码及名称）</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中类（代码及名称）</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小类（代码及名称）</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产业存在状况</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管控要求</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备注</w:t>
            </w:r>
          </w:p>
        </w:tc>
      </w:tr>
      <w:tr w:rsidR="00472ACB">
        <w:trPr>
          <w:trHeight w:val="1261"/>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7</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B采矿业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10非金属矿采选业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101土砂石开采</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1019粘土及其他砂石开采</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1、禁止在生态保护红线划定区域内开采；2、企业生产工艺和环保设施要升级改造，清洁生产水平要达到国内先进水平。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1547"/>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8</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264涂料、油墨、颜料及类似产品制造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2643颜料制造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1541"/>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9</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264涂料、油墨、颜料及类似产品制造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2645密封用填料及类似品制造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1404"/>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10</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266专用化学产品制造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2662专项化学用品制造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1265"/>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11</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266专用化学产品制造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2663林产化学产品制造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981"/>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lastRenderedPageBreak/>
              <w:t>序号</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门类（代码及名称）</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大类（代码及名称）</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中类（代码及名称）</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小类（代码及名称）</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产业存在状况</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管控要求</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备注</w:t>
            </w:r>
          </w:p>
        </w:tc>
      </w:tr>
      <w:tr w:rsidR="00472ACB">
        <w:trPr>
          <w:trHeight w:val="1406"/>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12</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266专用化学产品制造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2665环境污染处理专用药剂材料制造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13</w:t>
            </w:r>
          </w:p>
        </w:tc>
        <w:tc>
          <w:tcPr>
            <w:tcW w:w="1559"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42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266专用化学产品制造</w:t>
            </w:r>
          </w:p>
        </w:tc>
        <w:tc>
          <w:tcPr>
            <w:tcW w:w="168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2669其他专用化学产品制造</w:t>
            </w:r>
          </w:p>
        </w:tc>
        <w:tc>
          <w:tcPr>
            <w:tcW w:w="992"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4536"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1、要进入工业园区管理，2、企业生产工艺和环保设施要升级改造，清洁生产水平要达到国内先进水平。</w:t>
            </w:r>
          </w:p>
        </w:tc>
        <w:tc>
          <w:tcPr>
            <w:tcW w:w="209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531"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jc w:val="left"/>
              <w:rPr>
                <w:rFonts w:ascii="宋体" w:eastAsia="宋体" w:hAnsi="宋体" w:cs="宋体"/>
                <w:kern w:val="0"/>
                <w:sz w:val="20"/>
                <w:szCs w:val="20"/>
              </w:rPr>
            </w:pPr>
            <w:r>
              <w:rPr>
                <w:rFonts w:ascii="MS Mincho" w:eastAsia="MS Mincho" w:hAnsi="MS Mincho" w:cs="MS Mincho"/>
                <w:kern w:val="0"/>
                <w:sz w:val="20"/>
                <w:szCs w:val="20"/>
              </w:rPr>
              <w:t>​</w:t>
            </w:r>
          </w:p>
        </w:tc>
        <w:tc>
          <w:tcPr>
            <w:tcW w:w="13719" w:type="dxa"/>
            <w:gridSpan w:val="1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《产业结构调整指导目录（2011年本）（2013年修正）》中限制类产业全部列入限制类</w:t>
            </w:r>
          </w:p>
        </w:tc>
      </w:tr>
      <w:tr w:rsidR="00472ACB">
        <w:trPr>
          <w:trHeight w:val="459"/>
        </w:trPr>
        <w:tc>
          <w:tcPr>
            <w:tcW w:w="14250" w:type="dxa"/>
            <w:gridSpan w:val="13"/>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黑体" w:eastAsia="黑体" w:hAnsi="黑体" w:cs="宋体" w:hint="eastAsia"/>
                <w:kern w:val="0"/>
                <w:sz w:val="24"/>
                <w:szCs w:val="24"/>
              </w:rPr>
              <w:t>禁止类</w:t>
            </w:r>
          </w:p>
        </w:tc>
      </w:tr>
      <w:tr w:rsidR="00472ACB">
        <w:trPr>
          <w:trHeight w:val="618"/>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B采矿业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08黑色金属矿采选业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089其他黑色金属矿采选</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089其他黑色金属矿采选</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禁止新建、改扩建。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628"/>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2</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B采矿业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09有色金属矿采选业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091常用有色金属矿采选</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089其他常用有色金属矿采选</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禁止新建、改扩建。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3</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17纺织业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171棉纺织及印染精加工</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1713棉印染精加工</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4</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17纺织业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172毛染整精加工</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1723毛染整精加工</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897"/>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5</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17纺织业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Cs w:val="21"/>
              </w:rPr>
              <w:t>174丝绢纺织及印染精加工</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1743丝印染精加工</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lastRenderedPageBreak/>
              <w:t>序号</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门类（代码及名称）</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大类（代码及名称）</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中类（代码及名称）</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小类（代码及名称）</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产业存在状况</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管控要求</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黑体" w:eastAsia="黑体" w:hAnsi="黑体" w:cs="宋体" w:hint="eastAsia"/>
                <w:kern w:val="0"/>
                <w:sz w:val="24"/>
                <w:szCs w:val="24"/>
              </w:rPr>
              <w:t>备注</w:t>
            </w:r>
          </w:p>
        </w:tc>
      </w:tr>
      <w:tr w:rsidR="00472ACB">
        <w:trPr>
          <w:trHeight w:val="718"/>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6</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17纺织业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175化纤织造及印染精加工</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1752化纤织物染整精加工</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属于《指导目录》中的“鼓励类”</w:t>
            </w:r>
          </w:p>
        </w:tc>
      </w:tr>
      <w:tr w:rsidR="00472ACB">
        <w:trPr>
          <w:trHeight w:val="818"/>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C</w:t>
            </w:r>
            <w:r>
              <w:rPr>
                <w:rFonts w:ascii="仿宋" w:eastAsia="仿宋" w:hAnsi="仿宋" w:cs="宋体" w:hint="eastAsia"/>
                <w:kern w:val="0"/>
                <w:sz w:val="24"/>
                <w:szCs w:val="24"/>
              </w:rPr>
              <w:t>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22</w:t>
            </w:r>
            <w:r>
              <w:rPr>
                <w:rFonts w:ascii="仿宋" w:eastAsia="仿宋" w:hAnsi="仿宋" w:cs="宋体" w:hint="eastAsia"/>
                <w:kern w:val="0"/>
                <w:sz w:val="24"/>
                <w:szCs w:val="24"/>
              </w:rPr>
              <w:t>造纸和纸制品业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221</w:t>
            </w:r>
            <w:r>
              <w:rPr>
                <w:rFonts w:ascii="仿宋" w:eastAsia="仿宋" w:hAnsi="仿宋" w:cs="宋体" w:hint="eastAsia"/>
                <w:kern w:val="0"/>
                <w:sz w:val="24"/>
                <w:szCs w:val="24"/>
              </w:rPr>
              <w:t>纸浆制造</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 xml:space="preserve">2211 </w:t>
            </w:r>
            <w:r>
              <w:rPr>
                <w:rFonts w:ascii="仿宋" w:eastAsia="仿宋" w:hAnsi="仿宋" w:cs="宋体" w:hint="eastAsia"/>
                <w:kern w:val="0"/>
                <w:sz w:val="24"/>
                <w:szCs w:val="24"/>
              </w:rPr>
              <w:t>木竹浆制造</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现有产业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禁止新建纸浆制造企业。</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属于《指导目录》中的“鼓励类”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8</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263农药制造</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2631化学农药制造</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现有产业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仿宋" w:hAnsi="Calibri" w:cs="宋体"/>
                <w:kern w:val="0"/>
                <w:szCs w:val="21"/>
              </w:rPr>
            </w:pPr>
            <w:r>
              <w:rPr>
                <w:rFonts w:ascii="仿宋" w:eastAsia="仿宋" w:hAnsi="仿宋" w:cs="宋体" w:hint="eastAsia"/>
                <w:kern w:val="0"/>
                <w:sz w:val="24"/>
                <w:szCs w:val="24"/>
              </w:rPr>
              <w:t>禁止新建，现有企业搬入化工园区管理。</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属于《指导目录》中的“限制类”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9</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26化学原料和化学制品制造业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264涂料、油墨、颜料及类似产品制造</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2644染料制造</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属于《指导目录》中的“限制类”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10</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rPr>
                <w:rFonts w:ascii="仿宋" w:eastAsia="仿宋" w:hAnsi="仿宋" w:cs="宋体"/>
                <w:kern w:val="0"/>
                <w:sz w:val="24"/>
                <w:szCs w:val="24"/>
              </w:rPr>
            </w:pPr>
            <w:r>
              <w:rPr>
                <w:rFonts w:ascii="仿宋" w:eastAsia="仿宋" w:hAnsi="仿宋" w:cs="宋体"/>
                <w:kern w:val="0"/>
                <w:sz w:val="24"/>
                <w:szCs w:val="24"/>
              </w:rPr>
              <w:t xml:space="preserve">C  </w:t>
            </w:r>
            <w:r>
              <w:rPr>
                <w:rFonts w:ascii="仿宋" w:eastAsia="仿宋" w:hAnsi="仿宋" w:cs="宋体" w:hint="eastAsia"/>
                <w:kern w:val="0"/>
                <w:sz w:val="24"/>
                <w:szCs w:val="24"/>
              </w:rPr>
              <w:t>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rPr>
                <w:rFonts w:ascii="仿宋" w:eastAsia="仿宋" w:hAnsi="仿宋" w:cs="宋体"/>
                <w:kern w:val="0"/>
                <w:sz w:val="24"/>
                <w:szCs w:val="24"/>
              </w:rPr>
            </w:pPr>
            <w:r>
              <w:rPr>
                <w:rFonts w:ascii="仿宋" w:eastAsia="仿宋" w:hAnsi="仿宋" w:cs="宋体"/>
                <w:kern w:val="0"/>
                <w:sz w:val="24"/>
                <w:szCs w:val="24"/>
              </w:rPr>
              <w:t>26</w:t>
            </w:r>
            <w:r>
              <w:rPr>
                <w:rFonts w:ascii="仿宋" w:eastAsia="仿宋" w:hAnsi="仿宋" w:cs="宋体" w:hint="eastAsia"/>
                <w:kern w:val="0"/>
                <w:sz w:val="24"/>
                <w:szCs w:val="24"/>
              </w:rPr>
              <w:t>化学原料和化学制品制造业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rPr>
                <w:rFonts w:ascii="仿宋" w:eastAsia="仿宋" w:hAnsi="仿宋" w:cs="宋体"/>
                <w:kern w:val="0"/>
                <w:sz w:val="24"/>
                <w:szCs w:val="24"/>
              </w:rPr>
            </w:pPr>
            <w:r>
              <w:rPr>
                <w:rFonts w:ascii="仿宋" w:eastAsia="仿宋" w:hAnsi="仿宋" w:cs="宋体"/>
                <w:kern w:val="0"/>
                <w:sz w:val="24"/>
                <w:szCs w:val="24"/>
              </w:rPr>
              <w:t>267</w:t>
            </w:r>
            <w:r>
              <w:rPr>
                <w:rFonts w:ascii="仿宋" w:eastAsia="仿宋" w:hAnsi="仿宋" w:cs="宋体" w:hint="eastAsia"/>
                <w:kern w:val="0"/>
                <w:sz w:val="24"/>
                <w:szCs w:val="24"/>
              </w:rPr>
              <w:t>炸药、火工及焰火产品制造</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rPr>
                <w:rFonts w:ascii="仿宋" w:eastAsia="仿宋" w:hAnsi="仿宋" w:cs="宋体"/>
                <w:kern w:val="0"/>
                <w:sz w:val="24"/>
                <w:szCs w:val="24"/>
              </w:rPr>
            </w:pPr>
            <w:r>
              <w:rPr>
                <w:rFonts w:ascii="仿宋" w:eastAsia="仿宋" w:hAnsi="仿宋" w:cs="宋体"/>
                <w:kern w:val="0"/>
                <w:sz w:val="24"/>
                <w:szCs w:val="24"/>
              </w:rPr>
              <w:t>2672</w:t>
            </w:r>
            <w:r>
              <w:rPr>
                <w:rFonts w:ascii="仿宋" w:eastAsia="仿宋" w:hAnsi="仿宋" w:cs="宋体" w:hint="eastAsia"/>
                <w:kern w:val="0"/>
                <w:sz w:val="24"/>
                <w:szCs w:val="24"/>
              </w:rPr>
              <w:t>焰火、鞭炮产品制造</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原有产业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rPr>
                <w:rFonts w:ascii="仿宋" w:eastAsia="仿宋" w:hAnsi="仿宋" w:cs="宋体"/>
                <w:kern w:val="0"/>
                <w:sz w:val="24"/>
                <w:szCs w:val="24"/>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属于《指导目录》中的“限制类”</w:t>
            </w:r>
          </w:p>
        </w:tc>
      </w:tr>
      <w:tr w:rsidR="00472ACB">
        <w:trPr>
          <w:trHeight w:val="82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jc w:val="center"/>
              <w:rPr>
                <w:rFonts w:ascii="Calibri" w:eastAsia="宋体" w:hAnsi="Calibri" w:cs="宋体"/>
                <w:kern w:val="0"/>
                <w:szCs w:val="21"/>
              </w:rPr>
            </w:pPr>
            <w:r>
              <w:rPr>
                <w:rFonts w:ascii="仿宋" w:eastAsia="仿宋" w:hAnsi="仿宋" w:cs="宋体" w:hint="eastAsia"/>
                <w:kern w:val="0"/>
                <w:sz w:val="24"/>
                <w:szCs w:val="24"/>
              </w:rPr>
              <w:t>11</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C制造业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29橡胶和塑料制品业</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291橡胶制品业</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2911轮胎制造</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禁止新建</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属于《指导目录》中的“限制类”</w:t>
            </w:r>
          </w:p>
        </w:tc>
      </w:tr>
      <w:tr w:rsidR="00472ACB">
        <w:trPr>
          <w:trHeight w:val="82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center"/>
              <w:rPr>
                <w:rFonts w:ascii="仿宋" w:eastAsia="仿宋" w:hAnsi="仿宋" w:cs="宋体"/>
                <w:kern w:val="0"/>
                <w:sz w:val="24"/>
                <w:szCs w:val="24"/>
              </w:rPr>
            </w:pPr>
            <w:r>
              <w:rPr>
                <w:rFonts w:ascii="仿宋" w:eastAsia="仿宋" w:hAnsi="仿宋" w:cs="宋体" w:hint="eastAsia"/>
                <w:kern w:val="0"/>
                <w:sz w:val="24"/>
                <w:szCs w:val="24"/>
              </w:rPr>
              <w:t>12</w:t>
            </w:r>
          </w:p>
        </w:tc>
        <w:tc>
          <w:tcPr>
            <w:tcW w:w="1413"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C</w:t>
            </w:r>
            <w:r>
              <w:rPr>
                <w:rFonts w:ascii="仿宋" w:eastAsia="仿宋" w:hAnsi="仿宋" w:cs="宋体" w:hint="eastAsia"/>
                <w:kern w:val="0"/>
                <w:sz w:val="24"/>
                <w:szCs w:val="24"/>
              </w:rPr>
              <w:t>制造业</w:t>
            </w:r>
          </w:p>
        </w:tc>
        <w:tc>
          <w:tcPr>
            <w:tcW w:w="142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32</w:t>
            </w:r>
            <w:r>
              <w:rPr>
                <w:rFonts w:ascii="仿宋" w:eastAsia="仿宋" w:hAnsi="仿宋" w:cs="宋体" w:hint="eastAsia"/>
                <w:kern w:val="0"/>
                <w:sz w:val="24"/>
                <w:szCs w:val="24"/>
              </w:rPr>
              <w:t>有色金属冶炼和压延加工业</w:t>
            </w:r>
            <w:r>
              <w:rPr>
                <w:rFonts w:ascii="仿宋" w:eastAsia="仿宋" w:hAnsi="仿宋" w:cs="宋体"/>
                <w:kern w:val="0"/>
                <w:sz w:val="24"/>
                <w:szCs w:val="24"/>
              </w:rPr>
              <w:t xml:space="preserve"> </w:t>
            </w:r>
          </w:p>
        </w:tc>
        <w:tc>
          <w:tcPr>
            <w:tcW w:w="16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321</w:t>
            </w:r>
            <w:r>
              <w:rPr>
                <w:rFonts w:ascii="仿宋" w:eastAsia="仿宋" w:hAnsi="仿宋" w:cs="宋体" w:hint="eastAsia"/>
                <w:kern w:val="0"/>
                <w:sz w:val="24"/>
                <w:szCs w:val="24"/>
              </w:rPr>
              <w:t>常用有色金属冶炼</w:t>
            </w:r>
          </w:p>
        </w:tc>
        <w:tc>
          <w:tcPr>
            <w:tcW w:w="1843"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kern w:val="0"/>
                <w:sz w:val="24"/>
                <w:szCs w:val="24"/>
              </w:rPr>
              <w:t xml:space="preserve"> 3212</w:t>
            </w:r>
            <w:r>
              <w:rPr>
                <w:rFonts w:ascii="仿宋" w:eastAsia="仿宋" w:hAnsi="仿宋" w:cs="宋体" w:hint="eastAsia"/>
                <w:kern w:val="0"/>
                <w:sz w:val="24"/>
                <w:szCs w:val="24"/>
              </w:rPr>
              <w:t>铅锌冶炼</w:t>
            </w:r>
          </w:p>
        </w:tc>
        <w:tc>
          <w:tcPr>
            <w:tcW w:w="1276"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拟发展产业</w:t>
            </w:r>
          </w:p>
        </w:tc>
        <w:tc>
          <w:tcPr>
            <w:tcW w:w="3575"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禁止有新增铅、汞、镉、铭、砷等重金属排放的铅锌冶炼</w:t>
            </w:r>
          </w:p>
        </w:tc>
        <w:tc>
          <w:tcPr>
            <w:tcW w:w="2348"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20" w:lineRule="exact"/>
              <w:jc w:val="left"/>
              <w:rPr>
                <w:rFonts w:ascii="仿宋" w:eastAsia="仿宋" w:hAnsi="仿宋" w:cs="宋体"/>
                <w:kern w:val="0"/>
                <w:sz w:val="24"/>
                <w:szCs w:val="24"/>
              </w:rPr>
            </w:pPr>
            <w:r>
              <w:rPr>
                <w:rFonts w:ascii="仿宋" w:eastAsia="仿宋" w:hAnsi="仿宋" w:cs="宋体" w:hint="eastAsia"/>
                <w:kern w:val="0"/>
                <w:sz w:val="24"/>
                <w:szCs w:val="24"/>
              </w:rPr>
              <w:t>属于《指导目录》中的“限制类”</w:t>
            </w:r>
          </w:p>
        </w:tc>
      </w:tr>
      <w:tr w:rsidR="00472ACB">
        <w:trPr>
          <w:trHeight w:val="459"/>
        </w:trPr>
        <w:tc>
          <w:tcPr>
            <w:tcW w:w="677"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jc w:val="left"/>
              <w:rPr>
                <w:rFonts w:ascii="宋体" w:eastAsia="宋体" w:hAnsi="宋体" w:cs="宋体"/>
                <w:kern w:val="0"/>
                <w:sz w:val="20"/>
                <w:szCs w:val="20"/>
              </w:rPr>
            </w:pPr>
            <w:r>
              <w:rPr>
                <w:rFonts w:ascii="MS Mincho" w:eastAsia="MS Mincho" w:hAnsi="MS Mincho" w:cs="MS Mincho"/>
                <w:kern w:val="0"/>
                <w:sz w:val="20"/>
                <w:szCs w:val="20"/>
              </w:rPr>
              <w:t>​</w:t>
            </w:r>
          </w:p>
        </w:tc>
        <w:tc>
          <w:tcPr>
            <w:tcW w:w="13573" w:type="dxa"/>
            <w:gridSpan w:val="11"/>
            <w:tcBorders>
              <w:top w:val="nil"/>
              <w:left w:val="nil"/>
              <w:bottom w:val="single" w:sz="6" w:space="0" w:color="000000"/>
              <w:right w:val="single" w:sz="6" w:space="0" w:color="000000"/>
            </w:tcBorders>
            <w:tcMar>
              <w:top w:w="0" w:type="dxa"/>
              <w:left w:w="105" w:type="dxa"/>
              <w:bottom w:w="0" w:type="dxa"/>
              <w:right w:w="105" w:type="dxa"/>
            </w:tcMar>
            <w:vAlign w:val="center"/>
          </w:tcPr>
          <w:p w:rsidR="00472ACB" w:rsidRDefault="008153AF">
            <w:pPr>
              <w:widowControl/>
              <w:spacing w:line="345" w:lineRule="atLeast"/>
              <w:rPr>
                <w:rFonts w:ascii="Calibri" w:eastAsia="宋体" w:hAnsi="Calibri" w:cs="宋体"/>
                <w:kern w:val="0"/>
                <w:szCs w:val="21"/>
              </w:rPr>
            </w:pPr>
            <w:r>
              <w:rPr>
                <w:rFonts w:ascii="仿宋" w:eastAsia="仿宋" w:hAnsi="仿宋" w:cs="宋体" w:hint="eastAsia"/>
                <w:kern w:val="0"/>
                <w:sz w:val="24"/>
                <w:szCs w:val="24"/>
              </w:rPr>
              <w:t>《产业结构调整指导目录（2011年本）（2013年修正）》中淘汰类产业全部列入禁止类</w:t>
            </w:r>
          </w:p>
        </w:tc>
      </w:tr>
    </w:tbl>
    <w:p w:rsidR="00472ACB" w:rsidRDefault="00472ACB">
      <w:bookmarkStart w:id="0" w:name="_GoBack"/>
      <w:bookmarkEnd w:id="0"/>
    </w:p>
    <w:p w:rsidR="00472ACB" w:rsidRDefault="00472ACB"/>
    <w:sectPr w:rsidR="00472ACB" w:rsidSect="00472ACB">
      <w:pgSz w:w="16838" w:h="11906" w:orient="landscape"/>
      <w:pgMar w:top="1797" w:right="1440" w:bottom="1797" w:left="144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4A27"/>
    <w:rsid w:val="000005DF"/>
    <w:rsid w:val="000A59C9"/>
    <w:rsid w:val="00246242"/>
    <w:rsid w:val="002C1E2C"/>
    <w:rsid w:val="003974C9"/>
    <w:rsid w:val="003E4038"/>
    <w:rsid w:val="00407A7A"/>
    <w:rsid w:val="00472ACB"/>
    <w:rsid w:val="00481B3D"/>
    <w:rsid w:val="00495BD6"/>
    <w:rsid w:val="004B2A95"/>
    <w:rsid w:val="004C310B"/>
    <w:rsid w:val="00511D50"/>
    <w:rsid w:val="00565C3D"/>
    <w:rsid w:val="00574073"/>
    <w:rsid w:val="005751BB"/>
    <w:rsid w:val="006941B5"/>
    <w:rsid w:val="006C6DB5"/>
    <w:rsid w:val="00757D8C"/>
    <w:rsid w:val="007830C7"/>
    <w:rsid w:val="0079734A"/>
    <w:rsid w:val="007A1572"/>
    <w:rsid w:val="007D247F"/>
    <w:rsid w:val="00811F95"/>
    <w:rsid w:val="008153AF"/>
    <w:rsid w:val="0084573A"/>
    <w:rsid w:val="00847DE7"/>
    <w:rsid w:val="00891C44"/>
    <w:rsid w:val="008951CE"/>
    <w:rsid w:val="008C349A"/>
    <w:rsid w:val="009E7B5B"/>
    <w:rsid w:val="00A04AB8"/>
    <w:rsid w:val="00A3048E"/>
    <w:rsid w:val="00AC373F"/>
    <w:rsid w:val="00AD173B"/>
    <w:rsid w:val="00AF7567"/>
    <w:rsid w:val="00B224EF"/>
    <w:rsid w:val="00B629BC"/>
    <w:rsid w:val="00B83569"/>
    <w:rsid w:val="00C42CA7"/>
    <w:rsid w:val="00CA6C43"/>
    <w:rsid w:val="00CC0163"/>
    <w:rsid w:val="00D14A27"/>
    <w:rsid w:val="00D301F0"/>
    <w:rsid w:val="00D71624"/>
    <w:rsid w:val="00DA0869"/>
    <w:rsid w:val="00E11D23"/>
    <w:rsid w:val="00E87555"/>
    <w:rsid w:val="00EB5386"/>
    <w:rsid w:val="00F439E0"/>
    <w:rsid w:val="00F52A10"/>
    <w:rsid w:val="00F940EE"/>
    <w:rsid w:val="162C3265"/>
    <w:rsid w:val="73326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472AC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72A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72ACB"/>
    <w:rPr>
      <w:sz w:val="18"/>
      <w:szCs w:val="18"/>
    </w:rPr>
  </w:style>
  <w:style w:type="character" w:customStyle="1" w:styleId="Char">
    <w:name w:val="页脚 Char"/>
    <w:basedOn w:val="a0"/>
    <w:link w:val="a3"/>
    <w:uiPriority w:val="99"/>
    <w:semiHidden/>
    <w:rsid w:val="00472ACB"/>
    <w:rPr>
      <w:sz w:val="18"/>
      <w:szCs w:val="18"/>
    </w:rPr>
  </w:style>
  <w:style w:type="paragraph" w:styleId="a5">
    <w:name w:val="List Paragraph"/>
    <w:basedOn w:val="a"/>
    <w:uiPriority w:val="34"/>
    <w:qFormat/>
    <w:rsid w:val="00472AC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2017-10-30T01:05:00Z</cp:lastPrinted>
  <dcterms:created xsi:type="dcterms:W3CDTF">2018-10-31T01:18:00Z</dcterms:created>
  <dcterms:modified xsi:type="dcterms:W3CDTF">2018-10-31T01:18:00Z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