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right="0" w:rightChars="0"/>
        <w:jc w:val="left"/>
        <w:textAlignment w:val="auto"/>
        <w:outlineLvl w:val="9"/>
        <w:rPr>
          <w:rFonts w:hint="eastAsia" w:ascii="黑体" w:hAnsi="黑体" w:eastAsia="黑体" w:cs="黑体"/>
          <w:b/>
          <w:bCs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right="0" w:rightChars="0"/>
        <w:jc w:val="center"/>
        <w:textAlignment w:val="auto"/>
        <w:outlineLvl w:val="9"/>
        <w:rPr>
          <w:rFonts w:hint="eastAsia" w:ascii="黑体" w:hAnsi="黑体" w:eastAsia="黑体" w:cs="黑体"/>
          <w:b/>
          <w:bCs/>
          <w:sz w:val="44"/>
          <w:szCs w:val="44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44"/>
          <w:szCs w:val="44"/>
          <w:lang w:val="en-US" w:eastAsia="zh-CN"/>
        </w:rPr>
        <w:t>2016年度粮食生产专项资金绩效自评报告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right="0" w:rightChars="0" w:firstLine="640" w:firstLineChars="200"/>
        <w:jc w:val="center"/>
        <w:textAlignment w:val="auto"/>
        <w:outlineLvl w:val="9"/>
        <w:rPr>
          <w:rFonts w:hint="eastAsia" w:ascii="楷体" w:hAnsi="楷体" w:eastAsia="楷体" w:cs="楷体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right="0" w:rightChars="0" w:firstLine="640" w:firstLineChars="200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根据《隆回县财政局关于开展2016年度县级财政资金绩效评价工作的通知》（隆财绩[2017]1号）文件精神，我单位认真对2016年度粮食生产专项资金进行了绩效自评，自评结论为良，现将绩效自评情况汇报如下：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right="0" w:rightChars="0" w:firstLine="643" w:firstLineChars="200"/>
        <w:textAlignment w:val="auto"/>
        <w:outlineLvl w:val="9"/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项目概况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right="0" w:rightChars="0" w:firstLine="643" w:firstLineChars="200"/>
        <w:textAlignment w:val="auto"/>
        <w:outlineLvl w:val="9"/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(一)项目基本情况简介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right="0" w:rightChars="0" w:firstLine="640" w:firstLineChars="200"/>
        <w:textAlignment w:val="auto"/>
        <w:outlineLvl w:val="9"/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2016年度县财政年初预算的粮食生产专项资金项目安排方案，先后经县人民政府常务会议、县政协主席会议和县人大常委会主任会议审议通过，县财政局隆财建[2016]7号文件下达专项资金计划800万元。专项资金计划情况：（1）双季稻生产资金计划246万元；（2）粮食（优质稻）产业化和三品认证资金计划244万元；（3）高产攻关与超级稻推广、高寒山区引种资金计划65万元；（4）粮食生产考核、粮食奖励资金绩效评估资金计划100万元；（5）粮食监测资金计划56万元；（6）农产品质量安全及农业投入品监管资金计划63万元；（7）产粮大乡扶持资金计划20万元；（8）场所补贴资金计划6万元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right="0" w:rightChars="0" w:firstLine="643" w:firstLineChars="200"/>
        <w:textAlignment w:val="auto"/>
        <w:outlineLvl w:val="9"/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项目预期目标完成情况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right="0" w:rightChars="0" w:firstLine="640" w:firstLineChars="200"/>
        <w:textAlignment w:val="auto"/>
        <w:outlineLvl w:val="9"/>
        <w:rPr>
          <w:rFonts w:hint="eastAsia" w:eastAsia="华文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2016</w:t>
      </w:r>
      <w:r>
        <w:rPr>
          <w:rFonts w:hint="eastAsia" w:eastAsia="华文仿宋"/>
          <w:sz w:val="32"/>
          <w:szCs w:val="32"/>
        </w:rPr>
        <w:t>年，粮食专项资金的投入，为我县粮食（优质稻）产业的长足发展提供了强有力的保障，圆满完成了全年粮食生产目标任务，成功举办全省超级杂交中稻种三产四现场观</w:t>
      </w:r>
      <w:r>
        <w:rPr>
          <w:rFonts w:hint="eastAsia" w:ascii="仿宋" w:hAnsi="仿宋" w:eastAsia="仿宋" w:cs="仿宋"/>
          <w:sz w:val="32"/>
          <w:szCs w:val="32"/>
        </w:rPr>
        <w:t>摩会，被评为全省高产攻关先进县、“种三产四”超级稻推广先进基地。全年完成粮食播种面积116万亩，秋冬种面积55.5万亩，其中种植双季稻24.2万亩，中稻33.6万亩，推广优质稻38.4万亩、超级稻35.2万亩、油菜8.08万亩、绿肥6.8万亩，粮食总产46.08万吨，总产值16.2亿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元</w:t>
      </w:r>
      <w:bookmarkStart w:id="0" w:name="_GoBack"/>
      <w:bookmarkEnd w:id="0"/>
      <w:r>
        <w:rPr>
          <w:rFonts w:hint="eastAsia" w:ascii="仿宋" w:hAnsi="仿宋" w:eastAsia="仿宋" w:cs="仿宋"/>
          <w:sz w:val="32"/>
          <w:szCs w:val="32"/>
        </w:rPr>
        <w:t>。为我县</w:t>
      </w:r>
      <w:r>
        <w:rPr>
          <w:rFonts w:hint="eastAsia" w:eastAsia="华文仿宋"/>
          <w:sz w:val="32"/>
          <w:szCs w:val="32"/>
        </w:rPr>
        <w:t>农业农村经济的持续健康发展做出了重要贡献。</w:t>
      </w: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right="0" w:rightChars="0" w:firstLine="643" w:firstLineChars="200"/>
        <w:textAlignment w:val="auto"/>
        <w:outlineLvl w:val="9"/>
        <w:rPr>
          <w:rFonts w:hint="eastAsia" w:ascii="黑体" w:hAnsi="黑体" w:eastAsia="黑体" w:cs="黑体"/>
          <w:b/>
          <w:bCs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b/>
          <w:bCs/>
          <w:sz w:val="32"/>
          <w:szCs w:val="32"/>
          <w:lang w:eastAsia="zh-CN"/>
        </w:rPr>
        <w:t>项目资金使用及管理情况</w:t>
      </w:r>
    </w:p>
    <w:p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right="0" w:rightChars="0" w:firstLine="321" w:firstLineChars="100"/>
        <w:textAlignment w:val="auto"/>
        <w:outlineLvl w:val="9"/>
        <w:rPr>
          <w:rFonts w:hint="eastAsia" w:eastAsia="华文仿宋"/>
          <w:b/>
          <w:bCs/>
          <w:sz w:val="32"/>
          <w:szCs w:val="32"/>
          <w:lang w:val="en-US" w:eastAsia="zh-CN"/>
        </w:rPr>
      </w:pPr>
      <w:r>
        <w:rPr>
          <w:rFonts w:hint="eastAsia" w:eastAsia="华文仿宋"/>
          <w:b/>
          <w:bCs/>
          <w:sz w:val="32"/>
          <w:szCs w:val="32"/>
          <w:lang w:val="en-US" w:eastAsia="zh-CN"/>
        </w:rPr>
        <w:t>项目资金到位、投入情况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right="0" w:rightChars="0" w:firstLine="640" w:firstLineChars="200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2016年我县安排粮食奖励资金800万元，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项目资金全部到位，</w:t>
      </w:r>
      <w:r>
        <w:rPr>
          <w:rFonts w:hint="eastAsia" w:ascii="仿宋" w:hAnsi="仿宋" w:eastAsia="仿宋" w:cs="仿宋"/>
          <w:sz w:val="32"/>
          <w:szCs w:val="32"/>
        </w:rPr>
        <w:t>其中拨入县农业局658万元，相关单位142万元（县农机局30万元，县农技中心75万元，县统计局17万元，粮食主产乡镇财力补助基数20万元）。</w:t>
      </w:r>
    </w:p>
    <w:p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right="0" w:rightChars="0" w:firstLine="321" w:firstLineChars="100"/>
        <w:textAlignment w:val="auto"/>
        <w:outlineLvl w:val="9"/>
        <w:rPr>
          <w:rFonts w:hint="eastAsia" w:eastAsia="华文仿宋"/>
          <w:b/>
          <w:bCs/>
          <w:sz w:val="32"/>
          <w:szCs w:val="32"/>
          <w:lang w:eastAsia="zh-CN"/>
        </w:rPr>
      </w:pPr>
      <w:r>
        <w:rPr>
          <w:rFonts w:hint="eastAsia" w:eastAsia="华文仿宋"/>
          <w:b/>
          <w:bCs/>
          <w:sz w:val="32"/>
          <w:szCs w:val="32"/>
          <w:lang w:eastAsia="zh-CN"/>
        </w:rPr>
        <w:t>项目资金实际使用情况分析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160" w:leftChars="76" w:right="0" w:rightChars="0" w:firstLine="643" w:firstLineChars="200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eastAsia="华文仿宋"/>
          <w:b/>
          <w:sz w:val="32"/>
          <w:szCs w:val="32"/>
        </w:rPr>
        <w:t>1．双季稻生产。</w:t>
      </w:r>
      <w:r>
        <w:rPr>
          <w:rFonts w:hint="eastAsia" w:eastAsia="华文仿宋"/>
          <w:sz w:val="32"/>
          <w:szCs w:val="32"/>
        </w:rPr>
        <w:t>年初计划资金</w:t>
      </w:r>
      <w:r>
        <w:rPr>
          <w:rFonts w:hint="eastAsia" w:ascii="仿宋" w:hAnsi="仿宋" w:eastAsia="仿宋" w:cs="仿宋"/>
          <w:sz w:val="32"/>
          <w:szCs w:val="32"/>
        </w:rPr>
        <w:t>246万元，实际支出246万元。主要用于县双季稻办点示范的早稻良种推广，专业化集中育秧，软盘抛秧，早、中稻机播机插示范，病虫害专业化防治，新品种引进和对比试验，耕地地力提升和生物肥试验示范，稻水蟓甲病虫害防控，高产创建等高产优质关键技术示范推广和17个乡镇双季稻办点示范的以奖代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right="0" w:rightChars="0" w:firstLine="803" w:firstLineChars="250"/>
        <w:textAlignment w:val="auto"/>
        <w:outlineLvl w:val="9"/>
        <w:rPr>
          <w:rFonts w:hint="eastAsia" w:eastAsia="华文仿宋"/>
          <w:sz w:val="32"/>
          <w:szCs w:val="32"/>
        </w:rPr>
      </w:pPr>
      <w:r>
        <w:rPr>
          <w:rFonts w:hint="eastAsia" w:eastAsia="华文仿宋"/>
          <w:b/>
          <w:sz w:val="32"/>
          <w:szCs w:val="32"/>
        </w:rPr>
        <w:t>2．优质稻产业发展。</w:t>
      </w:r>
      <w:r>
        <w:rPr>
          <w:rFonts w:hint="eastAsia" w:eastAsia="华文仿宋"/>
          <w:sz w:val="32"/>
          <w:szCs w:val="32"/>
        </w:rPr>
        <w:t>年初计划资金</w:t>
      </w:r>
      <w:r>
        <w:rPr>
          <w:rFonts w:hint="eastAsia" w:ascii="仿宋" w:hAnsi="仿宋" w:eastAsia="仿宋" w:cs="仿宋"/>
          <w:sz w:val="32"/>
          <w:szCs w:val="32"/>
        </w:rPr>
        <w:t>244万元，实际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支出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244万元</w:t>
      </w:r>
      <w:r>
        <w:rPr>
          <w:rFonts w:hint="eastAsia" w:ascii="仿宋" w:hAnsi="仿宋" w:eastAsia="仿宋" w:cs="仿宋"/>
          <w:sz w:val="32"/>
          <w:szCs w:val="32"/>
        </w:rPr>
        <w:t>。主要用于县优质稻产业发展的</w:t>
      </w:r>
      <w:r>
        <w:rPr>
          <w:rFonts w:hint="eastAsia" w:eastAsia="华文仿宋"/>
          <w:sz w:val="32"/>
          <w:szCs w:val="32"/>
        </w:rPr>
        <w:t>中高档优质稻品种的引进筛选和标准化生产、绿色防控、环境保护等高产优质集成技术示范推广。种植大户、家庭农场、合作社等新型农业经营主体的扶持。富硒优质稻名优品牌的无公害、绿色、有机稻认证和省、市龙头企业的申报创建及中国中部、湖南西部农博会组织参展。</w:t>
      </w:r>
      <w:r>
        <w:rPr>
          <w:rFonts w:hint="eastAsia" w:ascii="仿宋" w:hAnsi="仿宋" w:eastAsia="仿宋" w:cs="仿宋"/>
          <w:sz w:val="32"/>
          <w:szCs w:val="32"/>
        </w:rPr>
        <w:t>14</w:t>
      </w:r>
      <w:r>
        <w:rPr>
          <w:rFonts w:hint="eastAsia" w:eastAsia="华文仿宋"/>
          <w:sz w:val="32"/>
          <w:szCs w:val="32"/>
        </w:rPr>
        <w:t>个乡镇优质稻办点示范的以奖代补。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right="0" w:rightChars="0" w:firstLine="643" w:firstLineChars="200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eastAsia="华文仿宋"/>
          <w:b/>
          <w:sz w:val="32"/>
          <w:szCs w:val="32"/>
        </w:rPr>
        <w:t>3. 超级稻高产攻关示范推广及高寒山区引种。</w:t>
      </w:r>
      <w:r>
        <w:rPr>
          <w:rFonts w:hint="eastAsia" w:ascii="仿宋_GB2312" w:eastAsia="仿宋_GB2312"/>
          <w:sz w:val="32"/>
          <w:szCs w:val="32"/>
        </w:rPr>
        <w:t>年初计划资</w:t>
      </w:r>
      <w:r>
        <w:rPr>
          <w:rFonts w:hint="eastAsia" w:ascii="仿宋" w:hAnsi="仿宋" w:eastAsia="仿宋" w:cs="仿宋"/>
          <w:sz w:val="32"/>
          <w:szCs w:val="32"/>
        </w:rPr>
        <w:t>金65万元，实际支出65万元。主要用于羊古坳乡雷锋村、牛形嘴村的袁隆平院士16吨/公顷超级中稻高产攻关；金石桥、鸭田、司门前、羊古坳等乡镇的超级中稻亩产900公斤、800公斤的千亩、万亩示范片创建和26个乡镇的超级稻示范推广。兑现2015年超级稻高产攻关奖励资金15万元及种植大户王化永攻关经费30万元。北面高寒山区乡镇优质粳稻、马铃薯和南面乡镇玉米等品种的筛选、对比试验、示范推广等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right="0" w:rightChars="0" w:firstLine="643" w:firstLineChars="200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eastAsia="华文仿宋"/>
          <w:b/>
          <w:sz w:val="32"/>
          <w:szCs w:val="32"/>
        </w:rPr>
        <w:t>4．粮食生产考核奖补及绩效评估。</w:t>
      </w:r>
      <w:r>
        <w:rPr>
          <w:rFonts w:hint="eastAsia" w:ascii="仿宋" w:hAnsi="仿宋" w:eastAsia="仿宋" w:cs="仿宋"/>
          <w:sz w:val="32"/>
          <w:szCs w:val="32"/>
        </w:rPr>
        <w:t>年初计划资金100万元，实际支出100万元。主要用于全县粮食生产的日常检查、定期督查、考核验收及遏制耕地抛荒专项行动。全省粮食生产奖励资金的绩效评价工作和先进县的考核申报。2015年度粮食生产先进单位和个人及超级稻高产攻关目标奖的表彰奖励。粮食生产领导小组风险抵押金的兑现和办公室日常工作经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right="0" w:rightChars="0" w:firstLine="643" w:firstLineChars="200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_GB2312" w:eastAsia="仿宋_GB2312"/>
          <w:b/>
          <w:sz w:val="32"/>
          <w:szCs w:val="32"/>
        </w:rPr>
        <w:t>5．粮食监测。</w:t>
      </w:r>
      <w:r>
        <w:rPr>
          <w:rFonts w:hint="eastAsia" w:ascii="仿宋" w:hAnsi="仿宋" w:eastAsia="仿宋" w:cs="仿宋"/>
          <w:sz w:val="32"/>
          <w:szCs w:val="32"/>
        </w:rPr>
        <w:t>年初计划资金56万元，实际支出56万元。主要用于全县17个乡镇20个粮食监测点的基础设施改善、物资补助、技术支持等扶持及良种推广、技术指导、日常管理等生产工作经费和调查、丈量、抽样、测产、统计等监测工作经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right="0" w:rightChars="0" w:firstLine="643" w:firstLineChars="200"/>
        <w:textAlignment w:val="auto"/>
        <w:outlineLvl w:val="9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b/>
          <w:sz w:val="32"/>
          <w:szCs w:val="32"/>
        </w:rPr>
        <w:t>6．农产品质量安全监管。</w:t>
      </w:r>
      <w:r>
        <w:rPr>
          <w:rFonts w:hint="eastAsia" w:ascii="仿宋" w:hAnsi="仿宋" w:eastAsia="仿宋" w:cs="仿宋"/>
          <w:sz w:val="32"/>
          <w:szCs w:val="32"/>
        </w:rPr>
        <w:t>年初计划资金63万元，实际支出60万元，待分配3万元。主要用于我县农产品质量安全调研。全县土壤和主要农产品重金属普查及结构布局。主要农产品日常检验检测，种子、农药、化肥等农业投入品的管理和执法，农资市场专项整顿等农产品质量安全监管工作</w:t>
      </w:r>
      <w:r>
        <w:rPr>
          <w:rFonts w:hint="eastAsia" w:eastAsia="华文仿宋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right="0" w:rightChars="0" w:firstLine="643" w:firstLineChars="200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_GB2312" w:eastAsia="仿宋_GB2312"/>
          <w:b/>
          <w:sz w:val="32"/>
          <w:szCs w:val="32"/>
        </w:rPr>
        <w:t>7．产粮大乡扶持。</w:t>
      </w:r>
      <w:r>
        <w:rPr>
          <w:rFonts w:hint="eastAsia" w:ascii="仿宋" w:hAnsi="仿宋" w:eastAsia="仿宋" w:cs="仿宋"/>
          <w:sz w:val="32"/>
          <w:szCs w:val="32"/>
        </w:rPr>
        <w:t>年初计划资金20万元，实际支出20万元。用于改善南岳庙、横板桥、北山、七江、六都寨等产粮重点乡镇的粮食生产条件。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right="0" w:rightChars="0" w:firstLine="643" w:firstLineChars="200"/>
        <w:textAlignment w:val="auto"/>
        <w:outlineLvl w:val="9"/>
        <w:rPr>
          <w:rFonts w:hint="eastAsia" w:eastAsia="华文仿宋"/>
          <w:sz w:val="32"/>
          <w:szCs w:val="32"/>
        </w:rPr>
      </w:pPr>
      <w:r>
        <w:rPr>
          <w:rFonts w:hint="eastAsia" w:ascii="仿宋_GB2312" w:eastAsia="仿宋_GB2312"/>
          <w:b/>
          <w:sz w:val="32"/>
          <w:szCs w:val="32"/>
        </w:rPr>
        <w:t>8．场所管理经费补贴。</w:t>
      </w:r>
      <w:r>
        <w:rPr>
          <w:rFonts w:hint="eastAsia" w:eastAsia="华文仿宋"/>
          <w:sz w:val="32"/>
          <w:szCs w:val="32"/>
        </w:rPr>
        <w:t>年初计划资金</w:t>
      </w:r>
      <w:r>
        <w:rPr>
          <w:rFonts w:hint="eastAsia" w:ascii="仿宋" w:hAnsi="仿宋" w:eastAsia="仿宋" w:cs="仿宋"/>
          <w:sz w:val="32"/>
          <w:szCs w:val="32"/>
        </w:rPr>
        <w:t>6</w:t>
      </w:r>
      <w:r>
        <w:rPr>
          <w:rFonts w:hint="eastAsia" w:eastAsia="华文仿宋"/>
          <w:sz w:val="32"/>
          <w:szCs w:val="32"/>
        </w:rPr>
        <w:t>万元，实际支</w:t>
      </w:r>
      <w:r>
        <w:rPr>
          <w:rFonts w:hint="eastAsia" w:ascii="仿宋" w:hAnsi="仿宋" w:eastAsia="仿宋" w:cs="仿宋"/>
          <w:sz w:val="32"/>
          <w:szCs w:val="32"/>
        </w:rPr>
        <w:t>出6万元</w:t>
      </w:r>
      <w:r>
        <w:rPr>
          <w:rFonts w:hint="eastAsia" w:eastAsia="华文仿宋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right="0" w:rightChars="0" w:firstLine="643" w:firstLineChars="200"/>
        <w:textAlignment w:val="auto"/>
        <w:outlineLvl w:val="9"/>
        <w:rPr>
          <w:rFonts w:hint="eastAsia" w:eastAsia="华文仿宋"/>
          <w:b/>
          <w:bCs/>
          <w:sz w:val="32"/>
          <w:szCs w:val="32"/>
          <w:lang w:val="en-US" w:eastAsia="zh-CN"/>
        </w:rPr>
      </w:pPr>
      <w:r>
        <w:rPr>
          <w:rFonts w:hint="eastAsia" w:eastAsia="华文仿宋"/>
          <w:b/>
          <w:bCs/>
          <w:sz w:val="32"/>
          <w:szCs w:val="32"/>
          <w:lang w:val="en-US" w:eastAsia="zh-CN"/>
        </w:rPr>
        <w:t>（三）项目资金管理情况分析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right="0" w:rightChars="0" w:firstLine="640" w:firstLineChars="200"/>
        <w:textAlignment w:val="auto"/>
        <w:outlineLvl w:val="9"/>
        <w:rPr>
          <w:rFonts w:hint="eastAsia" w:eastAsia="华文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项目资金管理</w:t>
      </w:r>
      <w:r>
        <w:rPr>
          <w:rFonts w:hint="eastAsia" w:ascii="仿宋" w:hAnsi="仿宋" w:eastAsia="仿宋" w:cs="仿宋"/>
          <w:sz w:val="32"/>
          <w:szCs w:val="32"/>
        </w:rPr>
        <w:t>严格按照《隆回县财政专项资金管理办法》和《隆回县人民政府办公室关于加强县本级财政专项资金管理的通知》（隆政办〔2013〕48号）文件要求，设立粮食生产资金专户、专帐，实行专人管理；采取国库集中支付核算方式、对项目资金实行全程监控。所有</w:t>
      </w:r>
      <w:r>
        <w:rPr>
          <w:rFonts w:hint="eastAsia" w:eastAsia="华文仿宋"/>
          <w:sz w:val="32"/>
          <w:szCs w:val="32"/>
        </w:rPr>
        <w:t>支出由经办人核实，分管领导审核，分管财务领导审核，农业、财政共同会审。项目实施单位申请支付项目款，须提供手续齐全合法的付款票据，做到了专项资金由实施单位按照实施内容和资金计划的准确使用。</w:t>
      </w:r>
    </w:p>
    <w:p>
      <w:pPr>
        <w:keepNext w:val="0"/>
        <w:keepLines w:val="0"/>
        <w:pageBreakBefore w:val="0"/>
        <w:widowControl w:val="0"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right="0" w:rightChars="0" w:firstLine="643" w:firstLineChars="200"/>
        <w:textAlignment w:val="auto"/>
        <w:outlineLvl w:val="9"/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项目组织实施情况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right="0" w:rightChars="0" w:firstLine="643" w:firstLineChars="200"/>
        <w:textAlignment w:val="auto"/>
        <w:outlineLvl w:val="9"/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（一）项目组织情况分析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right="0" w:rightChars="0" w:firstLine="640" w:firstLineChars="200"/>
        <w:textAlignment w:val="auto"/>
        <w:outlineLvl w:val="9"/>
        <w:rPr>
          <w:rFonts w:hint="eastAsia" w:eastAsia="华文仿宋"/>
          <w:sz w:val="32"/>
          <w:szCs w:val="32"/>
        </w:rPr>
      </w:pPr>
      <w:r>
        <w:rPr>
          <w:rFonts w:hint="eastAsia" w:eastAsia="华文仿宋"/>
          <w:sz w:val="32"/>
        </w:rPr>
        <w:t>县委县政府高度重视粮食产业发展，始终站在讲政治、讲大局的高度，把粮食产业发展作为农业农村工作的重中之重来抓，从思想认识、组织领导、宣传发动、办点示范、财政投入、技术指导、目标考核等方面采取了一系列行之有效的措施，</w:t>
      </w:r>
      <w:r>
        <w:rPr>
          <w:rFonts w:hint="eastAsia" w:ascii="仿宋" w:hAnsi="仿宋" w:eastAsia="仿宋" w:cs="仿宋"/>
          <w:sz w:val="32"/>
        </w:rPr>
        <w:t>先后出台了</w:t>
      </w:r>
      <w:r>
        <w:rPr>
          <w:rFonts w:hint="eastAsia" w:ascii="仿宋" w:hAnsi="仿宋" w:eastAsia="仿宋" w:cs="仿宋"/>
          <w:sz w:val="32"/>
          <w:szCs w:val="32"/>
        </w:rPr>
        <w:t>《关于下达</w:t>
      </w:r>
      <w:r>
        <w:rPr>
          <w:rFonts w:hint="eastAsia" w:ascii="仿宋" w:hAnsi="仿宋" w:eastAsia="仿宋" w:cs="仿宋"/>
          <w:sz w:val="32"/>
        </w:rPr>
        <w:t>2016</w:t>
      </w:r>
      <w:r>
        <w:rPr>
          <w:rFonts w:hint="eastAsia" w:ascii="仿宋" w:hAnsi="仿宋" w:eastAsia="仿宋" w:cs="仿宋"/>
          <w:sz w:val="32"/>
          <w:szCs w:val="32"/>
        </w:rPr>
        <w:t>年度粮食（优质稻）等四大主导产业四项特色产业发展任务的通知》</w:t>
      </w:r>
      <w:r>
        <w:rPr>
          <w:rFonts w:hint="eastAsia" w:ascii="仿宋" w:hAnsi="仿宋" w:eastAsia="仿宋" w:cs="仿宋"/>
          <w:sz w:val="32"/>
        </w:rPr>
        <w:t>（隆办字〔2016〕3号）和《2016年隆回县粮食生产实施方案》（隆办字〔2016〕18号）等发展粮食生产红头文件。做到了提早研究规划、科学部署安排、责任层层分解、任务层层落实，形成了以点带面，左右纵横，上下联动的粮食产业发展</w:t>
      </w:r>
      <w:r>
        <w:rPr>
          <w:rFonts w:hint="eastAsia" w:eastAsia="华文仿宋"/>
          <w:sz w:val="32"/>
        </w:rPr>
        <w:t>的大好局面。同时，建立健全了粮食产业发展四个长效机制</w:t>
      </w:r>
      <w:r>
        <w:rPr>
          <w:rFonts w:hint="eastAsia" w:ascii="楷体" w:hAnsi="楷体" w:eastAsia="楷体" w:cs="楷体"/>
          <w:sz w:val="32"/>
        </w:rPr>
        <w:t>：</w:t>
      </w:r>
      <w:r>
        <w:rPr>
          <w:rFonts w:hint="eastAsia" w:ascii="仿宋" w:hAnsi="仿宋" w:eastAsia="仿宋" w:cs="仿宋"/>
          <w:b/>
          <w:bCs/>
          <w:sz w:val="32"/>
        </w:rPr>
        <w:t>一是行政首长负责机制</w:t>
      </w:r>
      <w:r>
        <w:rPr>
          <w:rFonts w:hint="eastAsia" w:ascii="楷体" w:hAnsi="楷体" w:eastAsia="楷体" w:cs="楷体"/>
          <w:sz w:val="32"/>
        </w:rPr>
        <w:t>。</w:t>
      </w:r>
      <w:r>
        <w:rPr>
          <w:rFonts w:hint="eastAsia" w:eastAsia="华文仿宋"/>
          <w:sz w:val="32"/>
        </w:rPr>
        <w:t>成立了县委书记任顾问，县长任组长，四大家分管领导任副组长，县直相关单位主要负责人为成员的粮食产业领导小组。各乡镇也成立了相应机构。实行粮食生产行政首长负责制。</w:t>
      </w:r>
      <w:r>
        <w:rPr>
          <w:rFonts w:hint="eastAsia" w:ascii="仿宋" w:hAnsi="仿宋" w:eastAsia="仿宋" w:cs="仿宋"/>
          <w:b/>
          <w:bCs/>
          <w:sz w:val="32"/>
        </w:rPr>
        <w:t>二是办点机制</w:t>
      </w:r>
      <w:r>
        <w:rPr>
          <w:rFonts w:hint="eastAsia" w:eastAsia="华文仿宋"/>
          <w:sz w:val="32"/>
        </w:rPr>
        <w:t>。实行双季稻、优质稻、秋冬农业等粮食生产办点制度，形成了</w:t>
      </w:r>
      <w:r>
        <w:rPr>
          <w:rFonts w:hint="eastAsia" w:eastAsia="华文仿宋"/>
          <w:sz w:val="32"/>
          <w:szCs w:val="32"/>
        </w:rPr>
        <w:t>县直相关单位联乡办点，实行</w:t>
      </w:r>
      <w:r>
        <w:rPr>
          <w:rFonts w:hint="eastAsia" w:eastAsia="华文仿宋"/>
          <w:sz w:val="32"/>
        </w:rPr>
        <w:t>县级领导联系乡镇、县直单位和乡镇干部联村、村支两委干部包干的工作机制。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>三是奖惩机制</w:t>
      </w:r>
      <w:r>
        <w:rPr>
          <w:rFonts w:hint="eastAsia" w:eastAsia="黑体"/>
          <w:sz w:val="32"/>
          <w:szCs w:val="32"/>
        </w:rPr>
        <w:t>。</w:t>
      </w:r>
      <w:r>
        <w:rPr>
          <w:rFonts w:hint="eastAsia" w:eastAsia="华文仿宋"/>
          <w:sz w:val="32"/>
          <w:szCs w:val="32"/>
        </w:rPr>
        <w:t>把粮食生产纳入了乡镇和县直相关单位绩效考核重要内容，实行风险抵押金制度。对粮食生产工作突出的先进单位和个人给予奖励；对工作不得力，受到上级通报批评的，一律取消其评先评优资格，并追究相关人员责任。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>四是帮扶指导机制</w:t>
      </w:r>
      <w:r>
        <w:rPr>
          <w:rFonts w:hint="eastAsia" w:eastAsia="黑体"/>
          <w:sz w:val="32"/>
          <w:szCs w:val="32"/>
        </w:rPr>
        <w:t>。</w:t>
      </w:r>
      <w:r>
        <w:rPr>
          <w:rFonts w:hint="eastAsia" w:eastAsia="华文仿宋"/>
          <w:sz w:val="32"/>
          <w:szCs w:val="32"/>
        </w:rPr>
        <w:t>实行农业专家分乡镇巡回技术指导，基层农技指导员开展“一对一”帮扶指导育秧主体、种粮大户、家庭农场、合作组织等新型农业经营主体责任制。</w:t>
      </w:r>
    </w:p>
    <w:p>
      <w:pPr>
        <w:keepNext w:val="0"/>
        <w:keepLines w:val="0"/>
        <w:pageBreakBefore w:val="0"/>
        <w:widowControl w:val="0"/>
        <w:numPr>
          <w:ilvl w:val="0"/>
          <w:numId w:val="6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right="0" w:rightChars="0" w:firstLine="643" w:firstLineChars="200"/>
        <w:textAlignment w:val="auto"/>
        <w:outlineLvl w:val="9"/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项目管理情况分析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2" w:leftChars="1" w:right="0" w:rightChars="0" w:firstLine="672" w:firstLineChars="210"/>
        <w:textAlignment w:val="auto"/>
        <w:outlineLvl w:val="9"/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shd w:val="clear" w:color="auto" w:fill="FFFFFF"/>
        </w:rPr>
        <w:t>县农业局</w:t>
      </w:r>
      <w:r>
        <w:rPr>
          <w:rFonts w:hint="eastAsia" w:ascii="仿宋_GB2312" w:eastAsia="仿宋_GB2312"/>
          <w:sz w:val="32"/>
          <w:szCs w:val="32"/>
          <w:shd w:val="clear" w:color="auto" w:fill="FFFFFF"/>
          <w:lang w:eastAsia="zh-CN"/>
        </w:rPr>
        <w:t>、财政局</w:t>
      </w:r>
      <w:r>
        <w:rPr>
          <w:rFonts w:hint="eastAsia" w:ascii="仿宋_GB2312" w:eastAsia="仿宋_GB2312"/>
          <w:sz w:val="32"/>
          <w:szCs w:val="32"/>
          <w:shd w:val="clear" w:color="auto" w:fill="FFFFFF"/>
        </w:rPr>
        <w:t>作为项目管</w:t>
      </w:r>
      <w:r>
        <w:rPr>
          <w:rFonts w:hint="eastAsia" w:ascii="仿宋_GB2312" w:eastAsia="仿宋_GB2312"/>
          <w:sz w:val="32"/>
          <w:szCs w:val="32"/>
          <w:shd w:val="clear" w:color="auto" w:fill="FFFFFF"/>
          <w:lang w:eastAsia="zh-CN"/>
        </w:rPr>
        <w:t>理</w:t>
      </w:r>
      <w:r>
        <w:rPr>
          <w:rFonts w:hint="eastAsia" w:ascii="仿宋_GB2312" w:eastAsia="仿宋_GB2312"/>
          <w:sz w:val="32"/>
          <w:szCs w:val="32"/>
          <w:shd w:val="clear" w:color="auto" w:fill="FFFFFF"/>
        </w:rPr>
        <w:t>部门，对</w:t>
      </w:r>
      <w:r>
        <w:rPr>
          <w:rFonts w:hint="eastAsia" w:ascii="仿宋_GB2312" w:eastAsia="仿宋_GB2312"/>
          <w:sz w:val="32"/>
          <w:szCs w:val="32"/>
          <w:shd w:val="clear" w:color="auto" w:fill="FFFFFF"/>
          <w:lang w:eastAsia="zh-CN"/>
        </w:rPr>
        <w:t>粮食生产</w:t>
      </w:r>
      <w:r>
        <w:rPr>
          <w:rFonts w:hint="eastAsia" w:ascii="仿宋_GB2312" w:eastAsia="仿宋_GB2312"/>
          <w:sz w:val="32"/>
          <w:szCs w:val="32"/>
          <w:shd w:val="clear" w:color="auto" w:fill="FFFFFF"/>
        </w:rPr>
        <w:t>专项</w:t>
      </w:r>
      <w:r>
        <w:rPr>
          <w:rFonts w:hint="eastAsia" w:ascii="仿宋_GB2312" w:eastAsia="仿宋_GB2312"/>
          <w:sz w:val="32"/>
          <w:szCs w:val="32"/>
          <w:shd w:val="clear" w:color="auto" w:fill="FFFFFF"/>
          <w:lang w:eastAsia="zh-CN"/>
        </w:rPr>
        <w:t>资金</w:t>
      </w:r>
      <w:r>
        <w:rPr>
          <w:rFonts w:hint="eastAsia" w:ascii="仿宋_GB2312" w:eastAsia="仿宋_GB2312"/>
          <w:sz w:val="32"/>
          <w:szCs w:val="32"/>
          <w:shd w:val="clear" w:color="auto" w:fill="FFFFFF"/>
        </w:rPr>
        <w:t>全面履行监管责任：一是加强项目</w:t>
      </w:r>
      <w:r>
        <w:rPr>
          <w:rFonts w:hint="eastAsia" w:ascii="仿宋_GB2312" w:eastAsia="仿宋_GB2312"/>
          <w:sz w:val="32"/>
          <w:szCs w:val="32"/>
          <w:shd w:val="clear" w:color="auto" w:fill="FFFFFF"/>
          <w:lang w:eastAsia="zh-CN"/>
        </w:rPr>
        <w:t>实施</w:t>
      </w:r>
      <w:r>
        <w:rPr>
          <w:rFonts w:hint="eastAsia" w:ascii="仿宋_GB2312" w:eastAsia="仿宋_GB2312"/>
          <w:sz w:val="32"/>
          <w:szCs w:val="32"/>
          <w:shd w:val="clear" w:color="auto" w:fill="FFFFFF"/>
        </w:rPr>
        <w:t>监管，定期不定期检查项目进度情况，督促</w:t>
      </w:r>
      <w:r>
        <w:rPr>
          <w:rFonts w:hint="eastAsia" w:ascii="仿宋_GB2312" w:eastAsia="仿宋_GB2312"/>
          <w:sz w:val="32"/>
          <w:szCs w:val="32"/>
          <w:shd w:val="clear" w:color="auto" w:fill="FFFFFF"/>
          <w:lang w:eastAsia="zh-CN"/>
        </w:rPr>
        <w:t>项目</w:t>
      </w:r>
      <w:r>
        <w:rPr>
          <w:rFonts w:hint="eastAsia" w:ascii="仿宋_GB2312" w:eastAsia="仿宋_GB2312"/>
          <w:sz w:val="32"/>
          <w:szCs w:val="32"/>
          <w:shd w:val="clear" w:color="auto" w:fill="FFFFFF"/>
        </w:rPr>
        <w:t>单位加快</w:t>
      </w:r>
      <w:r>
        <w:rPr>
          <w:rFonts w:hint="eastAsia" w:ascii="仿宋_GB2312" w:eastAsia="仿宋_GB2312"/>
          <w:sz w:val="32"/>
          <w:szCs w:val="32"/>
        </w:rPr>
        <w:fldChar w:fldCharType="begin"/>
      </w:r>
      <w:r>
        <w:rPr>
          <w:rFonts w:hint="eastAsia" w:ascii="仿宋_GB2312" w:eastAsia="仿宋_GB2312"/>
          <w:sz w:val="32"/>
          <w:szCs w:val="32"/>
        </w:rPr>
        <w:instrText xml:space="preserve"> HYPERLINK "http://www.zhazhi.com/lunwen/jy/jsjylw/" </w:instrText>
      </w:r>
      <w:r>
        <w:rPr>
          <w:rFonts w:hint="eastAsia" w:ascii="仿宋_GB2312" w:eastAsia="仿宋_GB2312"/>
          <w:sz w:val="32"/>
          <w:szCs w:val="32"/>
        </w:rPr>
        <w:fldChar w:fldCharType="separate"/>
      </w:r>
      <w:r>
        <w:rPr>
          <w:rStyle w:val="6"/>
          <w:rFonts w:hint="eastAsia" w:ascii="仿宋_GB2312" w:eastAsia="仿宋_GB2312"/>
          <w:color w:val="auto"/>
          <w:sz w:val="32"/>
          <w:szCs w:val="32"/>
          <w:u w:val="none"/>
          <w:shd w:val="clear" w:color="auto" w:fill="FFFFFF"/>
        </w:rPr>
        <w:t>建设</w:t>
      </w:r>
      <w:r>
        <w:rPr>
          <w:rFonts w:hint="eastAsia" w:ascii="仿宋_GB2312" w:eastAsia="仿宋_GB2312"/>
          <w:sz w:val="32"/>
          <w:szCs w:val="32"/>
        </w:rPr>
        <w:fldChar w:fldCharType="end"/>
      </w:r>
      <w:r>
        <w:rPr>
          <w:rFonts w:hint="eastAsia" w:ascii="仿宋_GB2312" w:eastAsia="仿宋_GB2312"/>
          <w:sz w:val="32"/>
          <w:szCs w:val="32"/>
          <w:shd w:val="clear" w:color="auto" w:fill="FFFFFF"/>
        </w:rPr>
        <w:t>进度，确保项目建设质量并及时完成项目实施任务；二是</w:t>
      </w:r>
      <w:r>
        <w:rPr>
          <w:rFonts w:hint="eastAsia" w:ascii="仿宋_GB2312" w:eastAsia="仿宋_GB2312"/>
          <w:sz w:val="32"/>
          <w:szCs w:val="32"/>
          <w:shd w:val="clear" w:color="auto" w:fill="FFFFFF"/>
          <w:lang w:eastAsia="zh-CN"/>
        </w:rPr>
        <w:t>按项目实施进度</w:t>
      </w:r>
      <w:r>
        <w:rPr>
          <w:rFonts w:hint="eastAsia" w:ascii="仿宋_GB2312" w:eastAsia="仿宋_GB2312"/>
          <w:sz w:val="32"/>
          <w:szCs w:val="32"/>
          <w:shd w:val="clear" w:color="auto" w:fill="FFFFFF"/>
        </w:rPr>
        <w:t>及时拨付资金，加强资金使用监管，确保专款专用；三是督促项目单位做好已建设实施项目的后期维护</w:t>
      </w:r>
      <w:r>
        <w:rPr>
          <w:rFonts w:hint="eastAsia" w:ascii="仿宋_GB2312" w:eastAsia="仿宋_GB2312"/>
          <w:sz w:val="32"/>
          <w:szCs w:val="32"/>
        </w:rPr>
        <w:fldChar w:fldCharType="begin"/>
      </w:r>
      <w:r>
        <w:rPr>
          <w:rFonts w:hint="eastAsia" w:ascii="仿宋_GB2312" w:eastAsia="仿宋_GB2312"/>
          <w:sz w:val="32"/>
          <w:szCs w:val="32"/>
        </w:rPr>
        <w:instrText xml:space="preserve"> HYPERLINK "http://www.zhazhi.com/qikan/shxzx/glx/" </w:instrText>
      </w:r>
      <w:r>
        <w:rPr>
          <w:rFonts w:hint="eastAsia" w:ascii="仿宋_GB2312" w:eastAsia="仿宋_GB2312"/>
          <w:sz w:val="32"/>
          <w:szCs w:val="32"/>
        </w:rPr>
        <w:fldChar w:fldCharType="separate"/>
      </w:r>
      <w:r>
        <w:rPr>
          <w:rStyle w:val="6"/>
          <w:rFonts w:hint="eastAsia" w:ascii="仿宋_GB2312" w:eastAsia="仿宋_GB2312"/>
          <w:color w:val="auto"/>
          <w:sz w:val="32"/>
          <w:szCs w:val="32"/>
          <w:u w:val="none"/>
          <w:shd w:val="clear" w:color="auto" w:fill="FFFFFF"/>
        </w:rPr>
        <w:t>管理</w:t>
      </w:r>
      <w:r>
        <w:rPr>
          <w:rFonts w:hint="eastAsia" w:ascii="仿宋_GB2312" w:eastAsia="仿宋_GB2312"/>
          <w:sz w:val="32"/>
          <w:szCs w:val="32"/>
        </w:rPr>
        <w:fldChar w:fldCharType="end"/>
      </w:r>
      <w:r>
        <w:rPr>
          <w:rFonts w:hint="eastAsia" w:ascii="仿宋_GB2312" w:eastAsia="仿宋_GB2312"/>
          <w:sz w:val="32"/>
          <w:szCs w:val="32"/>
          <w:shd w:val="clear" w:color="auto" w:fill="FFFFFF"/>
        </w:rPr>
        <w:t>，确保正常运行，确保项目</w:t>
      </w:r>
      <w:r>
        <w:rPr>
          <w:rFonts w:hint="eastAsia" w:ascii="仿宋_GB2312" w:eastAsia="仿宋_GB2312"/>
          <w:sz w:val="32"/>
          <w:szCs w:val="32"/>
          <w:shd w:val="clear" w:color="auto" w:fill="FFFFFF"/>
          <w:lang w:eastAsia="zh-CN"/>
        </w:rPr>
        <w:t>资金使用</w:t>
      </w:r>
      <w:r>
        <w:rPr>
          <w:rFonts w:hint="eastAsia" w:ascii="仿宋_GB2312" w:eastAsia="仿宋_GB2312"/>
          <w:sz w:val="32"/>
          <w:szCs w:val="32"/>
          <w:shd w:val="clear" w:color="auto" w:fill="FFFFFF"/>
        </w:rPr>
        <w:t>效益最大化。</w:t>
      </w:r>
    </w:p>
    <w:p>
      <w:pPr>
        <w:keepNext w:val="0"/>
        <w:keepLines w:val="0"/>
        <w:pageBreakBefore w:val="0"/>
        <w:widowControl w:val="0"/>
        <w:numPr>
          <w:ilvl w:val="0"/>
          <w:numId w:val="7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right="0" w:rightChars="0" w:firstLine="640" w:firstLineChars="200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项目绩效情况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right="0" w:rightChars="0" w:firstLine="640" w:firstLineChars="200"/>
        <w:textAlignment w:val="auto"/>
        <w:outlineLvl w:val="9"/>
        <w:rPr>
          <w:rFonts w:hint="eastAsia" w:ascii="仿宋" w:hAnsi="仿宋" w:eastAsia="仿宋" w:cs="仿宋"/>
          <w:sz w:val="32"/>
        </w:rPr>
      </w:pPr>
      <w:r>
        <w:rPr>
          <w:rFonts w:hint="eastAsia" w:ascii="仿宋" w:hAnsi="仿宋" w:eastAsia="仿宋" w:cs="仿宋"/>
          <w:sz w:val="32"/>
          <w:lang w:eastAsia="zh-CN"/>
        </w:rPr>
        <w:t>项目绩效的经济性、效率性、有效性和可持续性情况具体分析如下：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right="0" w:rightChars="0" w:firstLine="643" w:firstLineChars="200"/>
        <w:textAlignment w:val="auto"/>
        <w:outlineLvl w:val="9"/>
        <w:rPr>
          <w:rFonts w:hint="eastAsia" w:eastAsia="华文仿宋"/>
          <w:sz w:val="32"/>
          <w:szCs w:val="32"/>
        </w:rPr>
      </w:pPr>
      <w:r>
        <w:rPr>
          <w:rFonts w:hint="eastAsia" w:ascii="仿宋" w:hAnsi="仿宋" w:eastAsia="仿宋" w:cs="仿宋"/>
          <w:b/>
          <w:bCs w:val="0"/>
          <w:sz w:val="32"/>
          <w:szCs w:val="32"/>
        </w:rPr>
        <w:t>一是双季稻扩面显著。</w:t>
      </w:r>
      <w:r>
        <w:rPr>
          <w:rFonts w:hint="eastAsia" w:ascii="仿宋" w:hAnsi="仿宋" w:eastAsia="仿宋" w:cs="仿宋"/>
          <w:sz w:val="32"/>
          <w:szCs w:val="32"/>
        </w:rPr>
        <w:t>全县完成双季稻种植面积24.2亩，其中集中育秧办点示范面积3.05万亩，比计划增加1.6%。落实绿色高产创建万亩片2个，其中高平、七江、六都寨双季稻万亩示范片在江未等20村实施，连片面积10578亩；山界、桃洪镇、三阁司万亩示范片在落马等23个村实施，连片面积10872亩。落实37家早稻专业化集中育秧社会化服务组织和大户，育秧示范点28个，办点人员419人，其中领导干部7人，行政负责人和技术负责人各206人。采购早稻良种8.9万公斤，软盘118万片，硬盘7.1万片，营养土10.5万公斤。全年双季稻增产360万公斤，降低生产成本1020万元，总产值1.87亿元，农户增收3155万元</w:t>
      </w:r>
      <w:r>
        <w:rPr>
          <w:rFonts w:hint="eastAsia" w:ascii="仿宋_GB2312" w:eastAsia="仿宋_GB2312"/>
          <w:sz w:val="32"/>
          <w:szCs w:val="32"/>
          <w:lang w:eastAsia="zh-CN"/>
        </w:rPr>
        <w:t>。</w:t>
      </w:r>
      <w:r>
        <w:rPr>
          <w:rFonts w:hint="eastAsia" w:ascii="仿宋" w:hAnsi="仿宋" w:eastAsia="仿宋" w:cs="仿宋"/>
          <w:b/>
          <w:bCs/>
          <w:sz w:val="32"/>
        </w:rPr>
        <w:t>二是优质稻产业有了长足发展。</w:t>
      </w:r>
      <w:r>
        <w:rPr>
          <w:rFonts w:hint="eastAsia" w:ascii="仿宋" w:hAnsi="仿宋" w:eastAsia="仿宋" w:cs="仿宋"/>
          <w:sz w:val="32"/>
          <w:szCs w:val="32"/>
        </w:rPr>
        <w:t>全县完成优质稻办点示范2.5万亩，推广高中档优质稻19万亩，比计划增加26%。依托湖南省隆平高科有限公司、湖南省青山梯田农业发展有限公司、湖南省浩天米业有限公司等龙头企业，完成订单富硒优质籼稻8万亩、粳稻2万亩，亩平增收520元/亩。南面乡镇发展优质晚稻、北面乡镇发展优质中稻、高寒山区发展优质粳稻，打造富硒优质稻品牌的产业体系已经初具规模。</w:t>
      </w:r>
      <w:r>
        <w:rPr>
          <w:rFonts w:hint="eastAsia" w:ascii="仿宋" w:hAnsi="仿宋" w:eastAsia="仿宋" w:cs="仿宋"/>
          <w:sz w:val="32"/>
        </w:rPr>
        <w:t>全年优质稻增产840万公斤，增值2768万元，总产值8.76亿元，农户增收9100万元</w:t>
      </w:r>
      <w:r>
        <w:rPr>
          <w:rFonts w:hint="eastAsia" w:eastAsia="华文仿宋"/>
          <w:sz w:val="32"/>
        </w:rPr>
        <w:t>。</w:t>
      </w:r>
      <w:r>
        <w:rPr>
          <w:rFonts w:hint="eastAsia" w:ascii="仿宋" w:hAnsi="仿宋" w:eastAsia="仿宋" w:cs="仿宋"/>
          <w:b/>
          <w:bCs/>
          <w:sz w:val="32"/>
        </w:rPr>
        <w:t>三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>是</w:t>
      </w:r>
      <w:r>
        <w:rPr>
          <w:rFonts w:hint="eastAsia" w:ascii="仿宋" w:hAnsi="仿宋" w:eastAsia="仿宋" w:cs="仿宋"/>
          <w:b/>
          <w:bCs/>
          <w:sz w:val="32"/>
        </w:rPr>
        <w:t>超级稻高产攻关稳步推进。</w:t>
      </w:r>
      <w:r>
        <w:rPr>
          <w:rFonts w:hint="eastAsia" w:ascii="仿宋" w:hAnsi="仿宋" w:eastAsia="仿宋" w:cs="仿宋"/>
          <w:sz w:val="32"/>
        </w:rPr>
        <w:t>今年我县为加快转化袁隆平院士超级稻高产攻关成果，利用“种三产四”项目平台，打造了5个亩平产900公斤千亩示范区，2个亩平产800公斤万亩示范区。同时，继续在羊古坳乡雷锋村、牛形嘴村实施2个百亩片</w:t>
      </w:r>
      <w:r>
        <w:rPr>
          <w:rFonts w:hint="eastAsia" w:ascii="仿宋" w:hAnsi="仿宋" w:eastAsia="仿宋" w:cs="仿宋"/>
          <w:sz w:val="32"/>
          <w:szCs w:val="32"/>
        </w:rPr>
        <w:t>16吨/公顷超</w:t>
      </w:r>
      <w:r>
        <w:rPr>
          <w:rFonts w:hint="eastAsia" w:ascii="仿宋" w:hAnsi="仿宋" w:eastAsia="仿宋" w:cs="仿宋"/>
          <w:sz w:val="32"/>
        </w:rPr>
        <w:t>级稻高产攻关。2016年度</w:t>
      </w:r>
      <w:r>
        <w:rPr>
          <w:rFonts w:hint="eastAsia" w:ascii="仿宋" w:hAnsi="仿宋" w:eastAsia="仿宋" w:cs="仿宋"/>
          <w:sz w:val="32"/>
          <w:szCs w:val="32"/>
        </w:rPr>
        <w:t>全省超级杂交中稻“种三产四”现场会，于9月6日，在我县胜利召开。</w:t>
      </w:r>
      <w:r>
        <w:rPr>
          <w:rFonts w:hint="eastAsia" w:ascii="仿宋" w:hAnsi="仿宋" w:eastAsia="仿宋" w:cs="仿宋"/>
          <w:sz w:val="32"/>
        </w:rPr>
        <w:t>全县推广超级稻35.2万亩，增产稻谷1815万公斤，农户增收4305万元。</w:t>
      </w:r>
      <w:r>
        <w:rPr>
          <w:rFonts w:hint="eastAsia" w:ascii="仿宋" w:hAnsi="仿宋" w:eastAsia="仿宋" w:cs="仿宋"/>
          <w:b/>
          <w:bCs/>
          <w:sz w:val="32"/>
        </w:rPr>
        <w:t>四是旱粮作物稳中有升。</w:t>
      </w:r>
      <w:r>
        <w:rPr>
          <w:rFonts w:hint="eastAsia" w:ascii="仿宋" w:hAnsi="仿宋" w:eastAsia="仿宋" w:cs="仿宋"/>
          <w:sz w:val="32"/>
        </w:rPr>
        <w:t>全县完成玉米种植面积12.1万亩，同比增长0.4％，落实万亩玉米高产创建示范片1个</w:t>
      </w:r>
      <w:r>
        <w:rPr>
          <w:rFonts w:hint="eastAsia" w:eastAsia="华文仿宋"/>
          <w:sz w:val="32"/>
        </w:rPr>
        <w:t>。</w:t>
      </w:r>
      <w:r>
        <w:rPr>
          <w:rFonts w:hint="eastAsia" w:ascii="仿宋" w:hAnsi="仿宋" w:eastAsia="仿宋" w:cs="仿宋"/>
          <w:b/>
          <w:bCs/>
          <w:sz w:val="32"/>
        </w:rPr>
        <w:t>五是新型农业经营主体发展迅猛。</w:t>
      </w:r>
      <w:r>
        <w:rPr>
          <w:rFonts w:hint="eastAsia" w:ascii="仿宋" w:hAnsi="仿宋" w:eastAsia="仿宋" w:cs="仿宋"/>
          <w:sz w:val="32"/>
          <w:szCs w:val="32"/>
        </w:rPr>
        <w:t>全县培育30亩以上大户1476户，流转耕地面积12.2万亩，其中1000亩以上的大户4户；完成水稻集中育秧服务10万亩，专业化病虫害防治服务25万亩，测土配方施肥服务8.1万亩，农业机械化作业服务110万亩</w:t>
      </w:r>
      <w:r>
        <w:rPr>
          <w:rFonts w:hint="eastAsia" w:eastAsia="华文仿宋"/>
          <w:sz w:val="32"/>
          <w:szCs w:val="32"/>
        </w:rPr>
        <w:t>。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>六是农产品质量安全监管成效明显。</w:t>
      </w:r>
      <w:r>
        <w:rPr>
          <w:rFonts w:hint="eastAsia" w:ascii="仿宋" w:hAnsi="仿宋" w:eastAsia="仿宋" w:cs="仿宋"/>
          <w:sz w:val="32"/>
          <w:szCs w:val="32"/>
        </w:rPr>
        <w:t>全年出动877人次，出动车辆216台次对我县农产品生产、加工、销售基地和农资市场进行检查整顿。检查规模生产单位89家，全年共抽检蔬菜、水果样品5336例，其中超标58例，超标率为1.1%，低于上级要求4%的控制率，全县没有出现农产品质量安全事件。抽取种子样16个，查处违规种子726余公斤，抽取肥料样61个，查处劣质肥料29500公斤，农药抽样13个，查处不合格农药271公斤，立案查处12起，批评教育65起,为农户挽回直接经济损失500余万元。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>七是在省粮食奖励资金绩效评估中取得实效。</w:t>
      </w:r>
      <w:r>
        <w:rPr>
          <w:rFonts w:hint="eastAsia" w:eastAsia="华文仿宋"/>
          <w:sz w:val="32"/>
          <w:szCs w:val="32"/>
        </w:rPr>
        <w:t>在全省评比中，取得全省第三名的傲人成绩，奖励资金稳中有升。</w:t>
      </w:r>
    </w:p>
    <w:p>
      <w:pPr>
        <w:keepNext w:val="0"/>
        <w:keepLines w:val="0"/>
        <w:pageBreakBefore w:val="0"/>
        <w:widowControl w:val="0"/>
        <w:numPr>
          <w:ilvl w:val="0"/>
          <w:numId w:val="7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right="0" w:rightChars="0" w:firstLine="643" w:firstLineChars="200"/>
        <w:textAlignment w:val="auto"/>
        <w:outlineLvl w:val="9"/>
        <w:rPr>
          <w:rFonts w:hint="eastAsia" w:ascii="黑体" w:hAnsi="黑体" w:eastAsia="黑体" w:cs="黑体"/>
          <w:b/>
          <w:bCs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b/>
          <w:bCs/>
          <w:sz w:val="32"/>
          <w:szCs w:val="32"/>
          <w:lang w:eastAsia="zh-CN"/>
        </w:rPr>
        <w:t>存在的问题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right="0" w:rightChars="0" w:firstLine="640" w:firstLineChars="200"/>
        <w:textAlignment w:val="auto"/>
        <w:outlineLvl w:val="9"/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  <w:t>通过认真检查自评，项目存在的主要问题如下：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right="0" w:rightChars="0" w:firstLine="643" w:firstLineChars="200"/>
        <w:textAlignment w:val="auto"/>
        <w:outlineLvl w:val="9"/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(一）</w:t>
      </w:r>
      <w: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  <w:t>种粮效益依然低下。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  <w:t>由于农资价格的上涨和粮食价格的稳定，形成了投入和收入剪刀差，使农民种粮效应逐年下滑，农民种粮积极性严重受挫，普遍认为种粮的效益比较低，种一亩双季稻按正常产量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900公斤/亩计算，收入2340元，种子免费不计，化肥、农药及育秧材料需850元，翻耕、收割650元，仅收益840元，两季用工21个，平均日收入40元，如果遇上自然灾害可能减产或完全绝收。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right="0" w:rightChars="0" w:firstLine="643" w:firstLineChars="200"/>
        <w:textAlignment w:val="auto"/>
        <w:outlineLvl w:val="9"/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  <w:t>（二）农业基础设施落后。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  <w:t>近年来，我县农业基础设施得到一定改善，但农田基本设施还比较薄弱，部分农田水利设施老化，许多上世纪六、七十年代修建的渠道无法使用，水利设施难以适应粮食生产的要求。基础设施的建设发展需要投入大量资金，现有的资金还远远不够建设的需要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right="0" w:rightChars="0" w:firstLine="643" w:firstLineChars="200"/>
        <w:textAlignment w:val="auto"/>
        <w:outlineLvl w:val="9"/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  <w:t>（三）农村劳动力严重不足，土地零星抛荒现象依然存在。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  <w:t>由于人多地少，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40岁以下农村青壮年劳动力全部外出务工，留守农村务农主要劳动力年龄偏大、劳力严重不足，导致耕地抛荒、一季稻插花、产量偏低、质量安全许多问题得不到有效解决。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right="0" w:rightChars="0" w:firstLine="643" w:firstLineChars="200"/>
        <w:textAlignment w:val="auto"/>
        <w:outlineLvl w:val="9"/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（四）与产业结构调整和粮食生产考核的矛盾。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一是17个双季稻生产乡镇有十多个生产烤烟，在产业布局上有冲突。财政部与农业部联合对产粮大县粮食生产实行卫星定位监测，国家发改委、农业部、统计局对产粮大县实行定点监测，共随机抽取17个乡镇20个村，以此推算全县粮食产量，其中双季稻乡镇有14个村，给我县粮食生产考核带来极大压力。二是种播面积、粮食总产、商品率是决定是否进入产粮大县的三个重要指标，其中前两个指标各占25分，后者占50分，我县为争取国家贫困县，2011年种播面积和产量调减到100.7万亩、45万吨，比2007年118万亩、47万吨分别减少17.3万亩和2万吨，人口从110万增加到120万，按国家人平用粮400公斤标准计算，粮食商品率成负数，影响产粮大县地位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right="0" w:rightChars="0" w:firstLine="643" w:firstLineChars="200"/>
        <w:textAlignment w:val="auto"/>
        <w:outlineLvl w:val="9"/>
        <w:rPr>
          <w:rFonts w:hint="eastAsia" w:ascii="黑体" w:hAnsi="黑体" w:eastAsia="黑体" w:cs="黑体"/>
          <w:b/>
          <w:bCs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（五）土地流转政策亟待完善，产业化不高。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人均耕地面积只有0.7亩，多数农民以自保吃饭为前提，尽管连续多年中央一号文件明确提出加速土地流转，大力培育粮食生产专业合作社和种粮大户，实现规模化、标准化、产业化经营。但目前我县许多自愿从事种粮的合作社和专业户耕地流转非常困难，加上资金、技术等原因处于观望状态。粮食加工企业缺乏竞争力，粮食精、深加工能力不足，水平总体层次较低，附加值低，制约了品牌提升和市场的扩大。</w:t>
      </w:r>
    </w:p>
    <w:p>
      <w:pPr>
        <w:keepNext w:val="0"/>
        <w:keepLines w:val="0"/>
        <w:pageBreakBefore w:val="0"/>
        <w:widowControl w:val="0"/>
        <w:numPr>
          <w:ilvl w:val="0"/>
          <w:numId w:val="7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right="0" w:rightChars="0" w:firstLine="643" w:firstLineChars="200"/>
        <w:textAlignment w:val="auto"/>
        <w:outlineLvl w:val="9"/>
        <w:rPr>
          <w:rFonts w:hint="eastAsia" w:ascii="黑体" w:hAnsi="黑体" w:eastAsia="黑体" w:cs="黑体"/>
          <w:b/>
          <w:bCs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b/>
          <w:bCs/>
          <w:sz w:val="32"/>
          <w:szCs w:val="32"/>
          <w:lang w:eastAsia="zh-CN"/>
        </w:rPr>
        <w:t>有关建议与请求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right="0" w:rightChars="0" w:firstLine="640" w:firstLineChars="200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eastAsia="华文仿宋"/>
          <w:sz w:val="32"/>
          <w:szCs w:val="32"/>
        </w:rPr>
        <w:t>随着国家对粮食安全战略层次的提升和发展粮食产业方式的转变，我产粮大县地位面临严峻的挑战和新的机遇，如要确保我产粮大县地位不动摇，树立好现代农业强县的典型形象，不仅要加强行政保障措施，更需加大资金投入力度。</w:t>
      </w:r>
      <w:r>
        <w:rPr>
          <w:rFonts w:hint="eastAsia" w:ascii="仿宋" w:hAnsi="仿宋" w:eastAsia="仿宋" w:cs="仿宋"/>
          <w:sz w:val="32"/>
          <w:szCs w:val="32"/>
        </w:rPr>
        <w:t>2017年预计上级拨付我县粮食发展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奖励。</w:t>
      </w:r>
      <w:r>
        <w:rPr>
          <w:rFonts w:hint="eastAsia" w:ascii="仿宋" w:hAnsi="仿宋" w:eastAsia="仿宋" w:cs="仿宋"/>
          <w:sz w:val="32"/>
          <w:szCs w:val="32"/>
        </w:rPr>
        <w:t>专项资金2900万元，如按原计划安排800万元，仅占总资金量的27%，与县委、县政府提出的“农业稳县”战略思想显然不符，特别是要求进一步加大、加快我县超级稻高产攻关、优质稻产业发展等重点项目建设的指导思想不符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right="0" w:rightChars="0" w:firstLine="640" w:firstLineChars="200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请求，在原有粮食发展专项资金800万上追加200万元，共计1000万元用于发展粮食产业。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right="0" w:rightChars="0"/>
        <w:textAlignment w:val="auto"/>
        <w:outlineLvl w:val="9"/>
        <w:rPr>
          <w:rFonts w:hint="eastAsia" w:ascii="黑体" w:hAnsi="黑体" w:eastAsia="黑体" w:cs="黑体"/>
          <w:b/>
          <w:bCs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right="0" w:rightChars="0" w:firstLine="643" w:firstLineChars="200"/>
        <w:jc w:val="center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 xml:space="preserve">                             </w:t>
      </w: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隆回县农业局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right="0" w:rightChars="0" w:firstLine="5760" w:firstLineChars="1800"/>
        <w:textAlignment w:val="auto"/>
        <w:outlineLvl w:val="9"/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2017年8月30日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Batang">
    <w:panose1 w:val="02030600000101010101"/>
    <w:charset w:val="81"/>
    <w:family w:val="auto"/>
    <w:pitch w:val="default"/>
    <w:sig w:usb0="B00002AF" w:usb1="69D77CFB" w:usb2="00000030" w:usb3="00000000" w:csb0="4008009F" w:csb1="DFD70000"/>
  </w:font>
  <w:font w:name="BatangChe">
    <w:panose1 w:val="02030609000101010101"/>
    <w:charset w:val="81"/>
    <w:family w:val="auto"/>
    <w:pitch w:val="default"/>
    <w:sig w:usb0="B00002AF" w:usb1="69D77CFB" w:usb2="00000030" w:usb3="00000000" w:csb0="4008009F" w:csb1="DFD70000"/>
  </w:font>
  <w:font w:name="DFKai-SB">
    <w:panose1 w:val="03000509000000000000"/>
    <w:charset w:val="88"/>
    <w:family w:val="auto"/>
    <w:pitch w:val="default"/>
    <w:sig w:usb0="00000003" w:usb1="082E0000" w:usb2="00000016" w:usb3="00000000" w:csb0="00100001" w:csb1="00000000"/>
  </w:font>
  <w:font w:name="Dotum">
    <w:panose1 w:val="020B0600000101010101"/>
    <w:charset w:val="81"/>
    <w:family w:val="auto"/>
    <w:pitch w:val="default"/>
    <w:sig w:usb0="B00002AF" w:usb1="69D77CFB" w:usb2="00000030" w:usb3="00000000" w:csb0="4008009F" w:csb1="DFD70000"/>
  </w:font>
  <w:font w:name="DotumChe">
    <w:panose1 w:val="020B0609000101010101"/>
    <w:charset w:val="81"/>
    <w:family w:val="auto"/>
    <w:pitch w:val="default"/>
    <w:sig w:usb0="B00002AF" w:usb1="69D77CFB" w:usb2="00000030" w:usb3="00000000" w:csb0="4008009F" w:csb1="DFD70000"/>
  </w:font>
  <w:font w:name="Gulim">
    <w:panose1 w:val="020B0600000101010101"/>
    <w:charset w:val="81"/>
    <w:family w:val="auto"/>
    <w:pitch w:val="default"/>
    <w:sig w:usb0="B00002AF" w:usb1="69D77CFB" w:usb2="00000030" w:usb3="00000000" w:csb0="4008009F" w:csb1="DFD70000"/>
  </w:font>
  <w:font w:name="GulimChe">
    <w:panose1 w:val="020B0609000101010101"/>
    <w:charset w:val="81"/>
    <w:family w:val="auto"/>
    <w:pitch w:val="default"/>
    <w:sig w:usb0="B00002AF" w:usb1="69D77CFB" w:usb2="00000030" w:usb3="00000000" w:csb0="4008009F" w:csb1="DFD70000"/>
  </w:font>
  <w:font w:name="Gungsuh">
    <w:panose1 w:val="02030600000101010101"/>
    <w:charset w:val="81"/>
    <w:family w:val="auto"/>
    <w:pitch w:val="default"/>
    <w:sig w:usb0="B00002AF" w:usb1="69D77CFB" w:usb2="00000030" w:usb3="00000000" w:csb0="4008009F" w:csb1="DFD70000"/>
  </w:font>
  <w:font w:name="GungsuhChe">
    <w:panose1 w:val="02030609000101010101"/>
    <w:charset w:val="81"/>
    <w:family w:val="auto"/>
    <w:pitch w:val="default"/>
    <w:sig w:usb0="B00002AF" w:usb1="69D77CFB" w:usb2="00000030" w:usb3="00000000" w:csb0="4008009F" w:csb1="DFD70000"/>
  </w:font>
  <w:font w:name="Malgun Gothic">
    <w:panose1 w:val="020B0503020000020004"/>
    <w:charset w:val="81"/>
    <w:family w:val="auto"/>
    <w:pitch w:val="default"/>
    <w:sig w:usb0="900002AF" w:usb1="01D77CFB" w:usb2="00000012" w:usb3="00000000" w:csb0="00080001" w:csb1="00000000"/>
  </w:font>
  <w:font w:name="Meiryo">
    <w:panose1 w:val="020B0604030504040204"/>
    <w:charset w:val="80"/>
    <w:family w:val="auto"/>
    <w:pitch w:val="default"/>
    <w:sig w:usb0="E10102FF" w:usb1="EAC7FFFF" w:usb2="00010012" w:usb3="00000000" w:csb0="6002009F" w:csb1="DFD7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Webdings">
    <w:panose1 w:val="05030102010509060703"/>
    <w:charset w:val="00"/>
    <w:family w:val="auto"/>
    <w:pitch w:val="default"/>
    <w:sig w:usb0="00000000" w:usb1="00000000" w:usb2="00000000" w:usb3="00000000" w:csb0="80000000" w:csb1="00000000"/>
  </w:font>
  <w:font w:name="Vrinda">
    <w:panose1 w:val="020B0502040204020203"/>
    <w:charset w:val="00"/>
    <w:family w:val="auto"/>
    <w:pitch w:val="default"/>
    <w:sig w:usb0="00010003" w:usb1="00000000" w:usb2="00000000" w:usb3="00000000" w:csb0="00000001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华文仿宋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_4eff_5b8b_GB2312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9FDA18"/>
    <w:multiLevelType w:val="singleLevel"/>
    <w:tmpl w:val="599FDA18"/>
    <w:lvl w:ilvl="0" w:tentative="0">
      <w:start w:val="1"/>
      <w:numFmt w:val="chineseCounting"/>
      <w:suff w:val="nothing"/>
      <w:lvlText w:val="%1、"/>
      <w:lvlJc w:val="left"/>
    </w:lvl>
  </w:abstractNum>
  <w:abstractNum w:abstractNumId="1">
    <w:nsid w:val="599FEF25"/>
    <w:multiLevelType w:val="singleLevel"/>
    <w:tmpl w:val="599FEF25"/>
    <w:lvl w:ilvl="0" w:tentative="0">
      <w:start w:val="2"/>
      <w:numFmt w:val="chineseCounting"/>
      <w:suff w:val="nothing"/>
      <w:lvlText w:val="(%1)"/>
      <w:lvlJc w:val="left"/>
    </w:lvl>
  </w:abstractNum>
  <w:abstractNum w:abstractNumId="2">
    <w:nsid w:val="59A51337"/>
    <w:multiLevelType w:val="singleLevel"/>
    <w:tmpl w:val="59A51337"/>
    <w:lvl w:ilvl="0" w:tentative="0">
      <w:start w:val="2"/>
      <w:numFmt w:val="chineseCounting"/>
      <w:suff w:val="nothing"/>
      <w:lvlText w:val="%1、"/>
      <w:lvlJc w:val="left"/>
    </w:lvl>
  </w:abstractNum>
  <w:abstractNum w:abstractNumId="3">
    <w:nsid w:val="59A513D0"/>
    <w:multiLevelType w:val="singleLevel"/>
    <w:tmpl w:val="59A513D0"/>
    <w:lvl w:ilvl="0" w:tentative="0">
      <w:start w:val="1"/>
      <w:numFmt w:val="chineseCounting"/>
      <w:suff w:val="nothing"/>
      <w:lvlText w:val="（%1）"/>
      <w:lvlJc w:val="left"/>
    </w:lvl>
  </w:abstractNum>
  <w:abstractNum w:abstractNumId="4">
    <w:nsid w:val="59A5184D"/>
    <w:multiLevelType w:val="singleLevel"/>
    <w:tmpl w:val="59A5184D"/>
    <w:lvl w:ilvl="0" w:tentative="0">
      <w:start w:val="3"/>
      <w:numFmt w:val="chineseCounting"/>
      <w:suff w:val="nothing"/>
      <w:lvlText w:val="%1、"/>
      <w:lvlJc w:val="left"/>
    </w:lvl>
  </w:abstractNum>
  <w:abstractNum w:abstractNumId="5">
    <w:nsid w:val="59A519CC"/>
    <w:multiLevelType w:val="singleLevel"/>
    <w:tmpl w:val="59A519CC"/>
    <w:lvl w:ilvl="0" w:tentative="0">
      <w:start w:val="2"/>
      <w:numFmt w:val="chineseCounting"/>
      <w:suff w:val="nothing"/>
      <w:lvlText w:val="（%1）"/>
      <w:lvlJc w:val="left"/>
    </w:lvl>
  </w:abstractNum>
  <w:abstractNum w:abstractNumId="6">
    <w:nsid w:val="59A51BE7"/>
    <w:multiLevelType w:val="singleLevel"/>
    <w:tmpl w:val="59A51BE7"/>
    <w:lvl w:ilvl="0" w:tentative="0">
      <w:start w:val="4"/>
      <w:numFmt w:val="chineseCounting"/>
      <w:suff w:val="nothing"/>
      <w:lvlText w:val="%1、"/>
      <w:lvlJc w:val="left"/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877C68"/>
    <w:rsid w:val="00070D78"/>
    <w:rsid w:val="00253040"/>
    <w:rsid w:val="00265470"/>
    <w:rsid w:val="003A5F0D"/>
    <w:rsid w:val="003E66A6"/>
    <w:rsid w:val="0042467B"/>
    <w:rsid w:val="00461F2B"/>
    <w:rsid w:val="00496991"/>
    <w:rsid w:val="004A56C7"/>
    <w:rsid w:val="004E3922"/>
    <w:rsid w:val="00506E06"/>
    <w:rsid w:val="0059584F"/>
    <w:rsid w:val="005B3AE0"/>
    <w:rsid w:val="005E1B76"/>
    <w:rsid w:val="005E64D3"/>
    <w:rsid w:val="006856AB"/>
    <w:rsid w:val="007C71B5"/>
    <w:rsid w:val="00877C68"/>
    <w:rsid w:val="009F525E"/>
    <w:rsid w:val="00A0072A"/>
    <w:rsid w:val="00A85DA5"/>
    <w:rsid w:val="00A90452"/>
    <w:rsid w:val="00AF60CD"/>
    <w:rsid w:val="00B127E3"/>
    <w:rsid w:val="00B1502D"/>
    <w:rsid w:val="00BD56F4"/>
    <w:rsid w:val="00C1782E"/>
    <w:rsid w:val="00DE509D"/>
    <w:rsid w:val="00E964B4"/>
    <w:rsid w:val="00ED77C0"/>
    <w:rsid w:val="00F53E0E"/>
    <w:rsid w:val="00F90285"/>
    <w:rsid w:val="00FA0314"/>
    <w:rsid w:val="00FA5FE5"/>
    <w:rsid w:val="02386671"/>
    <w:rsid w:val="05061F85"/>
    <w:rsid w:val="0F2627CE"/>
    <w:rsid w:val="12E310EF"/>
    <w:rsid w:val="150B784D"/>
    <w:rsid w:val="1AEF4FF7"/>
    <w:rsid w:val="20CB0F4D"/>
    <w:rsid w:val="233A32E1"/>
    <w:rsid w:val="256301E5"/>
    <w:rsid w:val="29C7731E"/>
    <w:rsid w:val="2D791184"/>
    <w:rsid w:val="2F7863A1"/>
    <w:rsid w:val="3B1D482A"/>
    <w:rsid w:val="3B4F3809"/>
    <w:rsid w:val="3F6C6277"/>
    <w:rsid w:val="4267299D"/>
    <w:rsid w:val="42813E62"/>
    <w:rsid w:val="452853D8"/>
    <w:rsid w:val="4810289D"/>
    <w:rsid w:val="49352662"/>
    <w:rsid w:val="4EDE76AA"/>
    <w:rsid w:val="50610C4C"/>
    <w:rsid w:val="574B1D50"/>
    <w:rsid w:val="5A0D3430"/>
    <w:rsid w:val="5BAF1285"/>
    <w:rsid w:val="5F6328CB"/>
    <w:rsid w:val="603231DC"/>
    <w:rsid w:val="636C4936"/>
    <w:rsid w:val="64C67365"/>
    <w:rsid w:val="65992729"/>
    <w:rsid w:val="69C44683"/>
    <w:rsid w:val="6D345BD4"/>
    <w:rsid w:val="6D401CD2"/>
    <w:rsid w:val="700038F4"/>
    <w:rsid w:val="71F109B5"/>
    <w:rsid w:val="727A4697"/>
    <w:rsid w:val="748956AF"/>
    <w:rsid w:val="7491368B"/>
    <w:rsid w:val="791147AA"/>
    <w:rsid w:val="7B7570DB"/>
    <w:rsid w:val="7E273A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0"/>
    <w:qFormat/>
    <w:uiPriority w:val="0"/>
    <w:pPr>
      <w:keepNext/>
      <w:keepLines/>
      <w:adjustRightInd w:val="0"/>
      <w:snapToGrid w:val="0"/>
      <w:spacing w:line="700" w:lineRule="exact"/>
      <w:jc w:val="center"/>
      <w:outlineLvl w:val="0"/>
    </w:pPr>
    <w:rPr>
      <w:rFonts w:ascii="Times New Roman" w:hAnsi="Times New Roman" w:eastAsia="方正小标宋简体" w:cs="Times New Roman"/>
      <w:bCs/>
      <w:kern w:val="44"/>
      <w:sz w:val="44"/>
      <w:szCs w:val="44"/>
    </w:rPr>
  </w:style>
  <w:style w:type="character" w:default="1" w:styleId="5">
    <w:name w:val="Default Paragraph Font"/>
    <w:unhideWhenUsed/>
    <w:qFormat/>
    <w:uiPriority w:val="1"/>
  </w:style>
  <w:style w:type="table" w:default="1" w:styleId="7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Hyperlink"/>
    <w:basedOn w:val="5"/>
    <w:unhideWhenUsed/>
    <w:qFormat/>
    <w:uiPriority w:val="99"/>
    <w:rPr>
      <w:color w:val="0000FF"/>
      <w:u w:val="single"/>
    </w:rPr>
  </w:style>
  <w:style w:type="character" w:customStyle="1" w:styleId="8">
    <w:name w:val="页眉 Char"/>
    <w:basedOn w:val="5"/>
    <w:link w:val="4"/>
    <w:semiHidden/>
    <w:qFormat/>
    <w:uiPriority w:val="99"/>
    <w:rPr>
      <w:sz w:val="18"/>
      <w:szCs w:val="18"/>
    </w:rPr>
  </w:style>
  <w:style w:type="character" w:customStyle="1" w:styleId="9">
    <w:name w:val="页脚 Char"/>
    <w:basedOn w:val="5"/>
    <w:link w:val="3"/>
    <w:semiHidden/>
    <w:qFormat/>
    <w:uiPriority w:val="99"/>
    <w:rPr>
      <w:sz w:val="18"/>
      <w:szCs w:val="18"/>
    </w:rPr>
  </w:style>
  <w:style w:type="character" w:customStyle="1" w:styleId="10">
    <w:name w:val="标题 1 Char"/>
    <w:basedOn w:val="5"/>
    <w:link w:val="2"/>
    <w:qFormat/>
    <w:uiPriority w:val="0"/>
    <w:rPr>
      <w:rFonts w:ascii="Times New Roman" w:hAnsi="Times New Roman" w:eastAsia="方正小标宋简体" w:cs="Times New Roman"/>
      <w:bCs/>
      <w:kern w:val="44"/>
      <w:sz w:val="44"/>
      <w:szCs w:val="44"/>
    </w:rPr>
  </w:style>
  <w:style w:type="paragraph" w:customStyle="1" w:styleId="11">
    <w:name w:val="List Paragraph"/>
    <w:basedOn w:val="1"/>
    <w:qFormat/>
    <w:uiPriority w:val="34"/>
    <w:pPr>
      <w:ind w:firstLine="420" w:firstLineChars="200"/>
    </w:pPr>
  </w:style>
  <w:style w:type="character" w:customStyle="1" w:styleId="12">
    <w:name w:val="apple-converted-space"/>
    <w:basedOn w:val="5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2</Pages>
  <Words>133</Words>
  <Characters>760</Characters>
  <Lines>6</Lines>
  <Paragraphs>1</Paragraphs>
  <ScaleCrop>false</ScaleCrop>
  <LinksUpToDate>false</LinksUpToDate>
  <CharactersWithSpaces>892</CharactersWithSpaces>
  <Application>WPS Office_10.1.0.6749_F1E327BC-269C-435d-A152-05C5408002CA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2017-05-24T07:23:00Z</dcterms:created>
  <dc:creator>OK</dc:creator>
  <cp:lastModifiedBy>Administrator</cp:lastModifiedBy>
  <cp:lastPrinted>2017-05-31T04:17:00Z</cp:lastPrinted>
  <dcterms:modified xsi:type="dcterms:W3CDTF">2017-09-06T02:53:22Z</dcterms:modified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2052-10.1.0.6749</vt:lpwstr>
  </property>
</Properties>
</file>