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微软雅黑" w:hAnsi="微软雅黑" w:eastAsia="微软雅黑" w:cs="微软雅黑"/>
          <w:i w:val="0"/>
          <w:iCs w:val="0"/>
          <w:caps w:val="0"/>
          <w:color w:val="232323"/>
          <w:spacing w:val="0"/>
          <w:sz w:val="21"/>
          <w:szCs w:val="21"/>
        </w:rPr>
      </w:pPr>
      <w:r>
        <w:rPr>
          <w:rFonts w:ascii="仿宋" w:hAnsi="仿宋" w:eastAsia="仿宋" w:cs="仿宋"/>
          <w:b/>
          <w:bCs/>
          <w:i w:val="0"/>
          <w:iCs w:val="0"/>
          <w:caps w:val="0"/>
          <w:color w:val="232323"/>
          <w:spacing w:val="0"/>
          <w:kern w:val="0"/>
          <w:sz w:val="44"/>
          <w:szCs w:val="44"/>
          <w:bdr w:val="none" w:color="auto" w:sz="0" w:space="0"/>
          <w:shd w:val="clear" w:fill="FFFFFF"/>
          <w:lang w:val="en-US" w:eastAsia="zh-CN" w:bidi="ar"/>
        </w:rPr>
        <w:t>邵阳市六都寨灌区管理局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44"/>
          <w:szCs w:val="44"/>
          <w:bdr w:val="none" w:color="auto" w:sz="0" w:space="0"/>
          <w:shd w:val="clear" w:fill="FFFFFF"/>
          <w:lang w:val="en-US" w:eastAsia="zh-CN" w:bidi="ar"/>
        </w:rPr>
        <w:t>2021年度部门整体支出绩效评价报告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隆回县财政局：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我们受隆回县财政局的委托，按照县财政局关于实施2021年度部门整体支出绩效评价工作的部署，根据邵阳市六都寨灌区管理局（以下简称“市六灌局”）提供的相关资料，根据</w:t>
      </w: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《关于开展2021年度部门整体支出重点绩效评价工作的通知》（隆财绩〔2022〕3号）文件要求</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我所遵循“科学性、规范性、客观性和公正性”的原则，对邵阳市六都寨灌区管理局2021年度部门整体支出绩效进行现场评价。我们将评价工作分定量评价和定性评价两个步骤：定量评价以邵阳市六都寨灌区管理局提供的相关资料为基础，经过认真审查和核对，测出定量评价结果；定性评价由工作组调查问卷、听取邵阳市六都寨灌区管理局领导及相关人员的情况介绍及现场考察提问，经量化分析得出定性评价结果。我们综合定量和定性评价结果，形成综合评价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8"/>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现将评价情况及评价结果报告如下：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一、单位概况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（一）部门基本情况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邵阳市六都寨灌区管理局</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（以下简称“市六灌局”）</w:t>
      </w: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为具有行政管理职能的副处级事业机构，管理大型水库和大型灌区的水管单位，隶属于县人民政府管理，业务归口邵阳市水利局管理，内设办公室、监察室、政工科、经营管理科（加挂防汛抗早办公室牌子)、计划财务科、群工科（加挂维护社会稳定和安全生产办公室牌子），水政科（加挂综合执法室牌子），工程建设管理科8个副科级职能科室。</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市六灌局机关</w:t>
      </w: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编制人数29人，在职在岗人数22人。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4"/>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  主要职能：1、负责六都寨灌区管辖范園内水利工程的日常维护和管理工作；2、负责六都寨水库、屺石水库、荷叶塘水库的水文调度及搭区范国内的防讯抗旱；3、在统一水政执法的前提下负责辖区范国内的水政、渔政执法及电力监察；4、开发利用所辖水库及灌区资源，管理辖区苑围内的水资源开发经营项目；5、负责协调处理辖区苑国内的群土矛盾、社会稳定及移民遺留等问题；6、按有关规定负责所辖水库及灌区内划定、征用、建设的水面、土地、房屋、渠系、设备等国有资产的管理，确保国有资产增值；7、负责六都寨灌区管辖范围内水利基建计划的编报及工程建设的组织实施；8、负责对辖区内所属单位的管理或指导；9、负责承办邵阳市委、市政府，隆回县委、县政府和邵阳市水利局交办的其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    2021年度部门重点工作：一是聚焦管党治党，凝聚干事创业合力；二是聚焦安全生产，助推生产经营提质增效；三是聚焦水旱灾害防御，服务“三农，促进农业增收；四是聚焦工程补短板，着力夯实水利水电工程基础；五是聚焦河长制落实，持续改善水生态环境；六是聚焦驻村帮扶，凝心聚力办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（二）整体支出规模、使用方向和主要内容、涉及范围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2021年度财政部门批复的邵阳市六都寨灌区管理局部门整体预算支出规模722.73 万元，其中:基本支出 663.1万元（工资福利支出 487.54 万元，商品和服务支出 100.13 万元，对个人和家庭的补助支出 13.93 万元，资本性支出 61.50万元），项目支出59.63 万元。基本支出经费保障单位机构正常运转，保障职工基本工资及津补贴等工资福利待遇；项目支出用于六都寨灌区管辖范围内水利工程的日常维护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二、部门整体支出管理及使用情况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(一)预算执行情况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    2021年总收入722.73万元，比上年的2628.34万元减少1905.61万元，减少72.5%。总支出722.73万元，比上年的2628.34万元减少1905.61万元，减少72.5%：其中基本支出663.1万元，比上年的2628.34万元减少约75.91% ；项目支出59.63万元，比上年度增加100%；减少主要原因为将原经营管理所和电力管理所撤消，并成立国有独资的六都寨灌区水利水电有限公司，人员转隶导致单位预算资金收支数减少。根据《政府会计准则制度解释第 4 号》第五项“</w:t>
      </w:r>
      <w:r>
        <w:rPr>
          <w:rFonts w:ascii="仿宋_GB2312" w:hAnsi="微软雅黑" w:eastAsia="仿宋_GB2312" w:cs="仿宋_GB2312"/>
          <w:i w:val="0"/>
          <w:iCs w:val="0"/>
          <w:caps w:val="0"/>
          <w:color w:val="000000"/>
          <w:spacing w:val="0"/>
          <w:kern w:val="0"/>
          <w:sz w:val="31"/>
          <w:szCs w:val="31"/>
          <w:bdr w:val="none" w:color="auto" w:sz="0" w:space="0"/>
          <w:shd w:val="clear" w:fill="FFFFFF"/>
          <w:lang w:val="en-US" w:eastAsia="zh-CN" w:bidi="ar"/>
        </w:rPr>
        <w:t>按照《国务院关于进一步深化预算管理制度改革的意见》</w:t>
      </w:r>
      <w:r>
        <w:rPr>
          <w:rFonts w:hint="eastAsia" w:ascii="仿宋_GB2312" w:hAnsi="微软雅黑" w:eastAsia="仿宋_GB2312" w:cs="仿宋_GB2312"/>
          <w:i w:val="0"/>
          <w:iCs w:val="0"/>
          <w:caps w:val="0"/>
          <w:color w:val="000000"/>
          <w:spacing w:val="0"/>
          <w:kern w:val="0"/>
          <w:sz w:val="31"/>
          <w:szCs w:val="31"/>
          <w:bdr w:val="none" w:color="auto" w:sz="0" w:space="0"/>
          <w:shd w:val="clear" w:fill="FFFFFF"/>
          <w:lang w:val="en-US" w:eastAsia="zh-CN" w:bidi="ar"/>
        </w:rPr>
        <w:t> （国发〔2021〕5 号）规定，市县级财政国库集中支付结余不再按权责发生制列支，相关单位年末不再进行上述账务处理。</w:t>
      </w: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”的要求，2021年度单位账面年末结余和结转数为0。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(二)基本支出情况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1、基本支出主要用途、范围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基本经费支出用于保障单位机构正常运转、完成日常工作任务而发生的各项支出，包括用于基本工资、津贴补贴、奖金、机关事业单位养老保险和其他社会保障缴费、其他工资福利等人员经费以及办公费、印刷费、水电费及办公设备购置等日常公用经费。</w:t>
      </w: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2021年邵阳市六都寨湛区管理局经费基本支出663.10万元，其中：工资福利支出487.54万元，对个人和家庭的补助13.93万元，商品和服务支出100.13万元，资本性支出61.50万元。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2、基本支出管理情况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为加强对预算资金的支出管理，邵阳市六都寨灌区管理局参照《关于进一步规范公务接待的规定》（隆办发【2019】2号）、隆政办发【2018】20号、《中共隆回县委办公室 隆回县人民政府办公室关于进一步规范外出学习参观考察活动的通知》（隆回发【2014】25号）等文件的规定，制订了《邵阳市六都寨灌区管理局财务管理办法》，明确了经费（公务接待、公务出差（下乡）、学习和考察、办公经费）审批权限、管理要求、管理流程以及控制措施等，以加强经费管理。支出管理方面，单笔支出在1000元以下的，由分管财务的领导直接审批；单笔支出在1000元（含）以上至1万元（不含）的，事前须经单位主要领导同意，由分管财务的领导审批；1万元（含）以上的，事前须经单位班子集体研究同意，事后由分管财务的领导签署意见后报局长审批。严格执行经费审批制度、财务会审制度和报销程序，基本实现了资金申请、审批、拨付、监督等全流程制度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3、“三公”经费使用和管理情况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2021年邵阳市六都寨灌区管理局“三公”经费账面开支总额1.94万元，其中：因公出国（境）经费未发生，公务接待经费1.11万元,公务车购置及运行经费0.83万元。“三公”经费实际开支总额比2020年的7.73万元减少5.79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          2021年度“三公”经费控制情况表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righ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单位:元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67"/>
        <w:gridCol w:w="1984"/>
        <w:gridCol w:w="1602"/>
        <w:gridCol w:w="1881"/>
        <w:gridCol w:w="1374"/>
        <w:gridCol w:w="10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9" w:hRule="atLeast"/>
        </w:trPr>
        <w:tc>
          <w:tcPr>
            <w:tcW w:w="69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4"/>
                <w:szCs w:val="24"/>
                <w:bdr w:val="none" w:color="auto" w:sz="0" w:space="0"/>
                <w:lang w:val="en-US" w:eastAsia="zh-CN" w:bidi="ar"/>
              </w:rPr>
              <w:t>序号</w:t>
            </w:r>
          </w:p>
        </w:tc>
        <w:tc>
          <w:tcPr>
            <w:tcW w:w="21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项 目</w:t>
            </w:r>
          </w:p>
        </w:tc>
        <w:tc>
          <w:tcPr>
            <w:tcW w:w="165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2021</w:t>
            </w:r>
            <w:r>
              <w:rPr>
                <w:rFonts w:hint="eastAsia" w:ascii="宋体" w:hAnsi="宋体" w:eastAsia="宋体" w:cs="宋体"/>
                <w:i w:val="0"/>
                <w:iCs w:val="0"/>
                <w:caps w:val="0"/>
                <w:color w:val="000000"/>
                <w:spacing w:val="0"/>
                <w:kern w:val="0"/>
                <w:sz w:val="21"/>
                <w:szCs w:val="21"/>
                <w:bdr w:val="none" w:color="auto" w:sz="0" w:space="0"/>
                <w:lang w:val="en-US" w:eastAsia="zh-CN" w:bidi="ar"/>
              </w:rPr>
              <w:t>年预算数</w:t>
            </w:r>
          </w:p>
        </w:tc>
        <w:tc>
          <w:tcPr>
            <w:tcW w:w="19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2021</w:t>
            </w:r>
            <w:r>
              <w:rPr>
                <w:rFonts w:hint="eastAsia" w:ascii="宋体" w:hAnsi="宋体" w:eastAsia="宋体" w:cs="宋体"/>
                <w:i w:val="0"/>
                <w:iCs w:val="0"/>
                <w:caps w:val="0"/>
                <w:color w:val="000000"/>
                <w:spacing w:val="0"/>
                <w:kern w:val="0"/>
                <w:sz w:val="21"/>
                <w:szCs w:val="21"/>
                <w:bdr w:val="none" w:color="auto" w:sz="0" w:space="0"/>
                <w:lang w:val="en-US" w:eastAsia="zh-CN" w:bidi="ar"/>
              </w:rPr>
              <w:t>年支出数</w:t>
            </w:r>
          </w:p>
        </w:tc>
        <w:tc>
          <w:tcPr>
            <w:tcW w:w="14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控制率（%）</w:t>
            </w:r>
          </w:p>
        </w:tc>
        <w:tc>
          <w:tcPr>
            <w:tcW w:w="10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18"/>
                <w:szCs w:val="18"/>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9" w:hRule="atLeast"/>
        </w:trPr>
        <w:tc>
          <w:tcPr>
            <w:tcW w:w="695"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4"/>
                <w:szCs w:val="24"/>
                <w:bdr w:val="none" w:color="auto" w:sz="0" w:space="0"/>
                <w:lang w:val="en-US" w:eastAsia="zh-CN" w:bidi="ar"/>
              </w:rPr>
              <w:t>1</w:t>
            </w:r>
          </w:p>
        </w:tc>
        <w:tc>
          <w:tcPr>
            <w:tcW w:w="21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出国（境）经费</w:t>
            </w:r>
          </w:p>
        </w:tc>
        <w:tc>
          <w:tcPr>
            <w:tcW w:w="16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0</w:t>
            </w:r>
          </w:p>
        </w:tc>
        <w:tc>
          <w:tcPr>
            <w:tcW w:w="19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0</w:t>
            </w:r>
          </w:p>
        </w:tc>
        <w:tc>
          <w:tcPr>
            <w:tcW w:w="1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 </w:t>
            </w:r>
          </w:p>
        </w:tc>
        <w:tc>
          <w:tcPr>
            <w:tcW w:w="1091"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232323"/>
                <w:spacing w:val="0"/>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trPr>
        <w:tc>
          <w:tcPr>
            <w:tcW w:w="695"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4"/>
                <w:szCs w:val="24"/>
                <w:bdr w:val="none" w:color="auto" w:sz="0" w:space="0"/>
                <w:lang w:val="en-US" w:eastAsia="zh-CN" w:bidi="ar"/>
              </w:rPr>
              <w:t>2</w:t>
            </w:r>
          </w:p>
        </w:tc>
        <w:tc>
          <w:tcPr>
            <w:tcW w:w="21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公务招待费</w:t>
            </w:r>
          </w:p>
        </w:tc>
        <w:tc>
          <w:tcPr>
            <w:tcW w:w="16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30,000.00</w:t>
            </w:r>
          </w:p>
        </w:tc>
        <w:tc>
          <w:tcPr>
            <w:tcW w:w="19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11,175.00</w:t>
            </w:r>
          </w:p>
        </w:tc>
        <w:tc>
          <w:tcPr>
            <w:tcW w:w="1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37.25%</w:t>
            </w:r>
          </w:p>
        </w:tc>
        <w:tc>
          <w:tcPr>
            <w:tcW w:w="1091"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232323"/>
                <w:spacing w:val="0"/>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trPr>
        <w:tc>
          <w:tcPr>
            <w:tcW w:w="695"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4"/>
                <w:szCs w:val="24"/>
                <w:bdr w:val="none" w:color="auto" w:sz="0" w:space="0"/>
                <w:lang w:val="en-US" w:eastAsia="zh-CN" w:bidi="ar"/>
              </w:rPr>
              <w:t>3</w:t>
            </w:r>
          </w:p>
        </w:tc>
        <w:tc>
          <w:tcPr>
            <w:tcW w:w="21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公务用车购置运行费</w:t>
            </w:r>
          </w:p>
        </w:tc>
        <w:tc>
          <w:tcPr>
            <w:tcW w:w="16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10,000.00</w:t>
            </w:r>
          </w:p>
        </w:tc>
        <w:tc>
          <w:tcPr>
            <w:tcW w:w="19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8,269.70</w:t>
            </w:r>
          </w:p>
        </w:tc>
        <w:tc>
          <w:tcPr>
            <w:tcW w:w="1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82.69%</w:t>
            </w:r>
          </w:p>
        </w:tc>
        <w:tc>
          <w:tcPr>
            <w:tcW w:w="1091"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232323"/>
                <w:spacing w:val="0"/>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95"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 </w:t>
            </w:r>
          </w:p>
        </w:tc>
        <w:tc>
          <w:tcPr>
            <w:tcW w:w="21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合    计</w:t>
            </w:r>
          </w:p>
        </w:tc>
        <w:tc>
          <w:tcPr>
            <w:tcW w:w="16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40,000.00</w:t>
            </w:r>
          </w:p>
        </w:tc>
        <w:tc>
          <w:tcPr>
            <w:tcW w:w="19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19,444.70</w:t>
            </w:r>
          </w:p>
        </w:tc>
        <w:tc>
          <w:tcPr>
            <w:tcW w:w="1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48.61%</w:t>
            </w:r>
          </w:p>
        </w:tc>
        <w:tc>
          <w:tcPr>
            <w:tcW w:w="1091"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仿宋_GB2312" w:hAnsi="微软雅黑" w:eastAsia="仿宋_GB2312" w:cs="仿宋_GB2312"/>
                <w:i w:val="0"/>
                <w:iCs w:val="0"/>
                <w:caps w:val="0"/>
                <w:color w:val="000000"/>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b/>
          <w:bCs/>
          <w:i w:val="0"/>
          <w:iCs w:val="0"/>
          <w:caps w:val="0"/>
          <w:color w:val="232323"/>
          <w:spacing w:val="-8"/>
          <w:kern w:val="0"/>
          <w:sz w:val="28"/>
          <w:szCs w:val="28"/>
          <w:bdr w:val="none" w:color="auto" w:sz="0" w:space="0"/>
          <w:shd w:val="clear" w:fill="FFFFFF"/>
          <w:lang w:val="en-US" w:eastAsia="zh-CN" w:bidi="ar"/>
        </w:rPr>
        <w:t>（</w:t>
      </w: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三）项目支出情况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2021年邵阳市六都寨灌区管理局实际项目支出59.63万元，主要内容有：调水抗旱项目为53.35万元，乡村振兴工作队工作经费为6.28万元。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3、项目管理情况分析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邵阳市六都寨灌区管理局根据上级相关政策和单位实际情况，为加强工程建设项目管理和廉政建设，规范建设程序，提高建设质量，确保工程安全、资金安全、人员安全，根据国家基建管理有关规定，结合实际，制定了 《邵阳市六都寨灌区工程建设项目管理办法》。六都寨灌区工程建设项目实行项目法人负责制，所有工程在实施前由局办公会议确定项目法人，由项目法人承担本项目的设计、招投标、预结算、工程变更、验收、财务管理等工作。邵阳市六都寨灌区隆回县供水管理所、新邵县供水管理所、邵阳县供水管理所负责辖区范围内的现场施工管理，承担质量、安全、纠纷调处等职责。邵阳市六都寨灌区管理局做为全灌区的管理及监督机构，承担建设项目的监督管理职责，并负责全灌区工程项目的总体规划、立项申报及筹措建设资金。该项县实施由局工程科、供水管理所、供水管理站共同监管，施工完毕实施法人验收和主管部门验收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三、资产管理情况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截至2021年12月31日，邵阳市六都寨灌区管理局账面资产总额1180.57万元，项目构成为：流动资产837.80万元，包括银行存款-其他存款户495.95万元，预付账款7.3万元，其他应收款334.55万元，占资产总额的70.97 %；非流动资产342.77万元，其中固定资产净值207.12万元（固定资产原值344.74万元，累计折旧137.62万元)，主要包括房屋及建筑物、电脑、空调、打印机复印机、办公桌椅等；在建工程135.65万元，占资产总额的11.49 %，主要包括农业水价综合改革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为合理配备并节约、有效使用资产，提高资产使用效率，保障资产的安全和完整，邵阳市六都寨灌区管理局制订了国有资产管理制度，对单位非流动资产（主要指国有固定资产）的购置标准、账面计量、增减变动、日常管理等等作出了明确规定，流动资产包含的各种暂付遵照隆财库【2021】1号《隆回县财政局关于进一步规范单位暂付性款项管理的通知》执行，国有资产处置事项依照隆政办发【2021】3号《隆回县行政事业单位国有资产处置管理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1"/>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四、绩效评价工作情况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8"/>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隆回县财政局拟定了部门整体支出绩效评价的工作方案，下发了《关于开展2021年度部门整体支出重点绩效评价工作的通知》（隆财绩〔2022〕3号），并委托我所对邵阳市六都寨灌区管理局进行绩效评价工作。2022年5月，县财政局召开现场评价工作安排部署会，我所成立的邵阳市六都寨灌区管理局绩效评价工作小组于2022年6月中旬完成现场评价，并根据相关资料完成实地查看工作，现场绩效评价工作内容主要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（一）核实数据：对2021年度部门整体支出数据的准确性、真实性进行核实，将2021年度和2020年度部门整体支出情况进行比较分析。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（二）查阅资料:查阅2021年度预算安排、财政拨款收入、预算追加、资金管理、经费支出、资产管理等相关文件资料和财务资料。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（三）实地查看：我们根据邵阳市六都寨灌区管理局提供的资产管理办法及固定资产盘点表,经实地查看核对,该局账务管理合规，账实基本相符。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（四）归纳汇总：对邵阳市六都寨灌区管理局提供的材料及自评报告，结合现场评价情况进行综合分析、归纳汇总。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（五）评价组对各项评价指标进行分析讨论：根据财政局拟定的部门整体支出绩效评价指标，结合邵阳市六都寨灌区管理局提供的相关材料，进行核查、分析、整理。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8"/>
          <w:kern w:val="0"/>
          <w:sz w:val="32"/>
          <w:szCs w:val="32"/>
          <w:bdr w:val="none" w:color="auto" w:sz="0" w:space="0"/>
          <w:shd w:val="clear" w:fill="FFFFFF"/>
          <w:lang w:val="en-US" w:eastAsia="zh-CN" w:bidi="ar"/>
        </w:rPr>
        <w:t>（六）形成绩效评价报告。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五、综合评价情况及评价结论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根据部门整体支出绩效评价指标科学评价，邵阳市六都寨灌区管理局2021年得分80.6分，根据《湖南省财政厅关于印发&lt;湖南省预算支出绩效评价管理办法&gt;的通知》（湘财绩〔2020〕7）的评价标准，2021年度市六灌局部门整体绩效考核结果为“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六、部门整体支出绩效情况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8"/>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2021 年，邵阳市六都寨灌区管理局按照“统一思想，坚定信心，稳步发展”的工作思路加强党的建设和精神文明建设，加强工程管护和内部管理，全面做好水旱灾害防御、水生态环境保护、电力安全生产等工作。全局干事创业氛围明显改善，履职和担当意识明显提升，完成电站生态泄流系统建设、农民用水户协会办公场所提质改造、扶持红旗村双季稻种植、帮扶荆枝村等 4个村实施乡村振兴战略等“我为群众办实事”7项；六都寨水库拦蓄洪水 9820.9万立方，确保下游安全度汛；119 名灌区人顶烈日冒酷暑，安全有序有效调水抗旱，对19.6万亩良田灌溉全覆盖；对二级机构管理到位，水利水电有限公司实现经济收入 1497.57万元，近五年年均增长8.28%，经济运行稳中向好；六都寨二级电站成功创建绿色小水电示范电站，成为隆回县唯一“国字号”示范电站；局机关不断加强办公区及生活区环境绿化、亮化、美化建设，院内面貌焕然一新，灌区形象全面提升。汗水浇灌收获，实干笃定前行，圆满完成了全年的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七、存在的主要问题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1"/>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（一）预算资金投入方面，部门整体支出绩效目标不够明确细化；项目经费审核前期未充分论证、评审，导致2021年度单位预算调整率过高。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8"/>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一是预算资金安排与年度任务数（计划数）未一一对应，绩效目标与预算资金匹配度不高。二是有目标但未分解成具体的工作任务单位，年度计划较笼统，未明确建设项目事项。三是项目经费审核前期未充分论证、评审，导致2021年度单位预算调整率过高，且预算与实际支出内容不一致。例：2021年预算申报项目经费是垃圾打捞费30万元。2021年8月3日，单位向县人民政府申请调水抗旱经费133.60万元，经县财政局、县级领导审批，2021年8月13日资金全额到位，导致单位当年预算调整率(预算调整数/预算数)超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1"/>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（二）预算执行过程方面存在的问题：单位公用经费控制率、政府采购执行率均大于1，预算执行率却未达到90%。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sz w:val="24"/>
          <w:szCs w:val="24"/>
          <w:bdr w:val="none" w:color="auto" w:sz="0" w:space="0"/>
          <w:shd w:val="clear" w:fill="FFFFFF"/>
        </w:rPr>
        <w:t>    </w:t>
      </w:r>
      <w:r>
        <w:rPr>
          <w:rFonts w:hint="eastAsia" w:ascii="仿宋" w:hAnsi="仿宋" w:eastAsia="仿宋" w:cs="仿宋"/>
          <w:i w:val="0"/>
          <w:iCs w:val="0"/>
          <w:caps w:val="0"/>
          <w:color w:val="232323"/>
          <w:spacing w:val="-8"/>
          <w:sz w:val="32"/>
          <w:szCs w:val="32"/>
          <w:bdr w:val="none" w:color="auto" w:sz="0" w:space="0"/>
          <w:shd w:val="clear" w:fill="FFFFFF"/>
        </w:rPr>
        <w:t>  一是部门对机构运转成本的实际控制程度有待进一步提升：公用经费支出总额161.62万元，公用经费预算额度54.01万元，单位公用经费控制率（实际支出公用经费总额/预算安排公用经费总额）高达200%以上。二是</w:t>
      </w:r>
      <w:r>
        <w:rPr>
          <w:rFonts w:hint="eastAsia" w:ascii="仿宋" w:hAnsi="仿宋" w:eastAsia="仿宋" w:cs="仿宋"/>
          <w:b w:val="0"/>
          <w:bCs w:val="0"/>
          <w:i w:val="0"/>
          <w:iCs w:val="0"/>
          <w:caps w:val="0"/>
          <w:color w:val="232323"/>
          <w:spacing w:val="-8"/>
          <w:sz w:val="32"/>
          <w:szCs w:val="32"/>
          <w:bdr w:val="none" w:color="auto" w:sz="0" w:space="0"/>
          <w:shd w:val="clear" w:fill="FFFFFF"/>
        </w:rPr>
        <w:t>政府采购事项事前论证有待进一步规范：当年政府采购金额216.27万元，预</w:t>
      </w:r>
      <w:r>
        <w:rPr>
          <w:rFonts w:hint="eastAsia" w:ascii="仿宋" w:hAnsi="仿宋" w:eastAsia="仿宋" w:cs="仿宋"/>
          <w:i w:val="0"/>
          <w:iCs w:val="0"/>
          <w:caps w:val="0"/>
          <w:color w:val="232323"/>
          <w:spacing w:val="-8"/>
          <w:sz w:val="32"/>
          <w:szCs w:val="32"/>
          <w:bdr w:val="none" w:color="auto" w:sz="0" w:space="0"/>
          <w:shd w:val="clear" w:fill="FFFFFF"/>
        </w:rPr>
        <w:t>算数4万元，政府采购预算编制不详尽，导致执行率过高。三是预算执行率较低：参考预算执行系统单位指标执行情况（剔除往来资金及上年结转资金），单位预算资金到位时间较晚，单位预算执行率（实际支出资金/实际到位资金）未达85%，预算资金结余率15%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1"/>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（三）资金管理存在的问题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8"/>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一是项目经费存在截留情况：2021-12-23# 付六灌局银行基本账户（单位名下的银行基本账户）1.7万，据了解，该款项为单位原垫付的调水抗旱经费。二是项目资金管理欠规范：2021-11-36#工程款仅施工方决算资料，且工程补充合同额度6.86万元超过合同金额31.02万元的20%，付款凭据无第三方工程决算资料或内部工程管理科出具的工程决算资料予以认定。三是账务处理欠规范：（1）2021-3-7#老干部会议费用支出4500.00元，实际为发放退休人员福利，计入当期“会议费”；（2）报销公务接待费凭据不齐全：2021-2-23#付公务接待费7436.00元，未见接待函、接待清单、公务接单审批单等资料</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1"/>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sz w:val="32"/>
          <w:szCs w:val="32"/>
          <w:bdr w:val="none" w:color="auto" w:sz="0" w:space="0"/>
          <w:shd w:val="clear" w:fill="FFFFFF"/>
        </w:rPr>
        <w:t>（四）固定资产管理欠规范。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96"/>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单位未对固定资产定期盘点；</w:t>
      </w:r>
      <w:r>
        <w:rPr>
          <w:rFonts w:hint="eastAsia" w:ascii="仿宋" w:hAnsi="仿宋" w:eastAsia="仿宋" w:cs="仿宋"/>
          <w:i w:val="0"/>
          <w:iCs w:val="0"/>
          <w:caps w:val="0"/>
          <w:color w:val="232323"/>
          <w:spacing w:val="-8"/>
          <w:sz w:val="32"/>
          <w:szCs w:val="32"/>
          <w:bdr w:val="none" w:color="auto" w:sz="0" w:space="0"/>
          <w:shd w:val="clear" w:fill="FFFFFF"/>
        </w:rPr>
        <w:t>经现场抽查盘点，存在资产盘亏、盘盈的情况，如：单位国有资产管理系统列示在用办公室一台夏普AR-2008L型复印机，实际盘亏；办公室一台长城电脑、三星电脑未入固定资产账。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（五）信息公开有待进一步完善。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96"/>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sz w:val="32"/>
          <w:szCs w:val="32"/>
          <w:bdr w:val="none" w:color="auto" w:sz="0" w:space="0"/>
          <w:shd w:val="clear" w:fill="FFFFFF"/>
        </w:rPr>
        <w:t>经现场核查，2021年度新纳入预算管理的六灌局部门整体支出绩效自评报告信息公开要素不够完整，缺项目支出绩效目标申报表、部门整体支出绩效目标申报表。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八、改进措施和有关建议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（一）</w:t>
      </w:r>
      <w:r>
        <w:rPr>
          <w:rFonts w:hint="eastAsia" w:ascii="仿宋" w:hAnsi="仿宋" w:eastAsia="仿宋" w:cs="仿宋"/>
          <w:b/>
          <w:bCs/>
          <w:i w:val="0"/>
          <w:iCs w:val="0"/>
          <w:caps w:val="0"/>
          <w:color w:val="232323"/>
          <w:spacing w:val="-8"/>
          <w:kern w:val="0"/>
          <w:sz w:val="32"/>
          <w:szCs w:val="32"/>
          <w:bdr w:val="none" w:color="auto" w:sz="0" w:space="0"/>
          <w:shd w:val="clear" w:fill="FFFFFF"/>
          <w:lang w:val="en-US" w:eastAsia="zh-CN" w:bidi="ar"/>
        </w:rPr>
        <w:t>明确部门整体支出的目标内容，树立绩效管理理念。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8"/>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一强化支出责任，树立绩效管理理念，按照《隆回县2022年县直行政事业单位部门预算编制方法》的要求，遵循绩效预算原则，将绩效管理贯穿整个预算编制、执行和监督的始终，切实提高财政资金使用效益。二设定符合部门制定的年度工作计划的绩效目标，做好项目申报、评审等工作，做到依据充分、计算有标准、绩效目标与预算资金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000000"/>
          <w:spacing w:val="0"/>
          <w:sz w:val="32"/>
          <w:szCs w:val="32"/>
          <w:bdr w:val="none" w:color="auto" w:sz="0" w:space="0"/>
          <w:shd w:val="clear" w:fill="FFFFFF"/>
        </w:rPr>
        <w:t>（二）重视预算编制工作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val="0"/>
          <w:bCs w:val="0"/>
          <w:i w:val="0"/>
          <w:iCs w:val="0"/>
          <w:caps w:val="0"/>
          <w:color w:val="000000"/>
          <w:spacing w:val="0"/>
          <w:kern w:val="0"/>
          <w:sz w:val="32"/>
          <w:szCs w:val="32"/>
          <w:bdr w:val="none" w:color="auto" w:sz="0" w:space="0"/>
          <w:shd w:val="clear" w:fill="FFFFFF"/>
          <w:lang w:val="en-US" w:eastAsia="zh-CN" w:bidi="ar"/>
        </w:rPr>
        <w:t>一是预算编制忌闭门造车，预算编制事前应组织各部门结合各股室年度计划编制预算项目建设内容，并交由单位财务部门及单位会审小组审核，对低效、政策过期或调整不适用、绩效目标不明确的项目予以驳回，严格项目经费、政府采购预算编制。二</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费用报账支付时，按照预算规定的费用项目和用途进行资金使用审核、列报支付、财务核算，杜绝超支现象的发生。三是</w:t>
      </w:r>
      <w:r>
        <w:rPr>
          <w:rFonts w:hint="eastAsia" w:ascii="仿宋" w:hAnsi="仿宋" w:eastAsia="仿宋" w:cs="仿宋"/>
          <w:b w:val="0"/>
          <w:bCs w:val="0"/>
          <w:i w:val="0"/>
          <w:iCs w:val="0"/>
          <w:caps w:val="0"/>
          <w:color w:val="000000"/>
          <w:spacing w:val="0"/>
          <w:kern w:val="0"/>
          <w:sz w:val="32"/>
          <w:szCs w:val="32"/>
          <w:bdr w:val="none" w:color="auto" w:sz="0" w:space="0"/>
          <w:shd w:val="clear" w:fill="FFFFFF"/>
          <w:lang w:val="en-US" w:eastAsia="zh-CN" w:bidi="ar"/>
        </w:rPr>
        <w:t>建议派专人与财政部门对接，及时将预算内资金拨付到位，避免资金结余、突击花钱的情况。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000000"/>
          <w:spacing w:val="0"/>
          <w:sz w:val="32"/>
          <w:szCs w:val="32"/>
          <w:bdr w:val="none" w:color="auto" w:sz="0" w:space="0"/>
          <w:shd w:val="clear" w:fill="FFFFFF"/>
        </w:rPr>
        <w:t>（三）严格执行资金管理和项目管理制度。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严格执行资金管理及会计核算制度，建议单位各股室积极参加业务培训，单位财务股岗位重视审核、监督权限，对不符合要求的业务支出或报账票据予以退回、补充资料。二是2022年是财政资金预算管理一体化的第一年，系统运行对会计核算工作有更高的要求，会计岗位基础工作有待进一步加强。三严格执行工程项目管理规定，督促工程项目经办人员和项目实施单位尽快完善项目变更手续及报账资料，项目单位应委托有资质的工程决算中介进行决算审计，未能按照项目管理办法执行审批程序的，一律不许报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1"/>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8"/>
          <w:sz w:val="32"/>
          <w:szCs w:val="32"/>
          <w:bdr w:val="none" w:color="auto" w:sz="0" w:space="0"/>
          <w:shd w:val="clear" w:fill="FFFFFF"/>
        </w:rPr>
        <w:t>（四）</w:t>
      </w:r>
      <w:r>
        <w:rPr>
          <w:rFonts w:hint="eastAsia" w:ascii="仿宋" w:hAnsi="仿宋" w:eastAsia="仿宋" w:cs="仿宋"/>
          <w:b/>
          <w:bCs/>
          <w:i w:val="0"/>
          <w:iCs w:val="0"/>
          <w:caps w:val="0"/>
          <w:color w:val="000000"/>
          <w:spacing w:val="0"/>
          <w:sz w:val="32"/>
          <w:szCs w:val="32"/>
          <w:bdr w:val="none" w:color="auto" w:sz="0" w:space="0"/>
          <w:shd w:val="clear" w:fill="FFFFFF"/>
        </w:rPr>
        <w:t>加快固定资产清理进程，定期进行固定资产盘点。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开展固定资产清查工作，对固定资产进行编码管理，交由相关使用部门开设、注销及保管，同时定期对固定资产进行清查盘点，对固定资产的总账、明细账进行核对，每年至少核对一次，保证账实相符。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000000"/>
          <w:spacing w:val="0"/>
          <w:sz w:val="32"/>
          <w:szCs w:val="32"/>
          <w:bdr w:val="none" w:color="auto" w:sz="0" w:space="0"/>
          <w:shd w:val="clear" w:fill="FFFFFF"/>
        </w:rPr>
        <w:t>（五）及时公开单位</w:t>
      </w:r>
      <w:r>
        <w:rPr>
          <w:rFonts w:hint="eastAsia" w:ascii="仿宋" w:hAnsi="仿宋" w:eastAsia="仿宋" w:cs="仿宋"/>
          <w:b/>
          <w:bCs/>
          <w:i w:val="0"/>
          <w:iCs w:val="0"/>
          <w:caps w:val="0"/>
          <w:color w:val="232323"/>
          <w:spacing w:val="-8"/>
          <w:sz w:val="32"/>
          <w:szCs w:val="32"/>
          <w:bdr w:val="none" w:color="auto" w:sz="0" w:space="0"/>
          <w:shd w:val="clear" w:fill="FFFFFF"/>
        </w:rPr>
        <w:t>预算资金相关信息。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  及时公开单位预算资金相关信息，保证财政预算资金使用的公开、透明</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4F1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2023-09-14T08:44:38Z</dcterms:created>
  <dc:creator>Administrator.pc-201712171005</dc:creator>
  <cp:lastModifiedBy>Administrator</cp:lastModifiedBy>
  <dcterms:modified xsi:type="dcterms:W3CDTF">2023-09-14T08:45:08Z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8763E711DD3B4C85B1A6FE5A45AD2167_12</vt:lpwstr>
  </property>
</Properties>
</file>