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i w:val="0"/>
          <w:iCs w:val="0"/>
          <w:caps w:val="0"/>
          <w:smallCaps w:val="0"/>
          <w:color w:val="333333"/>
          <w:spacing w:val="0"/>
          <w:sz w:val="44"/>
          <w:szCs w:val="44"/>
        </w:rPr>
      </w:pPr>
      <w:r>
        <w:rPr>
          <w:rFonts w:hint="eastAsia" w:ascii="方正小标宋简体" w:hAnsi="方正小标宋简体" w:eastAsia="方正小标宋简体" w:cs="方正小标宋简体"/>
          <w:i w:val="0"/>
          <w:iCs w:val="0"/>
          <w:caps w:val="0"/>
          <w:smallCaps w:val="0"/>
          <w:color w:val="333333"/>
          <w:spacing w:val="0"/>
          <w:sz w:val="44"/>
          <w:szCs w:val="44"/>
          <w:lang w:val="en-US" w:eastAsia="zh-CN"/>
        </w:rPr>
        <w:t>隆回</w:t>
      </w:r>
      <w:r>
        <w:rPr>
          <w:rFonts w:hint="eastAsia" w:ascii="方正小标宋简体" w:hAnsi="方正小标宋简体" w:eastAsia="方正小标宋简体" w:cs="方正小标宋简体"/>
          <w:i w:val="0"/>
          <w:iCs w:val="0"/>
          <w:caps w:val="0"/>
          <w:smallCaps w:val="0"/>
          <w:color w:val="333333"/>
          <w:spacing w:val="0"/>
          <w:sz w:val="44"/>
          <w:szCs w:val="44"/>
        </w:rPr>
        <w:t>县烟花爆竹经营（零售）网点布点规划</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640"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（征求意见稿）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我县烟花爆竹经营（零售）市场秩序，保障人民群众生命财产安全，提升我县烟花爆竹零售店面经营安全管理水平，根据《中华人民共和国大气污染防治法》、《中华人民共和国安全生产法》、《烟花爆竹安全管理条例》（国务院令第455号）、《烟花爆竹经营许可实施办法》（原国家安监总局令第65号）、《烟花爆竹生产经营安全规定》（原国家安监总局令第93号）、《烟花爆竹零售店（点）安全技术规范》（AQ4128-2019</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应急管理厅《强化烟花爆竹源头总量控制推进产业结构调整和转型升级的工作提示函》（“湘应急函〔2025〕125号”）、邵阳市应急管理局《关于加强烟花爆竹零售经营安全监管的通知》等法律法规和文件要求，结合我县实际，特制定《隆回县烟花爆竹经营（零售）网点布点规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iCs w:val="0"/>
          <w:caps w:val="0"/>
          <w:smallCaps w:val="0"/>
          <w:color w:val="333333"/>
          <w:spacing w:val="0"/>
          <w:sz w:val="32"/>
          <w:szCs w:val="32"/>
        </w:rPr>
      </w:pPr>
      <w:r>
        <w:rPr>
          <w:rFonts w:hint="eastAsia" w:ascii="黑体" w:hAnsi="黑体" w:eastAsia="黑体" w:cs="黑体"/>
          <w:i w:val="0"/>
          <w:iCs w:val="0"/>
          <w:caps w:val="0"/>
          <w:smallCaps w:val="0"/>
          <w:color w:val="333333"/>
          <w:spacing w:val="0"/>
          <w:sz w:val="32"/>
          <w:szCs w:val="32"/>
        </w:rPr>
        <w:t>一、布点</w:t>
      </w:r>
      <w:r>
        <w:rPr>
          <w:rFonts w:hint="eastAsia" w:ascii="黑体" w:hAnsi="黑体" w:eastAsia="黑体" w:cs="黑体"/>
          <w:i w:val="0"/>
          <w:iCs w:val="0"/>
          <w:caps w:val="0"/>
          <w:smallCaps w:val="0"/>
          <w:color w:val="333333"/>
          <w:spacing w:val="0"/>
          <w:sz w:val="32"/>
          <w:szCs w:val="32"/>
          <w:lang w:val="en-US" w:eastAsia="zh-CN"/>
        </w:rPr>
        <w:t>规划</w:t>
      </w:r>
      <w:r>
        <w:rPr>
          <w:rFonts w:hint="eastAsia" w:ascii="黑体" w:hAnsi="黑体" w:eastAsia="黑体" w:cs="黑体"/>
          <w:i w:val="0"/>
          <w:iCs w:val="0"/>
          <w:caps w:val="0"/>
          <w:smallCaps w:val="0"/>
          <w:color w:val="333333"/>
          <w:spacing w:val="0"/>
          <w:sz w:val="32"/>
          <w:szCs w:val="32"/>
        </w:rPr>
        <w:t>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坚持“保障安全、统一规划、合理布局、总量控制、适度竞争”原则，严格把关烟花爆竹经营安全准入条件，规范烟花爆竹零售经营行为。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iCs w:val="0"/>
          <w:caps w:val="0"/>
          <w:smallCaps w:val="0"/>
          <w:color w:val="333333"/>
          <w:spacing w:val="0"/>
          <w:sz w:val="32"/>
          <w:szCs w:val="32"/>
        </w:rPr>
      </w:pPr>
      <w:r>
        <w:rPr>
          <w:rFonts w:hint="eastAsia" w:ascii="黑体" w:hAnsi="黑体" w:eastAsia="黑体" w:cs="黑体"/>
          <w:i w:val="0"/>
          <w:iCs w:val="0"/>
          <w:caps w:val="0"/>
          <w:smallCaps w:val="0"/>
          <w:color w:val="333333"/>
          <w:spacing w:val="0"/>
          <w:sz w:val="32"/>
          <w:szCs w:val="32"/>
        </w:rPr>
        <w:t>二、布点</w:t>
      </w:r>
      <w:r>
        <w:rPr>
          <w:rFonts w:hint="eastAsia" w:ascii="黑体" w:hAnsi="黑体" w:eastAsia="黑体" w:cs="黑体"/>
          <w:i w:val="0"/>
          <w:iCs w:val="0"/>
          <w:caps w:val="0"/>
          <w:smallCaps w:val="0"/>
          <w:color w:val="333333"/>
          <w:spacing w:val="0"/>
          <w:sz w:val="32"/>
          <w:szCs w:val="32"/>
          <w:lang w:val="en-US" w:eastAsia="zh-CN"/>
        </w:rPr>
        <w:t>规划</w:t>
      </w:r>
      <w:r>
        <w:rPr>
          <w:rFonts w:hint="eastAsia" w:ascii="黑体" w:hAnsi="黑体" w:eastAsia="黑体" w:cs="黑体"/>
          <w:i w:val="0"/>
          <w:iCs w:val="0"/>
          <w:caps w:val="0"/>
          <w:smallCaps w:val="0"/>
          <w:color w:val="333333"/>
          <w:spacing w:val="0"/>
          <w:sz w:val="32"/>
          <w:szCs w:val="32"/>
        </w:rPr>
        <w:t>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1.严格控制布点总量。（1）根据各乡镇（街道）环境容量、人口数量、风俗习惯、禁止燃放区域设置、环境空气质量等实际情况，参照以往烟花爆竹零售网点分布，合理确定布点数量。全县烟花爆竹零售店总数不</w:t>
      </w:r>
      <w:r>
        <w:rPr>
          <w:rFonts w:ascii="仿宋_GB2312" w:hAnsi="仿宋_GB2312" w:eastAsia="仿宋_GB2312" w:cs="仿宋_GB2312"/>
          <w:sz w:val="32"/>
          <w:szCs w:val="32"/>
          <w:lang w:val="en-US" w:eastAsia="zh-CN"/>
        </w:rPr>
        <w:t>得</w:t>
      </w:r>
      <w:r>
        <w:rPr>
          <w:rFonts w:hint="eastAsia" w:ascii="仿宋_GB2312" w:hAnsi="仿宋_GB2312" w:eastAsia="仿宋_GB2312" w:cs="仿宋_GB2312"/>
          <w:sz w:val="32"/>
          <w:szCs w:val="32"/>
          <w:lang w:val="en-US" w:eastAsia="zh-CN"/>
        </w:rPr>
        <w:t>超过省、市确定的计划数；（2）增补布点办法。原则上在不超过全县总量的基础上酌情增补，退出的计划数收归县应急管理局统筹安排。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2.严禁禁售区域规划布点。不得在县城禁炮区和其它法律法规规定的区域设立烟花爆竹零售店。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3.严格规划乡镇区域布点。各乡镇（街道）在总量控制的基础上，合理规划布点区域。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iCs w:val="0"/>
          <w:caps w:val="0"/>
          <w:smallCaps w:val="0"/>
          <w:color w:val="333333"/>
          <w:spacing w:val="0"/>
          <w:sz w:val="32"/>
          <w:szCs w:val="32"/>
          <w:lang w:val="en-US" w:eastAsia="zh-CN"/>
        </w:rPr>
      </w:pPr>
      <w:r>
        <w:rPr>
          <w:rFonts w:hint="eastAsia" w:ascii="黑体" w:hAnsi="黑体" w:eastAsia="黑体" w:cs="黑体"/>
          <w:i w:val="0"/>
          <w:iCs w:val="0"/>
          <w:caps w:val="0"/>
          <w:smallCaps w:val="0"/>
          <w:color w:val="333333"/>
          <w:spacing w:val="0"/>
          <w:sz w:val="32"/>
          <w:szCs w:val="32"/>
          <w:lang w:val="en-US" w:eastAsia="zh-CN"/>
        </w:rPr>
        <w:t>三、布点规划条件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1.符合2025年10月  日下发的《隆回县烟花爆竹经营（零售）网点布点规划》要求。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2.新选址办证门店原则上为有两个泄爆口的单层独栋砖混结构房屋。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按照“四个一批”的要求，换证后零售场所的最小面积适度提高标准，最大面积不大于200平方米，其周边50米范围内没有其他烟花爆竹零售店，并与学校、幼儿园、医院、集贸市场等人员密集场所和加油站、液化气站等易燃易爆物品经营场所以及文物保护单位等重点建筑物保持100米以上的安全距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4.属于闲置房整改的，除专卖店涉爆口外，所有门都得用砖砌墙进行封闭，楼梯洞口封闭，墙体、门洞符合要求。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5.配有明显的安全警示标志，按规范要求配置消防器材，张贴有烟花爆竹零售店安全管理制度、烟花爆竹零售店安全操作规程。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6.其他选址、平面布置、建筑结构、消防电气、经营行为、安全管理符合《烟花爆竹零售店（点）安全技术规范》(AQ4128-2019)要求。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420" w:leftChars="200" w:right="0"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7.主要负责人经过安全培训合格取得合格证，销售人员经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过安全知识教育并取得培训合格证明。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8.按省市要求购买安全责任险并提供安全责任险票据。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9.签订隆回县烟花爆竹零售业主履行主体责任承诺书和《隆回县烟花爆竹专卖店自愿退出承诺书》。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10.要求符合法律、法规规定的其他条件。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iCs w:val="0"/>
          <w:caps w:val="0"/>
          <w:smallCaps w:val="0"/>
          <w:color w:val="333333"/>
          <w:spacing w:val="0"/>
          <w:sz w:val="32"/>
          <w:szCs w:val="32"/>
          <w:lang w:val="en-US" w:eastAsia="zh-CN"/>
        </w:rPr>
      </w:pPr>
      <w:r>
        <w:rPr>
          <w:rFonts w:hint="eastAsia" w:ascii="黑体" w:hAnsi="黑体" w:eastAsia="黑体" w:cs="黑体"/>
          <w:i w:val="0"/>
          <w:iCs w:val="0"/>
          <w:caps w:val="0"/>
          <w:smallCaps w:val="0"/>
          <w:color w:val="333333"/>
          <w:spacing w:val="0"/>
          <w:sz w:val="32"/>
          <w:szCs w:val="32"/>
          <w:lang w:val="en-US" w:eastAsia="zh-CN"/>
        </w:rPr>
        <w:t>四、布点规划实施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烟花爆竹经营</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零售</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布点规划，由县应急管理局和各乡镇（街道）组织实施。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1.报名登记。各乡镇（街道）按规划控制申请数上报县应急管理局，申请数量原则上不得超规划控制数。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现场审查。申请后15个工作日内由各乡镇（街道）对申请人的经营场所进行安全条件初步察看，对符合安全条件的由乡镇长、街道办主任在申请书上签署意见再上报县应急管理局。申请后20个工作日内由县应急管理局根据乡镇（街道）收集的办证资料进行现场核查，对符合颁证条件的下发“准予受理通知书”；对现场不符合颁证条件或者资料提供不齐全的下达整改指令，经营场所或办证资料未按要求整改到位的下发“不予受理通知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3.培训考核。根据省市统一安排由培训机构组织培训，主要负责人参加省厅组织的资格证考试并取得合格证书，销售人员取得培训机构培训合格证明。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颁发许可证。由乡镇（街道）负责按县应急管理局安排上报资料。资料包括：（1）乡镇长、街道办主任签署意见的申请书；（2）烟花爆竹经营（零售）许可证申请审批表；（3）老零售店提供营业执照（副本）复印件；（4）主要负责人一寸照片2张、主要负责人与店面的整体照片1张；（5）租赁门面的要提供门面租赁合同；（6）主要负责人资格证和销售人员培训合格证明复印件；（7）村（社区）履行烟花爆竹零售店监管责任承诺书和《隆回县烟花爆竹专卖店自愿退出承诺书》；(8)受理通知书；（9）申办人身份证复印件。（10）安责险票据；（11）其他相关资料。县应急管理局审查颁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i w:val="0"/>
          <w:iCs w:val="0"/>
          <w:caps w:val="0"/>
          <w:smallCaps w:val="0"/>
          <w:color w:val="333333"/>
          <w:spacing w:val="0"/>
          <w:sz w:val="32"/>
          <w:szCs w:val="32"/>
          <w:lang w:val="en-US" w:eastAsia="zh-CN"/>
        </w:rPr>
      </w:pPr>
      <w:r>
        <w:rPr>
          <w:rFonts w:hint="eastAsia" w:ascii="黑体" w:hAnsi="黑体" w:eastAsia="黑体" w:cs="黑体"/>
          <w:i w:val="0"/>
          <w:iCs w:val="0"/>
          <w:caps w:val="0"/>
          <w:smallCaps w:val="0"/>
          <w:color w:val="333333"/>
          <w:spacing w:val="0"/>
          <w:sz w:val="32"/>
          <w:szCs w:val="32"/>
          <w:lang w:val="en-US" w:eastAsia="zh-CN"/>
        </w:rPr>
        <w:t>五、布点规划管理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已颁发《烟花爆竹经营（零售）许可证》的（零售）经营店面存在下列行为的一律依法查处，构成关闭取缔情形的一律关闭取缔，涉嫌犯罪的一律依法移交司法部门处理。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1.烟花爆竹经营（零售）店面主要负责人未取得安全知识和管理能力考核合格的（未按期参加复训的按照考核不合格进行管理）；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2.烟花爆竹经营（零售）店面安全条件发生改变不再具备安全经营条件的；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3.烟花爆竹经营（零售）店面销售非法生产、非法经营的烟花爆竹的；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4.烟花爆竹经营（零售）店面销售礼花弹等按照国家规定应由专业燃放人员燃放的；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5.出租、出借、转让、买卖烟花爆竹经营(零售)许可证的；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6.烟花爆竹专卖店将烟花爆竹产品交其它商店、纸马店等销售进行二级批发的；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7.烟花爆竹经营（零售）店面与居民居住场所设置在同一建筑物内，存在“下店上宅”“前店后宅”等情形的；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8.经营者在烟花爆竹经营（零售）店面使用明火的；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9.申请人隐瞒有关情况、提供虚假材料或者以欺骗、贿赂等不正当手段取得烟花爆竹经营许可证的；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10.法律、法规、规章和标准规范规定的其他情形。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i w:val="0"/>
          <w:iCs w:val="0"/>
          <w:caps w:val="0"/>
          <w:smallCaps w:val="0"/>
          <w:color w:val="333333"/>
          <w:spacing w:val="0"/>
          <w:sz w:val="32"/>
          <w:szCs w:val="32"/>
          <w:lang w:val="en-US" w:eastAsia="zh-CN"/>
        </w:rPr>
        <w:t>六、</w:t>
      </w:r>
      <w:r>
        <w:rPr>
          <w:rFonts w:hint="eastAsia" w:ascii="仿宋_GB2312" w:hAnsi="仿宋_GB2312" w:eastAsia="仿宋_GB2312" w:cs="仿宋_GB2312"/>
          <w:sz w:val="32"/>
          <w:szCs w:val="32"/>
          <w:lang w:val="en-US" w:eastAsia="zh-CN"/>
        </w:rPr>
        <w:t>本布点规划自印发之日起施行，法律、法规、政策等如有新规定或因经济社会发展需要变化，将自行调整。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隆回县应急管理局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w:t>
      </w:r>
      <w:r>
        <w:rPr>
          <w:rFonts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smallCaps w:val="0"/>
          <w:color w:val="333333"/>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smallCaps w:val="0"/>
          <w:color w:val="333333"/>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smallCaps w:val="0"/>
          <w:color w:val="333333"/>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smallCaps w:val="0"/>
          <w:color w:val="333333"/>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smallCaps w:val="0"/>
          <w:color w:val="333333"/>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smallCaps w:val="0"/>
          <w:color w:val="333333"/>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smallCaps w:val="0"/>
          <w:color w:val="333333"/>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smallCaps w:val="0"/>
          <w:color w:val="333333"/>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smallCaps w:val="0"/>
          <w:color w:val="333333"/>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b w:val="0"/>
          <w:bCs w:val="0"/>
          <w:i w:val="0"/>
          <w:iCs w:val="0"/>
          <w:caps w:val="0"/>
          <w:smallCaps w:val="0"/>
          <w:color w:val="333333"/>
          <w:spacing w:val="0"/>
          <w:sz w:val="32"/>
          <w:szCs w:val="32"/>
          <w:shd w:val="clear" w:color="auto" w:fill="FFFFFF"/>
        </w:rPr>
      </w:pPr>
      <w:r>
        <w:rPr>
          <w:rFonts w:hint="eastAsia" w:ascii="仿宋_GB2312" w:hAnsi="仿宋_GB2312" w:eastAsia="仿宋_GB2312" w:cs="仿宋_GB2312"/>
          <w:b w:val="0"/>
          <w:bCs w:val="0"/>
          <w:i w:val="0"/>
          <w:iCs w:val="0"/>
          <w:caps w:val="0"/>
          <w:smallCaps w:val="0"/>
          <w:color w:val="333333"/>
          <w:spacing w:val="0"/>
          <w:sz w:val="32"/>
          <w:szCs w:val="32"/>
          <w:shd w:val="clear" w:color="auto" w:fill="FFFFFF"/>
        </w:rPr>
        <w:t>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800" w:firstLineChars="200"/>
        <w:jc w:val="both"/>
        <w:textAlignment w:val="auto"/>
        <w:rPr>
          <w:rFonts w:hint="eastAsia" w:ascii="方正小标宋简体" w:hAnsi="方正小标宋简体" w:eastAsia="方正小标宋简体" w:cs="方正小标宋简体"/>
          <w:b w:val="0"/>
          <w:bCs w:val="0"/>
          <w:i w:val="0"/>
          <w:iCs w:val="0"/>
          <w:caps w:val="0"/>
          <w:smallCaps w:val="0"/>
          <w:color w:val="333333"/>
          <w:spacing w:val="0"/>
          <w:sz w:val="40"/>
          <w:szCs w:val="40"/>
          <w:shd w:val="clear" w:color="auto" w:fill="FFFFFF"/>
        </w:rPr>
      </w:pPr>
      <w:r>
        <w:rPr>
          <w:rFonts w:hint="eastAsia" w:ascii="方正小标宋简体" w:hAnsi="方正小标宋简体" w:eastAsia="方正小标宋简体" w:cs="方正小标宋简体"/>
          <w:b w:val="0"/>
          <w:bCs w:val="0"/>
          <w:i w:val="0"/>
          <w:iCs w:val="0"/>
          <w:caps w:val="0"/>
          <w:smallCaps w:val="0"/>
          <w:color w:val="333333"/>
          <w:spacing w:val="0"/>
          <w:sz w:val="40"/>
          <w:szCs w:val="40"/>
          <w:shd w:val="clear" w:color="auto" w:fill="FFFFFF"/>
          <w:lang w:val="en-US" w:eastAsia="zh-CN"/>
        </w:rPr>
        <w:t>隆回</w:t>
      </w:r>
      <w:r>
        <w:rPr>
          <w:rFonts w:hint="eastAsia" w:ascii="方正小标宋简体" w:hAnsi="方正小标宋简体" w:eastAsia="方正小标宋简体" w:cs="方正小标宋简体"/>
          <w:b w:val="0"/>
          <w:bCs w:val="0"/>
          <w:i w:val="0"/>
          <w:iCs w:val="0"/>
          <w:caps w:val="0"/>
          <w:smallCaps w:val="0"/>
          <w:color w:val="333333"/>
          <w:spacing w:val="0"/>
          <w:sz w:val="40"/>
          <w:szCs w:val="40"/>
          <w:shd w:val="clear" w:color="auto" w:fill="FFFFFF"/>
        </w:rPr>
        <w:t>县202</w:t>
      </w:r>
      <w:r>
        <w:rPr>
          <w:rFonts w:hint="eastAsia" w:ascii="方正小标宋简体" w:hAnsi="方正小标宋简体" w:eastAsia="方正小标宋简体" w:cs="方正小标宋简体"/>
          <w:b w:val="0"/>
          <w:bCs w:val="0"/>
          <w:i w:val="0"/>
          <w:iCs w:val="0"/>
          <w:caps w:val="0"/>
          <w:smallCaps w:val="0"/>
          <w:color w:val="333333"/>
          <w:spacing w:val="0"/>
          <w:sz w:val="40"/>
          <w:szCs w:val="40"/>
          <w:shd w:val="clear" w:color="auto" w:fill="FFFFFF"/>
          <w:lang w:val="en-US" w:eastAsia="zh-CN"/>
        </w:rPr>
        <w:t>5</w:t>
      </w:r>
      <w:r>
        <w:rPr>
          <w:rFonts w:hint="eastAsia" w:ascii="方正小标宋简体" w:hAnsi="方正小标宋简体" w:eastAsia="方正小标宋简体" w:cs="方正小标宋简体"/>
          <w:b w:val="0"/>
          <w:bCs w:val="0"/>
          <w:i w:val="0"/>
          <w:iCs w:val="0"/>
          <w:caps w:val="0"/>
          <w:smallCaps w:val="0"/>
          <w:color w:val="333333"/>
          <w:spacing w:val="0"/>
          <w:sz w:val="40"/>
          <w:szCs w:val="40"/>
          <w:shd w:val="clear" w:color="auto" w:fill="FFFFFF"/>
        </w:rPr>
        <w:t>年烟花爆竹经营</w:t>
      </w:r>
      <w:r>
        <w:rPr>
          <w:rFonts w:hint="default" w:ascii="方正小标宋简体" w:hAnsi="方正小标宋简体" w:eastAsia="方正小标宋简体" w:cs="方正小标宋简体"/>
          <w:b w:val="0"/>
          <w:bCs w:val="0"/>
          <w:i w:val="0"/>
          <w:iCs w:val="0"/>
          <w:caps w:val="0"/>
          <w:smallCaps w:val="0"/>
          <w:color w:val="333333"/>
          <w:spacing w:val="0"/>
          <w:sz w:val="40"/>
          <w:szCs w:val="40"/>
          <w:shd w:val="clear" w:color="auto" w:fill="FFFFFF"/>
        </w:rPr>
        <w:t>（</w:t>
      </w:r>
      <w:r>
        <w:rPr>
          <w:rFonts w:hint="eastAsia" w:ascii="方正小标宋简体" w:hAnsi="方正小标宋简体" w:eastAsia="方正小标宋简体" w:cs="方正小标宋简体"/>
          <w:b w:val="0"/>
          <w:bCs w:val="0"/>
          <w:i w:val="0"/>
          <w:iCs w:val="0"/>
          <w:caps w:val="0"/>
          <w:smallCaps w:val="0"/>
          <w:color w:val="333333"/>
          <w:spacing w:val="0"/>
          <w:sz w:val="40"/>
          <w:szCs w:val="40"/>
          <w:shd w:val="clear" w:color="auto" w:fill="FFFFFF"/>
        </w:rPr>
        <w:t>零售</w:t>
      </w:r>
      <w:r>
        <w:rPr>
          <w:rFonts w:hint="default" w:ascii="方正小标宋简体" w:hAnsi="方正小标宋简体" w:eastAsia="方正小标宋简体" w:cs="方正小标宋简体"/>
          <w:b w:val="0"/>
          <w:bCs w:val="0"/>
          <w:i w:val="0"/>
          <w:iCs w:val="0"/>
          <w:caps w:val="0"/>
          <w:smallCaps w:val="0"/>
          <w:color w:val="333333"/>
          <w:spacing w:val="0"/>
          <w:sz w:val="40"/>
          <w:szCs w:val="40"/>
          <w:shd w:val="clear" w:color="auto" w:fill="FFFFFF"/>
        </w:rPr>
        <w:t>）</w:t>
      </w:r>
      <w:r>
        <w:rPr>
          <w:rFonts w:hint="eastAsia" w:ascii="方正小标宋简体" w:hAnsi="方正小标宋简体" w:eastAsia="方正小标宋简体" w:cs="方正小标宋简体"/>
          <w:b w:val="0"/>
          <w:bCs w:val="0"/>
          <w:i w:val="0"/>
          <w:iCs w:val="0"/>
          <w:caps w:val="0"/>
          <w:smallCaps w:val="0"/>
          <w:color w:val="333333"/>
          <w:spacing w:val="0"/>
          <w:sz w:val="40"/>
          <w:szCs w:val="40"/>
          <w:shd w:val="clear" w:color="auto" w:fill="FFFFFF"/>
        </w:rPr>
        <w:t>布点规划表</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eastAsia="zh-CN"/>
        </w:rPr>
      </w:pPr>
    </w:p>
    <w:p>
      <w:pPr>
        <w:keepNext w:val="0"/>
        <w:keepLines w:val="0"/>
        <w:pageBreakBefore w:val="0"/>
        <w:kinsoku/>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sz w:val="32"/>
          <w:szCs w:val="32"/>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933"/>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tcPr>
          <w:p>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乡镇（街道）</w:t>
            </w:r>
          </w:p>
          <w:p>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名称</w:t>
            </w:r>
          </w:p>
        </w:tc>
        <w:tc>
          <w:tcPr>
            <w:tcW w:w="1933" w:type="dxa"/>
          </w:tcPr>
          <w:p>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规划经营</w:t>
            </w:r>
          </w:p>
          <w:p>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网点数量</w:t>
            </w:r>
          </w:p>
        </w:tc>
        <w:tc>
          <w:tcPr>
            <w:tcW w:w="2131" w:type="dxa"/>
          </w:tcPr>
          <w:p>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乡镇（街道）名称</w:t>
            </w:r>
          </w:p>
        </w:tc>
        <w:tc>
          <w:tcPr>
            <w:tcW w:w="2131" w:type="dxa"/>
          </w:tcPr>
          <w:p>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规划经营</w:t>
            </w:r>
          </w:p>
          <w:p>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网点数量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花门街道</w:t>
            </w:r>
          </w:p>
        </w:tc>
        <w:tc>
          <w:tcPr>
            <w:tcW w:w="1933"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35</w:t>
            </w:r>
          </w:p>
        </w:tc>
        <w:tc>
          <w:tcPr>
            <w:tcW w:w="2131"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司门前镇</w:t>
            </w:r>
          </w:p>
        </w:tc>
        <w:tc>
          <w:tcPr>
            <w:tcW w:w="2131"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桃花坪街道</w:t>
            </w:r>
          </w:p>
        </w:tc>
        <w:tc>
          <w:tcPr>
            <w:tcW w:w="1933"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46</w:t>
            </w:r>
          </w:p>
        </w:tc>
        <w:tc>
          <w:tcPr>
            <w:tcW w:w="2131"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羊古坳镇</w:t>
            </w:r>
          </w:p>
        </w:tc>
        <w:tc>
          <w:tcPr>
            <w:tcW w:w="2131"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山界回族乡</w:t>
            </w:r>
          </w:p>
        </w:tc>
        <w:tc>
          <w:tcPr>
            <w:tcW w:w="1933"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32</w:t>
            </w:r>
          </w:p>
        </w:tc>
        <w:tc>
          <w:tcPr>
            <w:tcW w:w="2131"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七江镇</w:t>
            </w:r>
          </w:p>
        </w:tc>
        <w:tc>
          <w:tcPr>
            <w:tcW w:w="2131"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三阁司镇</w:t>
            </w:r>
          </w:p>
        </w:tc>
        <w:tc>
          <w:tcPr>
            <w:tcW w:w="1933"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45</w:t>
            </w:r>
          </w:p>
        </w:tc>
        <w:tc>
          <w:tcPr>
            <w:tcW w:w="2131"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六都寨镇</w:t>
            </w:r>
          </w:p>
        </w:tc>
        <w:tc>
          <w:tcPr>
            <w:tcW w:w="2131"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南岳庙镇</w:t>
            </w:r>
          </w:p>
        </w:tc>
        <w:tc>
          <w:tcPr>
            <w:tcW w:w="1933"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20</w:t>
            </w:r>
          </w:p>
        </w:tc>
        <w:tc>
          <w:tcPr>
            <w:tcW w:w="2131"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荷田乡</w:t>
            </w:r>
          </w:p>
        </w:tc>
        <w:tc>
          <w:tcPr>
            <w:tcW w:w="2131"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西洋江镇</w:t>
            </w:r>
          </w:p>
        </w:tc>
        <w:tc>
          <w:tcPr>
            <w:tcW w:w="1933"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29</w:t>
            </w:r>
          </w:p>
        </w:tc>
        <w:tc>
          <w:tcPr>
            <w:tcW w:w="2131"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荷香桥镇</w:t>
            </w:r>
          </w:p>
        </w:tc>
        <w:tc>
          <w:tcPr>
            <w:tcW w:w="2131"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横板桥镇</w:t>
            </w:r>
          </w:p>
        </w:tc>
        <w:tc>
          <w:tcPr>
            <w:tcW w:w="1933"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33</w:t>
            </w:r>
          </w:p>
        </w:tc>
        <w:tc>
          <w:tcPr>
            <w:tcW w:w="2131"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周旺镇</w:t>
            </w:r>
          </w:p>
        </w:tc>
        <w:tc>
          <w:tcPr>
            <w:tcW w:w="2131"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大水田乡</w:t>
            </w:r>
          </w:p>
        </w:tc>
        <w:tc>
          <w:tcPr>
            <w:tcW w:w="1933"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14</w:t>
            </w:r>
          </w:p>
        </w:tc>
        <w:tc>
          <w:tcPr>
            <w:tcW w:w="2131"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北山镇</w:t>
            </w:r>
          </w:p>
        </w:tc>
        <w:tc>
          <w:tcPr>
            <w:tcW w:w="2131"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麻塘山乡</w:t>
            </w:r>
          </w:p>
        </w:tc>
        <w:tc>
          <w:tcPr>
            <w:tcW w:w="1933"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12</w:t>
            </w:r>
          </w:p>
        </w:tc>
        <w:tc>
          <w:tcPr>
            <w:tcW w:w="2131"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滩头镇</w:t>
            </w:r>
          </w:p>
        </w:tc>
        <w:tc>
          <w:tcPr>
            <w:tcW w:w="2131"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虎形山瑶族乡</w:t>
            </w:r>
          </w:p>
        </w:tc>
        <w:tc>
          <w:tcPr>
            <w:tcW w:w="1933"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14</w:t>
            </w:r>
          </w:p>
        </w:tc>
        <w:tc>
          <w:tcPr>
            <w:tcW w:w="2131"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岩口镇</w:t>
            </w:r>
          </w:p>
        </w:tc>
        <w:tc>
          <w:tcPr>
            <w:tcW w:w="2131"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小沙江镇</w:t>
            </w:r>
          </w:p>
        </w:tc>
        <w:tc>
          <w:tcPr>
            <w:tcW w:w="1933"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15</w:t>
            </w:r>
          </w:p>
        </w:tc>
        <w:tc>
          <w:tcPr>
            <w:tcW w:w="2131"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高</w:t>
            </w:r>
            <w:bookmarkStart w:id="0" w:name="_GoBack"/>
            <w:r>
              <w:rPr>
                <w:rFonts w:hint="eastAsia" w:ascii="仿宋_GB2312" w:hAnsi="仿宋_GB2312" w:eastAsia="仿宋_GB2312" w:cs="仿宋_GB2312"/>
                <w:i w:val="0"/>
                <w:iCs w:val="0"/>
                <w:color w:val="000000"/>
                <w:kern w:val="0"/>
                <w:sz w:val="32"/>
                <w:szCs w:val="32"/>
                <w:u w:val="none"/>
                <w:lang w:val="en-US" w:eastAsia="zh-CN"/>
              </w:rPr>
              <w:t>平</w:t>
            </w:r>
            <w:bookmarkEnd w:id="0"/>
            <w:r>
              <w:rPr>
                <w:rFonts w:hint="eastAsia" w:ascii="仿宋_GB2312" w:hAnsi="仿宋_GB2312" w:eastAsia="仿宋_GB2312" w:cs="仿宋_GB2312"/>
                <w:i w:val="0"/>
                <w:iCs w:val="0"/>
                <w:color w:val="000000"/>
                <w:kern w:val="0"/>
                <w:sz w:val="32"/>
                <w:szCs w:val="32"/>
                <w:u w:val="none"/>
                <w:lang w:val="en-US" w:eastAsia="zh-CN"/>
              </w:rPr>
              <w:t>镇</w:t>
            </w:r>
          </w:p>
        </w:tc>
        <w:tc>
          <w:tcPr>
            <w:tcW w:w="2131"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金石桥镇</w:t>
            </w:r>
          </w:p>
        </w:tc>
        <w:tc>
          <w:tcPr>
            <w:tcW w:w="1933"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34</w:t>
            </w:r>
          </w:p>
        </w:tc>
        <w:tc>
          <w:tcPr>
            <w:tcW w:w="2131" w:type="dxa"/>
            <w:tcBorders>
              <w:lef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罗洪镇</w:t>
            </w:r>
          </w:p>
        </w:tc>
        <w:tc>
          <w:tcPr>
            <w:tcW w:w="2131"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rPr>
              <w:t>鸭田镇</w:t>
            </w:r>
          </w:p>
        </w:tc>
        <w:tc>
          <w:tcPr>
            <w:tcW w:w="1933" w:type="dxa"/>
            <w:tcBorders>
              <w:lef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i w:val="0"/>
                <w:iCs w:val="0"/>
                <w:color w:val="000000"/>
                <w:kern w:val="0"/>
                <w:sz w:val="32"/>
                <w:szCs w:val="32"/>
                <w:u w:val="none"/>
                <w:lang w:val="en-US" w:eastAsia="zh-CN"/>
              </w:rPr>
              <w:t>15</w:t>
            </w:r>
          </w:p>
        </w:tc>
        <w:tc>
          <w:tcPr>
            <w:tcW w:w="2131" w:type="dxa"/>
            <w:tcBorders>
              <w:left w:val="single" w:color="auto" w:sz="4" w:space="0"/>
            </w:tcBorders>
          </w:tcPr>
          <w:p>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总数</w:t>
            </w:r>
          </w:p>
        </w:tc>
        <w:tc>
          <w:tcPr>
            <w:tcW w:w="2131" w:type="dxa"/>
            <w:tcBorders>
              <w:left w:val="single" w:color="auto" w:sz="4" w:space="0"/>
            </w:tcBorders>
          </w:tcPr>
          <w:p>
            <w:pPr>
              <w:keepNext w:val="0"/>
              <w:keepLines w:val="0"/>
              <w:widowControl/>
              <w:suppressLineNumbers w:val="0"/>
              <w:spacing w:before="0" w:beforeAutospacing="0" w:after="0" w:afterAutospacing="0"/>
              <w:ind w:right="0"/>
              <w:jc w:val="center"/>
              <w:rPr>
                <w:rFonts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741</w:t>
            </w:r>
          </w:p>
        </w:tc>
      </w:tr>
    </w:tbl>
    <w:p>
      <w:pPr>
        <w:keepNext w:val="0"/>
        <w:keepLines w:val="0"/>
        <w:widowControl/>
        <w:suppressLineNumbers w:val="0"/>
        <w:spacing w:before="0" w:beforeAutospacing="0" w:after="0" w:afterAutospacing="0"/>
        <w:ind w:left="0" w:right="0"/>
        <w:jc w:val="left"/>
        <w:rPr>
          <w:rFonts w:hint="eastAsia"/>
        </w:rPr>
      </w:pPr>
    </w:p>
    <w:sectPr>
      <w:footerReference r:id="rId3" w:type="default"/>
      <w:pgSz w:w="11906" w:h="16838"/>
      <w:pgMar w:top="1440" w:right="12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黑体"/>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Lucida Sans">
    <w:altName w:val="DejaVu Sans"/>
    <w:panose1 w:val="020B0602030504020204"/>
    <w:charset w:val="00"/>
    <w:family w:val="auto"/>
    <w:pitch w:val="default"/>
    <w:sig w:usb0="00000000"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7620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76200" cy="131433"/>
                      </a:xfrm>
                      <a:prstGeom prst="rect">
                        <a:avLst/>
                      </a:prstGeom>
                      <a:noFill/>
                      <a:ln w="6350" cap="flat" cmpd="sng">
                        <a:noFill/>
                        <a:prstDash val="solid"/>
                        <a:round/>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10.35pt;width:6pt;mso-position-horizontal:center;mso-position-horizontal-relative:margin;mso-wrap-style:none;z-index:1024;mso-width-relative:page;mso-height-relative:page;" filled="f" stroked="f" coordsize="21600,21600" o:gfxdata="UEsFBgAAAAAAAAAAAAAAAAAAAAAAAFBLAwQKAAAAAACHTuJAAAAAAAAAAAAAAAAABAAAAGRycy9Q&#10;SwMEFAAAAAgAh07iQMVX4cfVAAAAAwEAAA8AAABkcnMvZG93bnJldi54bWxNj8FOwzAQRO9I/IO1&#10;SFwqajcHQCFODyBAQvRAqJC4ufE2jhqvQ+wmpV/PlgtcRhrNauZtsTz4Tow4xDaQhsVcgUCqg22p&#10;0bB+f7y6BRGTIWu6QKjhGyMsy/OzwuQ2TPSGY5UawSUUc6PBpdTnUsbaoTdxHnokzrZh8CaxHRpp&#10;BzNxue9kptS19KYlXnCmx3uH9a7aew2vD0+fHzP3orLVcbYNU7Uev553Wl9eLNQdiISH9HcMJ3xG&#10;h5KZNmFPNopOAz+SfvWUZew2GjJ1A7Is5H/28gdQSwMEFAAAAAgAh07iQCs2VkboAQAArQMAAA4A&#10;AABkcnMvZTJvRG9jLnhtbK1TS44TMRDdI3EHy3vSyQQCaqUzQkSDkBCMNHCAittOW/JPLifd4QBw&#10;A1Zs2HOunIOyO58R7BAb9yu7/Fyv6vXydrCG7WVE7V3DZ5MpZ9IJ32q3bfjnT3fPXnGGCVwLxjvZ&#10;8INEfrt6+mTZh1re+M6bVkZGJA7rPjS8SynUVYWikxZw4oN0dKh8tJAojNuqjdATuzXVzXS6qHof&#10;2xC9kIi0ux4P+arwKyVF+qgUysRMw6m2VNZY1k1eq9US6m2E0GlxKgP+oQoL2tGjF6o1JGC7qP+i&#10;slpEj16lifC28kppIYsGUjOb/qHmoYMgixZqDoZLm/D/0YoP+/vIdEuz48yBpREdv387/vh1/PmV&#10;zXJ7+oA1ZT2E+3iKkGDWOqho85dUsKG09HBpqRwSE7T5ckFT4kzQyWw+ez6fZ8rqejdETG+ltyyD&#10;hkcaWOkj7N9jGlPPKfkp5++0MbQPtXGsb/hi/iLTA1lHGUgEbSAx6LaF5lF+plkDdmwP5AX0Rrfj&#10;9KPfuXZ8yjgqLgseJWaUhs1AhxlufHugZpHbqdLOxy+c9eSchjuyNmfmnaPBZJOdQTyDzRmAE3Sx&#10;4VToCN8kihQYJIJdiHrbEfcYZ5EYXu8SaS6tuNZwqpI8UZp58m823eO4ZF3/st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xVfhx9UAAAADAQAADwAAAAAAAAABACAAAAA4AAAAZHJzL2Rvd25yZXYu&#10;eG1sUEsBAhQAFAAAAAgAh07iQCs2VkboAQAArQMAAA4AAAAAAAAAAQAgAAAAOgEAAGRycy9lMm9E&#10;b2MueG1sUEsFBgAAAAAGAAYAWQEAAJQFAAAAAA==&#10;">
              <v:fill on="f" focussize="0,0"/>
              <v:stroke on="f" weight="0.5pt" joinstyle="round"/>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BFF12FD0"/>
    <w:rsid w:val="D7B79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11"/>
    <w:qFormat/>
    <w:uiPriority w:val="0"/>
    <w:pPr>
      <w:spacing w:before="0" w:beforeAutospacing="1" w:after="0" w:afterAutospacing="1"/>
      <w:jc w:val="left"/>
      <w:outlineLvl w:val="0"/>
    </w:pPr>
    <w:rPr>
      <w:rFonts w:ascii="宋体" w:hAnsi="宋体" w:eastAsia="宋体" w:cs="宋体"/>
      <w:b/>
      <w:bCs/>
      <w:kern w:val="44"/>
      <w:sz w:val="48"/>
      <w:szCs w:val="48"/>
      <w:lang w:val="en-US" w:eastAsia="zh-CN"/>
    </w:rPr>
  </w:style>
  <w:style w:type="paragraph" w:styleId="3">
    <w:name w:val="heading 2"/>
    <w:basedOn w:val="1"/>
    <w:next w:val="1"/>
    <w:link w:val="12"/>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3"/>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Hyperlink"/>
    <w:basedOn w:val="9"/>
    <w:qFormat/>
    <w:uiPriority w:val="0"/>
    <w:rPr>
      <w:color w:val="0000FF"/>
      <w:u w:val="single"/>
    </w:rPr>
  </w:style>
  <w:style w:type="character" w:customStyle="1" w:styleId="11">
    <w:name w:val="heading 1 Char"/>
    <w:basedOn w:val="9"/>
    <w:link w:val="2"/>
    <w:qFormat/>
    <w:uiPriority w:val="0"/>
    <w:rPr>
      <w:rFonts w:ascii="宋体" w:hAnsi="宋体" w:eastAsia="宋体" w:cs="宋体"/>
      <w:b/>
      <w:bCs/>
      <w:kern w:val="44"/>
      <w:sz w:val="48"/>
      <w:szCs w:val="48"/>
      <w:lang w:val="en-US" w:eastAsia="zh-CN" w:bidi="ar-SA"/>
    </w:rPr>
  </w:style>
  <w:style w:type="character" w:customStyle="1" w:styleId="12">
    <w:name w:val="heading 2 Char"/>
    <w:basedOn w:val="9"/>
    <w:link w:val="3"/>
    <w:qFormat/>
    <w:uiPriority w:val="0"/>
    <w:rPr>
      <w:rFonts w:ascii="Times New Roman" w:hAnsi="Calibri" w:eastAsia="黑体" w:cs="Arial"/>
      <w:b/>
      <w:bCs/>
      <w:kern w:val="2"/>
      <w:sz w:val="32"/>
      <w:szCs w:val="32"/>
      <w:lang w:val="en-US" w:eastAsia="zh-CN" w:bidi="ar-SA"/>
    </w:rPr>
  </w:style>
  <w:style w:type="character" w:customStyle="1" w:styleId="13">
    <w:name w:val="heading 3 Char"/>
    <w:basedOn w:val="9"/>
    <w:link w:val="4"/>
    <w:qFormat/>
    <w:uiPriority w:val="0"/>
    <w:rPr>
      <w:rFonts w:ascii="Calibri" w:hAnsi="Calibri" w:eastAsia="宋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true">
          <a:gsLst>
            <a:gs pos="0">
              <a:schemeClr val="phClr">
                <a:lumOff val="17500"/>
              </a:schemeClr>
            </a:gs>
            <a:gs pos="100000">
              <a:schemeClr val="phClr"/>
            </a:gs>
          </a:gsLst>
          <a:lin ang="2700000" scaled="true"/>
        </a:gradFill>
        <a:gradFill rotWithShape="true">
          <a:gsLst>
            <a:gs pos="0">
              <a:schemeClr val="phClr">
                <a:hueOff val="-2520000"/>
              </a:schemeClr>
            </a:gs>
            <a:gs pos="100000">
              <a:schemeClr val="phClr"/>
            </a:gs>
          </a:gsLst>
          <a:lin ang="2700000" scaled="true"/>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true">
            <a:gsLst>
              <a:gs pos="0">
                <a:schemeClr val="phClr">
                  <a:hueOff val="-4200000"/>
                </a:schemeClr>
              </a:gs>
              <a:gs pos="100000">
                <a:schemeClr val="phClr"/>
              </a:gs>
            </a:gsLst>
            <a:lin ang="2700000" scaled="true"/>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0</Words>
  <Characters>2074</Characters>
  <Lines>0</Lines>
  <Paragraphs>61</Paragraphs>
  <TotalTime>0</TotalTime>
  <ScaleCrop>false</ScaleCrop>
  <LinksUpToDate>false</LinksUpToDate>
  <CharactersWithSpaces>2766</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2025-09-08T19:58:00Z</dcterms:created>
  <dc:creator>YJlecoo</dc:creator>
  <cp:lastModifiedBy>lh110</cp:lastModifiedBy>
  <cp:lastPrinted>2025-10-09T16:35:00Z</cp:lastPrinted>
  <dcterms:modified xsi:type="dcterms:W3CDTF">2025-10-13T09:33:45Z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12BAB251B8A542B190DEAE8B1EDB84AC_13</vt:lpwstr>
  </property>
  <property fmtid="{D5CDD505-2E9C-101B-9397-08002B2CF9AE}" pid="4" name="KSOTemplateDocerSaveRecord">
    <vt:lpwstr>eyJoZGlkIjoiZmZmOTExNjExOTNhMjA1MDU5NmQwMGFlZjBmNDZkMzMiLCJ1c2VySWQiOiIyNjE2OTc5MTkifQ==</vt:lpwstr>
  </property>
</Properties>
</file>