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7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672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03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隆回县中建设项目事务中心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6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25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6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56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收集整理相关重点建设项目相关政策及信息，指导和协调全县重点建设项目前期准备工作，负责重点项目的整理，包装、工程管理及资金管理，参与县域范围内各项规划的编制、土地储备、土地出让转让及其他经营收入使用计划的编制、上报；负责重点项目的本级和上级配套资金筹集和拨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7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93667.55</w:t>
            </w: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93667.55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552" w:type="dxa"/>
            <w:gridSpan w:val="2"/>
            <w:noWrap w:val="0"/>
            <w:vAlign w:val="center"/>
          </w:tcPr>
          <w:p>
            <w:pPr>
              <w:spacing w:line="560" w:lineRule="exact"/>
              <w:ind w:firstLine="315" w:firstLineChars="15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其他收入</w:t>
            </w:r>
          </w:p>
        </w:tc>
        <w:tc>
          <w:tcPr>
            <w:tcW w:w="1000" w:type="dxa"/>
            <w:gridSpan w:val="2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10411.52</w:t>
            </w:r>
          </w:p>
        </w:tc>
        <w:tc>
          <w:tcPr>
            <w:tcW w:w="1559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83256.03</w:t>
            </w:r>
          </w:p>
        </w:tc>
        <w:tc>
          <w:tcPr>
            <w:tcW w:w="49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709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93667.55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0.2</w:t>
            </w:r>
          </w:p>
        </w:tc>
        <w:tc>
          <w:tcPr>
            <w:tcW w:w="1559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993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9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709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3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万元，实际采购金额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74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2021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20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10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10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41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ind w:firstLine="105" w:firstLineChars="50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、</w:t>
            </w:r>
            <w:r>
              <w:rPr>
                <w:rFonts w:hint="eastAsia" w:ascii="楷体" w:hAnsi="楷体" w:eastAsia="楷体" w:cs="楷体"/>
                <w:szCs w:val="21"/>
              </w:rPr>
              <w:t>严格按照县委、县政府下达的工作任务，抓好融资申贷，做好全年隐性债务化解任务。  2、推进重点项目工程的建设工作和资金拨付工作。3、加大资产整合力度盘活存量土地资源，做好县城行政事业单位办公楼、门面国有资产归集工作。4、加快平台公司的实体化转型工作推进。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5、加强县重点项目工程的进度推进和工程质量监管。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69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534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7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1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eastAsia="zh-CN"/>
        </w:rPr>
        <w:t>王海波</w:t>
      </w:r>
      <w:r>
        <w:rPr>
          <w:rFonts w:ascii="宋体" w:hAnsi="宋体"/>
          <w:szCs w:val="21"/>
        </w:rPr>
        <w:t xml:space="preserve">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18307395580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04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>22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600" w:lineRule="exact"/>
        <w:jc w:val="center"/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  <w:lang w:eastAsia="zh-CN"/>
        </w:rPr>
        <w:t>隆回县重点建设项目事务中心</w:t>
      </w:r>
    </w:p>
    <w:p>
      <w:pPr>
        <w:spacing w:line="600" w:lineRule="exact"/>
        <w:jc w:val="center"/>
        <w:rPr>
          <w:rFonts w:eastAsia="仿宋_GB2312"/>
          <w:b w:val="0"/>
          <w:bCs/>
          <w:sz w:val="40"/>
          <w:szCs w:val="40"/>
        </w:rPr>
      </w:pPr>
      <w:r>
        <w:rPr>
          <w:rFonts w:hint="eastAsia" w:ascii="黑体" w:hAnsi="黑体" w:eastAsia="黑体" w:cs="黑体"/>
          <w:b w:val="0"/>
          <w:bCs/>
          <w:kern w:val="0"/>
          <w:sz w:val="44"/>
          <w:szCs w:val="44"/>
        </w:rPr>
        <w:t>部门整体支出绩效自评报告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隆回县</w:t>
      </w:r>
      <w:r>
        <w:rPr>
          <w:rFonts w:hint="eastAsia" w:eastAsia="仿宋_GB2312"/>
          <w:sz w:val="32"/>
          <w:szCs w:val="32"/>
          <w:lang w:eastAsia="zh-CN"/>
        </w:rPr>
        <w:t>重点建设项目事务中心为</w:t>
      </w:r>
      <w:r>
        <w:rPr>
          <w:rFonts w:hint="eastAsia" w:eastAsia="仿宋_GB2312"/>
          <w:sz w:val="32"/>
          <w:szCs w:val="32"/>
        </w:rPr>
        <w:t>隆回县发展和改革局管理</w:t>
      </w:r>
      <w:r>
        <w:rPr>
          <w:rFonts w:hint="eastAsia" w:eastAsia="仿宋_GB2312"/>
          <w:sz w:val="32"/>
          <w:szCs w:val="32"/>
          <w:lang w:eastAsia="zh-CN"/>
        </w:rPr>
        <w:t>的</w:t>
      </w:r>
      <w:r>
        <w:rPr>
          <w:rFonts w:hint="eastAsia" w:eastAsia="仿宋_GB2312"/>
          <w:sz w:val="32"/>
          <w:szCs w:val="32"/>
        </w:rPr>
        <w:t>正科级公益事业单位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hint="eastAsia" w:eastAsia="仿宋_GB2312"/>
          <w:sz w:val="32"/>
          <w:szCs w:val="32"/>
        </w:rPr>
        <w:t>下设</w:t>
      </w:r>
      <w:r>
        <w:rPr>
          <w:rFonts w:hint="eastAsia" w:ascii="仿宋_GB2312" w:hAnsi="仿宋_GB2312" w:eastAsia="仿宋_GB2312" w:cs="仿宋_GB2312"/>
          <w:color w:val="000000" w:themeColor="text1"/>
          <w:spacing w:val="0"/>
          <w:w w:val="100"/>
          <w:position w:val="0"/>
          <w:sz w:val="32"/>
          <w:szCs w:val="32"/>
          <w14:textFill>
            <w14:solidFill>
              <w14:schemeClr w14:val="tx1"/>
            </w14:solidFill>
          </w14:textFill>
        </w:rPr>
        <w:t>综合部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财务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部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投融资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事务部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资产</w:t>
      </w:r>
      <w:r>
        <w:rPr>
          <w:rFonts w:hint="eastAsia" w:ascii="仿宋_GB2312" w:hAnsi="仿宋" w:eastAsia="仿宋_GB2312"/>
          <w:sz w:val="32"/>
          <w:szCs w:val="32"/>
        </w:rPr>
        <w:t>开发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事务部</w:t>
      </w:r>
      <w:r>
        <w:rPr>
          <w:rFonts w:hint="eastAsia" w:eastAsia="仿宋_GB2312"/>
          <w:sz w:val="32"/>
          <w:szCs w:val="32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项目一部</w:t>
      </w:r>
      <w:r>
        <w:rPr>
          <w:rFonts w:hint="eastAsia" w:eastAsia="仿宋_GB2312"/>
          <w:sz w:val="32"/>
          <w:szCs w:val="32"/>
          <w:lang w:eastAsia="zh-CN"/>
        </w:rPr>
        <w:t>、</w:t>
      </w:r>
      <w:r>
        <w:rPr>
          <w:rFonts w:hint="eastAsia" w:ascii="仿宋_GB2312" w:hAnsi="仿宋" w:eastAsia="仿宋_GB2312"/>
          <w:sz w:val="32"/>
          <w:szCs w:val="32"/>
        </w:rPr>
        <w:t>工程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项目二部、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工程监管事务部</w:t>
      </w:r>
      <w:r>
        <w:rPr>
          <w:rFonts w:hint="eastAsia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本单位编制人数</w:t>
      </w:r>
      <w:r>
        <w:rPr>
          <w:rFonts w:hint="eastAsia" w:eastAsia="仿宋_GB2312"/>
          <w:sz w:val="32"/>
          <w:szCs w:val="32"/>
          <w:lang w:val="en-US" w:eastAsia="zh-CN"/>
        </w:rPr>
        <w:t>26</w:t>
      </w:r>
      <w:r>
        <w:rPr>
          <w:rFonts w:hint="eastAsia" w:eastAsia="仿宋_GB2312"/>
          <w:sz w:val="32"/>
          <w:szCs w:val="32"/>
        </w:rPr>
        <w:t>人，实际人数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 xml:space="preserve">人（其中在职 </w:t>
      </w:r>
      <w:r>
        <w:rPr>
          <w:rFonts w:hint="eastAsia" w:eastAsia="仿宋_GB2312"/>
          <w:sz w:val="32"/>
          <w:szCs w:val="32"/>
          <w:lang w:val="en-US" w:eastAsia="zh-CN"/>
        </w:rPr>
        <w:t>22</w:t>
      </w:r>
      <w:r>
        <w:rPr>
          <w:rFonts w:hint="eastAsia" w:eastAsia="仿宋_GB2312"/>
          <w:sz w:val="32"/>
          <w:szCs w:val="32"/>
        </w:rPr>
        <w:t>人，离退休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r>
        <w:rPr>
          <w:rFonts w:hint="eastAsia" w:eastAsia="仿宋_GB2312"/>
          <w:sz w:val="32"/>
          <w:szCs w:val="32"/>
        </w:rPr>
        <w:t>人），固定资产53万元。</w:t>
      </w:r>
      <w:r>
        <w:rPr>
          <w:rFonts w:hint="eastAsia" w:eastAsia="仿宋_GB2312"/>
          <w:sz w:val="32"/>
          <w:szCs w:val="32"/>
          <w:lang w:eastAsia="zh-CN"/>
        </w:rPr>
        <w:t>部门主要职能：</w:t>
      </w:r>
      <w:r>
        <w:rPr>
          <w:rFonts w:hint="eastAsia" w:eastAsia="仿宋_GB2312"/>
          <w:sz w:val="32"/>
          <w:szCs w:val="32"/>
        </w:rPr>
        <w:t>负责项目资料的整理、包装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负责项目的融资</w:t>
      </w:r>
      <w:r>
        <w:rPr>
          <w:rFonts w:hint="eastAsia" w:eastAsia="仿宋_GB2312"/>
          <w:sz w:val="32"/>
          <w:szCs w:val="32"/>
          <w:lang w:eastAsia="zh-CN"/>
        </w:rPr>
        <w:t>、申贷工作；</w:t>
      </w:r>
      <w:r>
        <w:rPr>
          <w:rFonts w:hint="eastAsia" w:eastAsia="仿宋_GB2312"/>
          <w:sz w:val="32"/>
          <w:szCs w:val="32"/>
        </w:rPr>
        <w:t>负责项目的工程管理和资金管理</w:t>
      </w:r>
      <w:r>
        <w:rPr>
          <w:rFonts w:hint="eastAsia" w:eastAsia="仿宋_GB2312"/>
          <w:sz w:val="32"/>
          <w:szCs w:val="32"/>
          <w:lang w:eastAsia="zh-CN"/>
        </w:rPr>
        <w:t>；</w:t>
      </w:r>
      <w:r>
        <w:rPr>
          <w:rFonts w:hint="eastAsia" w:eastAsia="仿宋_GB2312"/>
          <w:sz w:val="32"/>
          <w:szCs w:val="32"/>
        </w:rPr>
        <w:t>负责项目的本级财政配套资金的安排和上级配套资金的筹集</w:t>
      </w:r>
      <w:r>
        <w:rPr>
          <w:rFonts w:hint="eastAsia" w:eastAsia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年基本支出：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185.99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万元，其中：工资福利支出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168.04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商品和服务支出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17.95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" w:leftChars="0" w:firstLine="64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pStyle w:val="2"/>
        <w:numPr>
          <w:ilvl w:val="0"/>
          <w:numId w:val="0"/>
        </w:numPr>
        <w:ind w:firstLine="640" w:firstLineChars="200"/>
      </w:pP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2021年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项目支出 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93481.55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万元，主要用于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县城专项交通提质改造工程和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县城公共基础设施建设资金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、以及政府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债务化解资金支出。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-18" w:leftChars="0" w:firstLine="64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1．因公出国（境）费用；因公出国（境）费用；因公出国（境）费预算数为0万元，决算数为0万元，因公出国（境）0批次0人次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2．公务接待费；公务接待费为0.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2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万元，公务接待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8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批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50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人次。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 xml:space="preserve"> 3．公务用车购置及运行费公务用车购置费为0，公务用车运行费为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0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万元，202</w:t>
      </w:r>
      <w:r>
        <w:rPr>
          <w:rFonts w:hint="eastAsia" w:eastAsia="仿宋_GB2312" w:cs="Times New Roman"/>
          <w:kern w:val="2"/>
          <w:sz w:val="32"/>
          <w:szCs w:val="32"/>
          <w:lang w:val="en-US" w:eastAsia="zh-CN" w:bidi="ar-SA"/>
        </w:rPr>
        <w:t>1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年公务车辆保有0辆，用车支出为转公车平台前的车辆费用。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2021年，县重点项目中心严格按照年初县委、县政府下达的重点项目任务要求和“十四五”目标，切实转变发展思路，真抓实干、攻坚克难，统筹疫情防控和经济发展，努力创新工作方式，扎实推进各项工作。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资金管理和使用：财务部严格按照县</w:t>
      </w:r>
      <w:bookmarkStart w:id="0" w:name="_GoBack"/>
      <w:bookmarkEnd w:id="0"/>
      <w:r>
        <w:rPr>
          <w:rFonts w:hint="eastAsia" w:eastAsia="仿宋_GB2312"/>
          <w:sz w:val="32"/>
          <w:szCs w:val="32"/>
          <w:lang w:val="en-US" w:eastAsia="zh-CN"/>
        </w:rPr>
        <w:t>级财政局的指导，按时按量缴纳县财政下达各级任务，严格各项财务制度和报账审批程序，尤其是我单位大额专项资金较多，财务人员严格要求各部门，合法合规拨付使用各项专项资金，做到专款专用。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预决算工作：财务部及时做好年初预算工作及政府政务公开，年终做好单位结算工作。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经费控制：我单位实行开源节流政策，去年疫情各行业都不是很景气，中心严格各项经费支出，保运转，保民生，三公经费明显减少，严格按照年初预算进行开支。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四、存在的问题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的工作，我们深感任务多、责任重、压力大、差距远。财务管理有待进一步提升，资金拨付使用进一步规范，财政部门下达的各类报表指标有待进一步学习，学懂弄懂，培养后备人才，平时增加中心财务人员培训次数，工作中加强与单位领导的沟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b/>
          <w:bCs/>
          <w:sz w:val="32"/>
          <w:szCs w:val="32"/>
          <w:lang w:val="en-US" w:eastAsia="zh-CN"/>
        </w:rPr>
        <w:t>五、改进措施和有关建议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进一步加强财务人员的业务培训，储备后备人才，完善财务制度和资金拨付流程，加强财务管理，提高单位预算质量，严格三公经费支出，杜绝挪用和滥用各项经费，安排好专人管理好中心的各项国有资产。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  <w:lang w:val="en-US" w:eastAsia="zh-CN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701" w:right="1417" w:bottom="1418" w:left="1417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054D05C"/>
    <w:multiLevelType w:val="singleLevel"/>
    <w:tmpl w:val="F054D05C"/>
    <w:lvl w:ilvl="0" w:tentative="0">
      <w:start w:val="2"/>
      <w:numFmt w:val="chineseCounting"/>
      <w:suff w:val="nothing"/>
      <w:lvlText w:val="（%1）"/>
      <w:lvlJc w:val="left"/>
      <w:pPr>
        <w:ind w:left="-1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ZWIzNjA5NGMxMTM5Y2FkZWI0OWJlNDNlMTY5NjEifQ=="/>
  </w:docVars>
  <w:rsids>
    <w:rsidRoot w:val="18D538B0"/>
    <w:rsid w:val="01600BAC"/>
    <w:rsid w:val="018E17F6"/>
    <w:rsid w:val="03041F03"/>
    <w:rsid w:val="04277401"/>
    <w:rsid w:val="09D347BB"/>
    <w:rsid w:val="0A2C0C06"/>
    <w:rsid w:val="0A686BF6"/>
    <w:rsid w:val="0B4E623A"/>
    <w:rsid w:val="117C2E73"/>
    <w:rsid w:val="11E9622E"/>
    <w:rsid w:val="12607728"/>
    <w:rsid w:val="13113C31"/>
    <w:rsid w:val="13C57FC2"/>
    <w:rsid w:val="13EB2DF0"/>
    <w:rsid w:val="13F9128C"/>
    <w:rsid w:val="1767588B"/>
    <w:rsid w:val="18D538B0"/>
    <w:rsid w:val="18E032C2"/>
    <w:rsid w:val="1CCF110C"/>
    <w:rsid w:val="21B552CB"/>
    <w:rsid w:val="2483632E"/>
    <w:rsid w:val="25B05D49"/>
    <w:rsid w:val="28154CF5"/>
    <w:rsid w:val="281C40D0"/>
    <w:rsid w:val="2A706BB3"/>
    <w:rsid w:val="2B9565EF"/>
    <w:rsid w:val="2C2B5641"/>
    <w:rsid w:val="2DA76D39"/>
    <w:rsid w:val="2E2B5E45"/>
    <w:rsid w:val="2E515D05"/>
    <w:rsid w:val="2FC02FA6"/>
    <w:rsid w:val="2FF745A3"/>
    <w:rsid w:val="304C3BC8"/>
    <w:rsid w:val="316450AF"/>
    <w:rsid w:val="31BA35D3"/>
    <w:rsid w:val="335115F0"/>
    <w:rsid w:val="3546366F"/>
    <w:rsid w:val="357070B5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7C62DD"/>
    <w:rsid w:val="52CA2206"/>
    <w:rsid w:val="563C6D66"/>
    <w:rsid w:val="565C4B5A"/>
    <w:rsid w:val="578E37A1"/>
    <w:rsid w:val="57C30CF5"/>
    <w:rsid w:val="58C76ABA"/>
    <w:rsid w:val="5F991213"/>
    <w:rsid w:val="635B32B1"/>
    <w:rsid w:val="63AD5DD7"/>
    <w:rsid w:val="63FF6996"/>
    <w:rsid w:val="64D92F75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B265436"/>
    <w:rsid w:val="7D2A54B9"/>
    <w:rsid w:val="7FA6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2051</Words>
  <Characters>2156</Characters>
  <Lines>0</Lines>
  <Paragraphs>0</Paragraphs>
  <TotalTime>2</TotalTime>
  <ScaleCrop>false</ScaleCrop>
  <LinksUpToDate>false</LinksUpToDate>
  <CharactersWithSpaces>2297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随遇而安</cp:lastModifiedBy>
  <cp:lastPrinted>2022-04-15T09:18:00Z</cp:lastPrinted>
  <dcterms:modified xsi:type="dcterms:W3CDTF">2022-08-19T03:36:38Z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FC4AD5B48165493FADE0A0374E14E380</vt:lpwstr>
  </property>
</Properties>
</file>