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63FF">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48442C81">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65B03A40">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p>
    <w:p w14:paraId="71E8624A">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一、部门概况</w:t>
      </w:r>
    </w:p>
    <w:p w14:paraId="78E9CADF">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机构设置情况</w:t>
      </w:r>
    </w:p>
    <w:p w14:paraId="69966297">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eastAsia="zh-CN"/>
        </w:rPr>
        <w:t>县财政</w:t>
      </w:r>
      <w:r>
        <w:rPr>
          <w:rFonts w:hint="eastAsia" w:ascii="仿宋" w:hAnsi="仿宋" w:eastAsia="仿宋" w:cs="仿宋"/>
          <w:color w:val="333333"/>
          <w:kern w:val="0"/>
          <w:sz w:val="32"/>
          <w:szCs w:val="32"/>
          <w:shd w:val="clear" w:color="auto" w:fill="FFFFFF"/>
        </w:rPr>
        <w:t>局</w:t>
      </w:r>
      <w:r>
        <w:rPr>
          <w:rFonts w:hint="eastAsia" w:ascii="仿宋" w:hAnsi="仿宋" w:eastAsia="仿宋" w:cs="仿宋"/>
          <w:color w:val="333333"/>
          <w:kern w:val="0"/>
          <w:sz w:val="32"/>
          <w:szCs w:val="32"/>
          <w:shd w:val="clear" w:color="auto" w:fill="FFFFFF"/>
          <w:lang w:eastAsia="zh-CN"/>
        </w:rPr>
        <w:t>为</w:t>
      </w:r>
      <w:r>
        <w:rPr>
          <w:rFonts w:hint="eastAsia" w:ascii="仿宋" w:hAnsi="仿宋" w:eastAsia="仿宋" w:cs="仿宋"/>
          <w:color w:val="333333"/>
          <w:kern w:val="0"/>
          <w:sz w:val="32"/>
          <w:szCs w:val="32"/>
          <w:shd w:val="clear" w:color="auto" w:fill="FFFFFF"/>
        </w:rPr>
        <w:t>正科级财政预算行政单位，根据</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编办核定，内设</w:t>
      </w:r>
      <w:r>
        <w:rPr>
          <w:rFonts w:hint="eastAsia" w:ascii="仿宋" w:hAnsi="仿宋" w:eastAsia="仿宋" w:cs="仿宋"/>
          <w:color w:val="333333"/>
          <w:kern w:val="0"/>
          <w:sz w:val="32"/>
          <w:szCs w:val="32"/>
          <w:shd w:val="clear" w:color="auto" w:fill="FFFFFF"/>
          <w:lang w:eastAsia="zh-CN"/>
        </w:rPr>
        <w:t>科</w:t>
      </w:r>
      <w:r>
        <w:rPr>
          <w:rFonts w:hint="eastAsia" w:ascii="仿宋" w:hAnsi="仿宋" w:eastAsia="仿宋" w:cs="仿宋"/>
          <w:color w:val="333333"/>
          <w:kern w:val="0"/>
          <w:sz w:val="32"/>
          <w:szCs w:val="32"/>
          <w:shd w:val="clear" w:color="auto" w:fill="FFFFFF"/>
        </w:rPr>
        <w:t>室23个，所属单位 3个，全部纳入202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年部门预算编制范围。</w:t>
      </w:r>
    </w:p>
    <w:p w14:paraId="57A7D44C">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内设</w:t>
      </w:r>
      <w:r>
        <w:rPr>
          <w:rFonts w:hint="eastAsia" w:ascii="仿宋" w:hAnsi="仿宋" w:eastAsia="仿宋" w:cs="仿宋"/>
          <w:color w:val="333333"/>
          <w:kern w:val="0"/>
          <w:sz w:val="32"/>
          <w:szCs w:val="32"/>
          <w:shd w:val="clear" w:color="auto" w:fill="FFFFFF"/>
          <w:lang w:eastAsia="zh-CN"/>
        </w:rPr>
        <w:t>股</w:t>
      </w:r>
      <w:r>
        <w:rPr>
          <w:rFonts w:hint="eastAsia" w:ascii="仿宋" w:hAnsi="仿宋" w:eastAsia="仿宋" w:cs="仿宋"/>
          <w:color w:val="333333"/>
          <w:kern w:val="0"/>
          <w:sz w:val="32"/>
          <w:szCs w:val="32"/>
          <w:shd w:val="clear" w:color="auto" w:fill="FFFFFF"/>
        </w:rPr>
        <w:t>室分别是：办公室、人事教育股、财务股、综合股（县津贴补贴工作办公室）、财政监督股、税政法规股、预算股、国库股、行政政法股、教科文股、经济建设股、农业农村股、企业股、金融股（对外经济贸易股、县政府投融资管理办公室、县政府和社会资本合作（PPP）办公室）、政府债务股、社会保障股、乡镇财政管理股（县农村综合改革办公室）、会计管理股、资产管理股（县清产核资办公室）、绩效管理股、政府采购股、信息管理股、工资统发中心。纪检（监察）机构按规定设置。</w:t>
      </w:r>
    </w:p>
    <w:p w14:paraId="74DBB125">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所属单位分别是: </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财政事务中心、</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投资评审事务中心及</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预算编审中心三个公益类二</w:t>
      </w:r>
      <w:r>
        <w:rPr>
          <w:rFonts w:hint="eastAsia" w:ascii="仿宋" w:hAnsi="仿宋" w:eastAsia="仿宋" w:cs="仿宋"/>
          <w:color w:val="333333"/>
          <w:kern w:val="0"/>
          <w:sz w:val="32"/>
          <w:szCs w:val="32"/>
          <w:shd w:val="clear" w:color="auto" w:fill="FFFFFF"/>
          <w:lang w:eastAsia="zh-CN"/>
        </w:rPr>
        <w:t>级</w:t>
      </w:r>
      <w:r>
        <w:rPr>
          <w:rFonts w:hint="eastAsia" w:ascii="仿宋" w:hAnsi="仿宋" w:eastAsia="仿宋" w:cs="仿宋"/>
          <w:color w:val="333333"/>
          <w:kern w:val="0"/>
          <w:sz w:val="32"/>
          <w:szCs w:val="32"/>
          <w:shd w:val="clear" w:color="auto" w:fill="FFFFFF"/>
        </w:rPr>
        <w:t>机构。</w:t>
      </w:r>
    </w:p>
    <w:p w14:paraId="0ACAB6F6">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eastAsia="zh-CN"/>
        </w:rPr>
        <w:t>人员编制情况：编制数</w:t>
      </w:r>
      <w:r>
        <w:rPr>
          <w:rFonts w:hint="eastAsia" w:ascii="仿宋" w:hAnsi="仿宋" w:eastAsia="仿宋" w:cs="仿宋"/>
          <w:color w:val="333333"/>
          <w:kern w:val="0"/>
          <w:sz w:val="32"/>
          <w:szCs w:val="32"/>
          <w:shd w:val="clear" w:color="auto" w:fill="FFFFFF"/>
          <w:lang w:val="en-US" w:eastAsia="zh-CN"/>
        </w:rPr>
        <w:t>100人，2024年底实际在职92人。</w:t>
      </w:r>
    </w:p>
    <w:p w14:paraId="2992A0BA">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kern w:val="0"/>
          <w:sz w:val="32"/>
          <w:szCs w:val="32"/>
          <w:shd w:val="clear" w:color="auto" w:fill="FFFFFF"/>
        </w:rPr>
        <w:t>主要职能职责是：</w:t>
      </w:r>
      <w:r>
        <w:rPr>
          <w:rFonts w:hint="eastAsia" w:ascii="仿宋" w:hAnsi="仿宋" w:eastAsia="仿宋" w:cs="仿宋"/>
          <w:color w:val="333333"/>
          <w:sz w:val="32"/>
          <w:szCs w:val="32"/>
          <w:shd w:val="clear" w:color="auto" w:fill="FFFFFF"/>
        </w:rPr>
        <w:t>1.组织贯彻执行国家财税方针政策，拟订和执行全县财政政策、财税改革方案，指导全县财政工作；分析预测宏观经济形势，参与制定各项宏观经济政策；提出运用财税政策实施宏观调控和综合平衡社会财力的建议；拟订和执行县与乡镇、政府与企业的分配政策，完善鼓励公益事业发展的财税政策。</w:t>
      </w:r>
    </w:p>
    <w:p w14:paraId="683C181D">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2.制定和执行财政、财务、会计管理的制度及办法，参与涉外财政、债务等国际谈判并签订有关协议、协定。</w:t>
      </w:r>
    </w:p>
    <w:p w14:paraId="5ED84588">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3.负责县本级各项财政收支管理。编制年度县本级预决算草案并组织执行。代编全县财政收支预算，汇总全县财政总决算；受县人民政府委托，向县人民代表大会报告县本级、全县预算及其执行情况，向县人大常委会报告决算。组织制定县本级经费开支标准、定额，审核批复部门（单位）年度预决算。完善转移支付制度，做好财政省直管县财政体制改革有关工作。</w:t>
      </w:r>
    </w:p>
    <w:p w14:paraId="0265485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4.组织制定政府非税收入管理制度。负责政府性基金管理，按规定管理行政事业性收费。管理财政票据。制定彩票监督管理政策和有关办法，管理彩票市场，会同有关部门监督和管理彩票公益金，管理其他彩票资金。</w:t>
      </w:r>
    </w:p>
    <w:p w14:paraId="06D8CBB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5.组织制定国库管理制度、国库集中收付制度，指导和监督县本级国库业务，按规定开展国库现金管理工作。制定和执行财政投资评审制度，负责财政投资评审工作。负责制定政府采购制度并监督管理。</w:t>
      </w:r>
    </w:p>
    <w:p w14:paraId="14EA3AE0">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6.贯彻执行国家税收法律、行政法规和税收调整政策，反馈政策执行情况，提出调整建议。</w:t>
      </w:r>
    </w:p>
    <w:p w14:paraId="3238D002">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7.负责制定全县行政事业单位国有资产管理规章制度，会同有关部门管理县本级行政事业单位国有资产，制定需要全县统一规定的开支标准和支出政策，负责财政预算内行政、事业单位和社会团体的非贸易外汇管理。</w:t>
      </w:r>
    </w:p>
    <w:p w14:paraId="1CAAC091">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8.负责审核和汇总编制全县国有资本经营预决算草案，制定国有资本经营预算的制度和办法，收取县本级企业国有资本收益，组织实施企业财务制度，参与拟订企业国有资产管理相关制度，负责县级国有宣传文化、金融类企业的国有资产管理，按规定管理资产评估工作。</w:t>
      </w:r>
    </w:p>
    <w:p w14:paraId="31CEC4F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9.负责办理和监督县财政的经济发展支出、县级政府性投资项目的财政拨款，参与拟订县建设投资有关政策，组织实施基本建设财务制度，负责有关政策性补贴和专项储备资金财政管理工作。负责农业综合开发管理工作。</w:t>
      </w:r>
    </w:p>
    <w:p w14:paraId="7ADF9223">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10.会同有关部门管理县财政社会保障和就业及医疗卫生支出，组织实施社会保障资金（基金）财务管理制度，编制县社会保障预决算草案。</w:t>
      </w:r>
    </w:p>
    <w:p w14:paraId="6841889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11.贯彻执行政府内外债务管理的政策、制度和办法，防范财政风险。负责统一管理县政府外债，制定基本管理制度。按规定管理外国政府和国际金融组织贷（赠）款。承担财税领域交流与合作的具体工作。承担地方政府债务核查、监督等相关职责。</w:t>
      </w:r>
    </w:p>
    <w:p w14:paraId="107ABA6E">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12.负责管理全县的会计工作，监督和规范会计行为，组织实施国家统一的会计制度，组织实施会计行政法规规章，指导和监督注册会计师和会计师事务所的业务，指导和管理社会审计。</w:t>
      </w:r>
    </w:p>
    <w:p w14:paraId="76AEE9CD">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13.监督检查财税法规、政策的执行情况，反映财政收支管理中的重大问题，提出加强财政管理的政策和建议。</w:t>
      </w:r>
    </w:p>
    <w:p w14:paraId="5FC55CF2">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14.负责指导乡镇财政管理工作。</w:t>
      </w:r>
    </w:p>
    <w:p w14:paraId="2032F7ED">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15.负责全面实施预算绩效管理相关工作。</w:t>
      </w:r>
    </w:p>
    <w:p w14:paraId="50A6C219">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16.负责牵头拟订政府购买服务政策并组织实施。</w:t>
      </w:r>
    </w:p>
    <w:p w14:paraId="3CAD0E55">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shd w:val="clear" w:color="auto" w:fill="FFFFFF"/>
        </w:rPr>
        <w:t>17.承办县人民政府交办的其他事项。</w:t>
      </w:r>
    </w:p>
    <w:p w14:paraId="45C4F4EB">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年的重点工作</w:t>
      </w:r>
      <w:r>
        <w:rPr>
          <w:rFonts w:hint="eastAsia" w:ascii="仿宋" w:hAnsi="仿宋" w:eastAsia="仿宋" w:cs="仿宋"/>
          <w:b/>
          <w:bCs/>
          <w:sz w:val="32"/>
          <w:szCs w:val="32"/>
          <w:lang w:eastAsia="zh-CN"/>
        </w:rPr>
        <w:t>：</w:t>
      </w:r>
      <w:r>
        <w:rPr>
          <w:rFonts w:hint="eastAsia" w:ascii="仿宋" w:hAnsi="仿宋" w:eastAsia="仿宋" w:cs="仿宋"/>
          <w:color w:val="333333"/>
          <w:kern w:val="0"/>
          <w:sz w:val="32"/>
          <w:szCs w:val="32"/>
          <w:shd w:val="clear" w:color="auto" w:fill="FFFFFF"/>
        </w:rPr>
        <w:t>1.加大财源建设投入；2.支持全县产业发展；3.做大做强实体经济；4.防范化解债务风险有序推进；5.精准脱贫攻坚资金整合有力；6.污染防治攻坚支持力度加大；7.预算管理日趋规范；8.存量资金有效盘活；9.财政评审效益明显; 10.“互联网+监督”持续推进；11.惠农补贴发放规范，惠农减负落实到位；12.政府采购监管有力；13.支付改革提质扩面；14.驻村帮扶成效显著；15.新政府会计制度顺利实施。</w:t>
      </w:r>
    </w:p>
    <w:p w14:paraId="6EDC85E2">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b/>
          <w:bCs/>
          <w:color w:val="333333"/>
          <w:kern w:val="0"/>
          <w:sz w:val="32"/>
          <w:szCs w:val="32"/>
          <w:shd w:val="clear" w:color="auto" w:fill="FFFFFF"/>
          <w:lang w:val="en-US" w:eastAsia="zh-CN" w:bidi="ar-SA"/>
        </w:rPr>
        <w:t>绩效目标设定情况：</w:t>
      </w:r>
      <w:r>
        <w:rPr>
          <w:rFonts w:hint="eastAsia" w:ascii="仿宋" w:hAnsi="仿宋" w:eastAsia="仿宋" w:cs="仿宋"/>
          <w:color w:val="333333"/>
          <w:kern w:val="0"/>
          <w:sz w:val="32"/>
          <w:szCs w:val="32"/>
          <w:shd w:val="clear" w:color="auto" w:fill="FFFFFF"/>
          <w:lang w:val="en-US" w:eastAsia="zh-CN" w:bidi="ar-SA"/>
        </w:rPr>
        <w:t>按照“财政收入保增长、财政支出保民生、财政改革保利益、财政运转保高效”的思路，加大财政支持力度，完善民生保障机制，强化预算收支管理，推进财税体制改革，较好地完成全年各项工作任务；重点保障机关运转及重点工作的需要，大力压缩一般性支出，提高财政资金使用效益；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公开。　</w:t>
      </w:r>
    </w:p>
    <w:p w14:paraId="4A2CC0E0">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）部门整体支出情况</w:t>
      </w:r>
    </w:p>
    <w:p w14:paraId="53D32954">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我局202</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年度支出决算</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kern w:val="0"/>
          <w:sz w:val="32"/>
          <w:szCs w:val="32"/>
          <w:shd w:val="clear" w:color="auto" w:fill="FFFFFF"/>
        </w:rPr>
        <w:t>万元，其中：基本支出</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kern w:val="0"/>
          <w:sz w:val="32"/>
          <w:szCs w:val="32"/>
          <w:shd w:val="clear" w:color="auto" w:fill="FFFFFF"/>
        </w:rPr>
        <w:t>万元（三公经费支出</w:t>
      </w:r>
      <w:r>
        <w:rPr>
          <w:rFonts w:hint="eastAsia" w:ascii="仿宋" w:hAnsi="仿宋" w:eastAsia="仿宋" w:cs="仿宋"/>
          <w:kern w:val="0"/>
          <w:sz w:val="32"/>
          <w:szCs w:val="32"/>
          <w:shd w:val="clear" w:color="auto" w:fill="FFFFFF"/>
          <w:lang w:val="en-US" w:eastAsia="zh-CN"/>
        </w:rPr>
        <w:t>0.87</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项目支出为</w:t>
      </w:r>
      <w:r>
        <w:rPr>
          <w:rFonts w:hint="eastAsia" w:ascii="仿宋" w:hAnsi="仿宋" w:eastAsia="仿宋" w:cs="仿宋"/>
          <w:kern w:val="0"/>
          <w:sz w:val="32"/>
          <w:szCs w:val="32"/>
          <w:shd w:val="clear" w:color="auto" w:fill="FFFFFF"/>
          <w:lang w:val="en-US" w:eastAsia="zh-CN"/>
        </w:rPr>
        <w:t>0万元，基本支出</w:t>
      </w:r>
      <w:r>
        <w:rPr>
          <w:rFonts w:hint="eastAsia" w:ascii="仿宋" w:hAnsi="仿宋" w:eastAsia="仿宋" w:cs="仿宋"/>
          <w:kern w:val="0"/>
          <w:sz w:val="32"/>
          <w:szCs w:val="32"/>
          <w:shd w:val="clear" w:color="auto" w:fill="FFFFFF"/>
        </w:rPr>
        <w:t>占总支出的100%。</w:t>
      </w:r>
    </w:p>
    <w:p w14:paraId="625BD43D">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二、部门整体支出管理及使用情况</w:t>
      </w:r>
    </w:p>
    <w:p w14:paraId="5B0DD92D">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根据财政制度改革和部门预算细化的要求，以县财政下达我局的部门预算为基数，以现行财政财务法规为指南，我局开支用于维持单位基本工作运转，满足人员经费和日常公用经费的需求。对资金使用和控制严格按照行政单位财务制度及单位内部规章进行管理和监管，针对我局实际情况，本着勤俭办事、量入为出的原则，加强了对本部门收入情况、支出情况的管理。 </w:t>
      </w:r>
    </w:p>
    <w:p w14:paraId="5D3D0E39">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年公共财政拨款支出</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color w:val="333333"/>
          <w:kern w:val="0"/>
          <w:sz w:val="32"/>
          <w:szCs w:val="32"/>
          <w:shd w:val="clear" w:color="auto" w:fill="FFFFFF"/>
        </w:rPr>
        <w:t>万元，比上年</w:t>
      </w:r>
      <w:r>
        <w:rPr>
          <w:rFonts w:hint="eastAsia" w:ascii="仿宋" w:hAnsi="仿宋" w:eastAsia="仿宋" w:cs="仿宋"/>
          <w:color w:val="333333"/>
          <w:kern w:val="0"/>
          <w:sz w:val="32"/>
          <w:szCs w:val="32"/>
          <w:shd w:val="clear" w:color="auto" w:fill="FFFFFF"/>
          <w:lang w:eastAsia="zh-CN"/>
        </w:rPr>
        <w:t>增</w:t>
      </w:r>
      <w:r>
        <w:rPr>
          <w:rFonts w:hint="eastAsia" w:ascii="仿宋" w:hAnsi="仿宋" w:eastAsia="仿宋" w:cs="仿宋"/>
          <w:color w:val="333333"/>
          <w:kern w:val="0"/>
          <w:sz w:val="32"/>
          <w:szCs w:val="32"/>
          <w:shd w:val="clear" w:color="auto" w:fill="FFFFFF"/>
          <w:lang w:val="en-US" w:eastAsia="zh-CN"/>
        </w:rPr>
        <w:t>加97.86</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color w:val="333333"/>
          <w:kern w:val="0"/>
          <w:sz w:val="32"/>
          <w:szCs w:val="32"/>
          <w:shd w:val="clear" w:color="auto" w:fill="FFFFFF"/>
          <w:lang w:eastAsia="zh-CN"/>
        </w:rPr>
        <w:t>上升</w:t>
      </w:r>
      <w:r>
        <w:rPr>
          <w:rFonts w:hint="eastAsia" w:ascii="仿宋" w:hAnsi="仿宋" w:eastAsia="仿宋" w:cs="仿宋"/>
          <w:color w:val="333333"/>
          <w:kern w:val="0"/>
          <w:sz w:val="32"/>
          <w:szCs w:val="32"/>
          <w:shd w:val="clear" w:color="auto" w:fill="FFFFFF"/>
          <w:lang w:val="en-US" w:eastAsia="zh-CN"/>
        </w:rPr>
        <w:t>3.9%</w:t>
      </w:r>
      <w:r>
        <w:rPr>
          <w:rFonts w:hint="eastAsia" w:ascii="仿宋" w:hAnsi="仿宋" w:eastAsia="仿宋" w:cs="仿宋"/>
          <w:color w:val="333333"/>
          <w:kern w:val="0"/>
          <w:sz w:val="32"/>
          <w:szCs w:val="32"/>
          <w:shd w:val="clear" w:color="auto" w:fill="FFFFFF"/>
        </w:rPr>
        <w:t>，主要是</w:t>
      </w:r>
      <w:r>
        <w:rPr>
          <w:rFonts w:hint="eastAsia" w:ascii="仿宋" w:hAnsi="仿宋" w:eastAsia="仿宋" w:cs="仿宋"/>
          <w:color w:val="333333"/>
          <w:kern w:val="0"/>
          <w:sz w:val="32"/>
          <w:szCs w:val="32"/>
          <w:shd w:val="clear" w:color="auto" w:fill="FFFFFF"/>
          <w:lang w:eastAsia="zh-CN"/>
        </w:rPr>
        <w:t>软件维护、系统升级等合同支出跨年签订合同，上年</w:t>
      </w:r>
      <w:r>
        <w:rPr>
          <w:rFonts w:hint="eastAsia" w:ascii="仿宋" w:hAnsi="仿宋" w:eastAsia="仿宋" w:cs="仿宋"/>
          <w:color w:val="333333"/>
          <w:kern w:val="0"/>
          <w:sz w:val="32"/>
          <w:szCs w:val="32"/>
          <w:shd w:val="clear" w:color="auto" w:fill="FFFFFF"/>
          <w:lang w:val="en-US" w:eastAsia="zh-CN"/>
        </w:rPr>
        <w:t>度该项支出较少</w:t>
      </w:r>
      <w:r>
        <w:rPr>
          <w:rFonts w:hint="eastAsia" w:ascii="仿宋" w:hAnsi="仿宋" w:eastAsia="仿宋" w:cs="仿宋"/>
          <w:color w:val="333333"/>
          <w:kern w:val="0"/>
          <w:sz w:val="32"/>
          <w:szCs w:val="32"/>
          <w:shd w:val="clear" w:color="auto" w:fill="FFFFFF"/>
        </w:rPr>
        <w:t>。</w:t>
      </w:r>
    </w:p>
    <w:p w14:paraId="4A52792D">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（一）基本支出情况</w:t>
      </w:r>
    </w:p>
    <w:p w14:paraId="15FD605C">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基本支出</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color w:val="333333"/>
          <w:kern w:val="0"/>
          <w:sz w:val="32"/>
          <w:szCs w:val="32"/>
          <w:shd w:val="clear" w:color="auto" w:fill="FFFFFF"/>
        </w:rPr>
        <w:t>万元。基本支出系保障我局机构正常运转、完成日常工作任务而发生的各项支出。包括用于在职和离退休人员基本工资、津贴补贴等人员经费以及办公费、印刷费、水电费、差旅费、办公设备购置等日常公用经费。其中：工资福利支出</w:t>
      </w:r>
      <w:r>
        <w:rPr>
          <w:rFonts w:hint="eastAsia" w:ascii="仿宋" w:hAnsi="仿宋" w:eastAsia="仿宋" w:cs="仿宋"/>
          <w:color w:val="333333"/>
          <w:kern w:val="0"/>
          <w:sz w:val="32"/>
          <w:szCs w:val="32"/>
          <w:shd w:val="clear" w:color="auto" w:fill="FFFFFF"/>
          <w:lang w:val="en-US" w:eastAsia="zh-CN"/>
        </w:rPr>
        <w:t>1271</w:t>
      </w:r>
      <w:r>
        <w:rPr>
          <w:rFonts w:hint="eastAsia" w:ascii="仿宋" w:hAnsi="仿宋" w:eastAsia="仿宋" w:cs="仿宋"/>
          <w:color w:val="333333"/>
          <w:kern w:val="0"/>
          <w:sz w:val="32"/>
          <w:szCs w:val="32"/>
          <w:shd w:val="clear" w:color="auto" w:fill="FFFFFF"/>
        </w:rPr>
        <w:t>万元，占基本支出的</w:t>
      </w:r>
      <w:r>
        <w:rPr>
          <w:rFonts w:hint="eastAsia" w:ascii="仿宋" w:hAnsi="仿宋" w:eastAsia="仿宋" w:cs="仿宋"/>
          <w:color w:val="333333"/>
          <w:kern w:val="0"/>
          <w:sz w:val="32"/>
          <w:szCs w:val="32"/>
          <w:shd w:val="clear" w:color="auto" w:fill="FFFFFF"/>
          <w:lang w:val="en-US" w:eastAsia="zh-CN"/>
        </w:rPr>
        <w:t>48.7</w:t>
      </w:r>
      <w:r>
        <w:rPr>
          <w:rFonts w:hint="eastAsia" w:ascii="仿宋" w:hAnsi="仿宋" w:eastAsia="仿宋" w:cs="仿宋"/>
          <w:color w:val="333333"/>
          <w:kern w:val="0"/>
          <w:sz w:val="32"/>
          <w:szCs w:val="32"/>
          <w:shd w:val="clear" w:color="auto" w:fill="FFFFFF"/>
        </w:rPr>
        <w:t xml:space="preserve"> %；商品和服务支出</w:t>
      </w:r>
      <w:r>
        <w:rPr>
          <w:rFonts w:hint="eastAsia" w:ascii="仿宋" w:hAnsi="仿宋" w:eastAsia="仿宋" w:cs="仿宋"/>
          <w:color w:val="333333"/>
          <w:kern w:val="0"/>
          <w:sz w:val="32"/>
          <w:szCs w:val="32"/>
          <w:shd w:val="clear" w:color="auto" w:fill="FFFFFF"/>
          <w:lang w:val="en-US" w:eastAsia="zh-CN"/>
        </w:rPr>
        <w:t>1262</w:t>
      </w:r>
      <w:r>
        <w:rPr>
          <w:rFonts w:hint="eastAsia" w:ascii="仿宋" w:hAnsi="仿宋" w:eastAsia="仿宋" w:cs="仿宋"/>
          <w:color w:val="333333"/>
          <w:kern w:val="0"/>
          <w:sz w:val="32"/>
          <w:szCs w:val="32"/>
          <w:shd w:val="clear" w:color="auto" w:fill="FFFFFF"/>
        </w:rPr>
        <w:t>万元，占基本支出的</w:t>
      </w:r>
      <w:r>
        <w:rPr>
          <w:rFonts w:hint="eastAsia" w:ascii="仿宋" w:hAnsi="仿宋" w:eastAsia="仿宋" w:cs="仿宋"/>
          <w:color w:val="333333"/>
          <w:kern w:val="0"/>
          <w:sz w:val="32"/>
          <w:szCs w:val="32"/>
          <w:shd w:val="clear" w:color="auto" w:fill="FFFFFF"/>
          <w:lang w:val="en-US" w:eastAsia="zh-CN"/>
        </w:rPr>
        <w:t>48.3</w:t>
      </w:r>
      <w:r>
        <w:rPr>
          <w:rFonts w:hint="eastAsia" w:ascii="仿宋" w:hAnsi="仿宋" w:eastAsia="仿宋" w:cs="仿宋"/>
          <w:color w:val="333333"/>
          <w:kern w:val="0"/>
          <w:sz w:val="32"/>
          <w:szCs w:val="32"/>
          <w:shd w:val="clear" w:color="auto" w:fill="FFFFFF"/>
        </w:rPr>
        <w:t>%； 对个人和家庭的补助</w:t>
      </w:r>
      <w:r>
        <w:rPr>
          <w:rFonts w:hint="eastAsia" w:ascii="仿宋" w:hAnsi="仿宋" w:eastAsia="仿宋" w:cs="仿宋"/>
          <w:color w:val="333333"/>
          <w:kern w:val="0"/>
          <w:sz w:val="32"/>
          <w:szCs w:val="32"/>
          <w:shd w:val="clear" w:color="auto" w:fill="FFFFFF"/>
          <w:lang w:val="en-US" w:eastAsia="zh-CN"/>
        </w:rPr>
        <w:t>79</w:t>
      </w:r>
      <w:r>
        <w:rPr>
          <w:rFonts w:hint="eastAsia" w:ascii="仿宋" w:hAnsi="仿宋" w:eastAsia="仿宋" w:cs="仿宋"/>
          <w:color w:val="333333"/>
          <w:kern w:val="0"/>
          <w:sz w:val="32"/>
          <w:szCs w:val="32"/>
          <w:shd w:val="clear" w:color="auto" w:fill="FFFFFF"/>
        </w:rPr>
        <w:t>万元，占基本支出的</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w:t>
      </w:r>
    </w:p>
    <w:p w14:paraId="33D759A0">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专</w:t>
      </w:r>
      <w:r>
        <w:rPr>
          <w:rFonts w:hint="eastAsia" w:ascii="仿宋" w:hAnsi="仿宋" w:eastAsia="仿宋" w:cs="仿宋"/>
          <w:b/>
          <w:bCs/>
          <w:sz w:val="32"/>
          <w:szCs w:val="32"/>
        </w:rPr>
        <w:t>项</w:t>
      </w:r>
      <w:r>
        <w:rPr>
          <w:rFonts w:hint="eastAsia" w:ascii="仿宋" w:hAnsi="仿宋" w:eastAsia="仿宋" w:cs="仿宋"/>
          <w:b/>
          <w:bCs/>
          <w:sz w:val="32"/>
          <w:szCs w:val="32"/>
          <w:lang w:eastAsia="zh-CN"/>
        </w:rPr>
        <w:t>资金情况</w:t>
      </w:r>
    </w:p>
    <w:p w14:paraId="6ADC73D9">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本年无项目支出</w:t>
      </w:r>
    </w:p>
    <w:p w14:paraId="5597D740">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（三）“三公”经费情况</w:t>
      </w:r>
    </w:p>
    <w:p w14:paraId="4B9A7FC8">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公务接待费严格按照《隆回县党政机关国内公务接待管理实施细则》执行，厉行节约，招待费实行先申报后招待，接待经费凭据报销，报销凭证包括财务票据（发票）、派出单位公函、接待清单、接待审批单，接待清单与派出单位公函要相一致，一起作为财务报销凭证。</w:t>
      </w:r>
    </w:p>
    <w:p w14:paraId="0D7644C8">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333333"/>
          <w:kern w:val="0"/>
          <w:sz w:val="32"/>
          <w:szCs w:val="32"/>
          <w:shd w:val="clear" w:color="auto" w:fill="FFFFFF"/>
        </w:rPr>
        <w:t xml:space="preserve"> 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年我局没有因公出国的情况</w:t>
      </w:r>
      <w:r>
        <w:rPr>
          <w:rFonts w:hint="eastAsia" w:ascii="仿宋" w:hAnsi="仿宋" w:eastAsia="仿宋" w:cs="仿宋"/>
          <w:sz w:val="32"/>
          <w:szCs w:val="32"/>
        </w:rPr>
        <w:t>；</w:t>
      </w:r>
    </w:p>
    <w:p w14:paraId="5C3917B3">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sz w:val="32"/>
          <w:szCs w:val="32"/>
        </w:rPr>
        <w:t>2.</w:t>
      </w:r>
      <w:r>
        <w:rPr>
          <w:rFonts w:hint="eastAsia" w:ascii="仿宋" w:hAnsi="仿宋" w:eastAsia="仿宋" w:cs="仿宋"/>
          <w:color w:val="333333"/>
          <w:kern w:val="0"/>
          <w:sz w:val="32"/>
          <w:szCs w:val="32"/>
          <w:shd w:val="clear" w:color="auto" w:fill="FFFFFF"/>
        </w:rPr>
        <w:t xml:space="preserve"> 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年我局“三公”经费实际支出数</w:t>
      </w:r>
      <w:r>
        <w:rPr>
          <w:rFonts w:hint="eastAsia" w:ascii="仿宋" w:hAnsi="仿宋" w:eastAsia="仿宋" w:cs="仿宋"/>
          <w:color w:val="333333"/>
          <w:kern w:val="0"/>
          <w:sz w:val="32"/>
          <w:szCs w:val="32"/>
          <w:shd w:val="clear" w:color="auto" w:fill="FFFFFF"/>
          <w:lang w:val="en-US" w:eastAsia="zh-CN"/>
        </w:rPr>
        <w:t>0.87</w:t>
      </w:r>
      <w:r>
        <w:rPr>
          <w:rFonts w:hint="eastAsia" w:ascii="仿宋" w:hAnsi="仿宋" w:eastAsia="仿宋" w:cs="仿宋"/>
          <w:color w:val="333333"/>
          <w:kern w:val="0"/>
          <w:sz w:val="32"/>
          <w:szCs w:val="32"/>
          <w:shd w:val="clear" w:color="auto" w:fill="FFFFFF"/>
        </w:rPr>
        <w:t>万元。其中：因公出国(境)费0元、公务接待费</w:t>
      </w:r>
      <w:r>
        <w:rPr>
          <w:rFonts w:hint="eastAsia" w:ascii="仿宋" w:hAnsi="仿宋" w:eastAsia="仿宋" w:cs="仿宋"/>
          <w:color w:val="333333"/>
          <w:kern w:val="0"/>
          <w:sz w:val="32"/>
          <w:szCs w:val="32"/>
          <w:shd w:val="clear" w:color="auto" w:fill="FFFFFF"/>
          <w:lang w:val="en-US" w:eastAsia="zh-CN"/>
        </w:rPr>
        <w:t>0.87</w:t>
      </w:r>
      <w:r>
        <w:rPr>
          <w:rFonts w:hint="eastAsia" w:ascii="仿宋" w:hAnsi="仿宋" w:eastAsia="仿宋" w:cs="仿宋"/>
          <w:color w:val="333333"/>
          <w:kern w:val="0"/>
          <w:sz w:val="32"/>
          <w:szCs w:val="32"/>
          <w:shd w:val="clear" w:color="auto" w:fill="FFFFFF"/>
        </w:rPr>
        <w:t>万元、公务用车费0万元，较上年</w:t>
      </w:r>
      <w:r>
        <w:rPr>
          <w:rFonts w:hint="eastAsia" w:ascii="仿宋" w:hAnsi="仿宋" w:eastAsia="仿宋" w:cs="仿宋"/>
          <w:color w:val="333333"/>
          <w:kern w:val="0"/>
          <w:sz w:val="32"/>
          <w:szCs w:val="32"/>
          <w:shd w:val="clear" w:color="auto" w:fill="FFFFFF"/>
          <w:lang w:eastAsia="zh-CN"/>
        </w:rPr>
        <w:t>减少</w:t>
      </w:r>
      <w:r>
        <w:rPr>
          <w:rFonts w:hint="eastAsia" w:ascii="仿宋" w:hAnsi="仿宋" w:eastAsia="仿宋" w:cs="仿宋"/>
          <w:color w:val="333333"/>
          <w:kern w:val="0"/>
          <w:sz w:val="32"/>
          <w:szCs w:val="32"/>
          <w:shd w:val="clear" w:color="auto" w:fill="FFFFFF"/>
        </w:rPr>
        <w:t>0.</w:t>
      </w:r>
      <w:r>
        <w:rPr>
          <w:rFonts w:hint="eastAsia" w:ascii="仿宋" w:hAnsi="仿宋" w:eastAsia="仿宋" w:cs="仿宋"/>
          <w:color w:val="333333"/>
          <w:kern w:val="0"/>
          <w:sz w:val="32"/>
          <w:szCs w:val="32"/>
          <w:shd w:val="clear" w:color="auto" w:fill="FFFFFF"/>
          <w:lang w:val="en-US" w:eastAsia="zh-CN"/>
        </w:rPr>
        <w:t>22</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sz w:val="32"/>
          <w:szCs w:val="32"/>
        </w:rPr>
        <w:t>；</w:t>
      </w:r>
    </w:p>
    <w:p w14:paraId="2BC9DD43">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sz w:val="32"/>
          <w:szCs w:val="32"/>
        </w:rPr>
        <w:t>3.</w:t>
      </w:r>
      <w:r>
        <w:rPr>
          <w:rFonts w:hint="eastAsia" w:ascii="仿宋" w:hAnsi="仿宋" w:eastAsia="仿宋" w:cs="仿宋"/>
          <w:color w:val="333333"/>
          <w:kern w:val="0"/>
          <w:sz w:val="32"/>
          <w:szCs w:val="32"/>
          <w:shd w:val="clear" w:color="auto" w:fill="FFFFFF"/>
        </w:rPr>
        <w:t xml:space="preserve"> 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年我局没有公务车，因为实行公车改革后单位无公务车。</w:t>
      </w:r>
    </w:p>
    <w:p w14:paraId="1C81C504">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政府性基金预算支出情况</w:t>
      </w:r>
    </w:p>
    <w:p w14:paraId="2C828258">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无</w:t>
      </w:r>
    </w:p>
    <w:p w14:paraId="164CB8D4">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color w:val="333333"/>
          <w:kern w:val="0"/>
          <w:sz w:val="32"/>
          <w:szCs w:val="32"/>
          <w:shd w:val="clear" w:color="auto" w:fill="FFFFFF"/>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r>
        <w:rPr>
          <w:rFonts w:hint="eastAsia" w:ascii="仿宋" w:hAnsi="仿宋" w:eastAsia="仿宋" w:cs="仿宋"/>
          <w:b/>
          <w:bCs/>
          <w:sz w:val="32"/>
          <w:szCs w:val="32"/>
          <w:lang w:eastAsia="zh-CN"/>
        </w:rPr>
        <w:t>国有资本经营预算支出情况</w:t>
      </w:r>
    </w:p>
    <w:p w14:paraId="0ADBFBD8">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无</w:t>
      </w:r>
    </w:p>
    <w:p w14:paraId="1CC7FAAE">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color w:val="333333"/>
          <w:kern w:val="0"/>
          <w:sz w:val="32"/>
          <w:szCs w:val="32"/>
          <w:shd w:val="clear" w:color="auto" w:fill="FFFFFF"/>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b/>
          <w:bCs/>
          <w:sz w:val="32"/>
          <w:szCs w:val="32"/>
          <w:lang w:eastAsia="zh-CN"/>
        </w:rPr>
        <w:t>社会保险基金预算支出情况</w:t>
      </w:r>
    </w:p>
    <w:p w14:paraId="3AFAA0FE">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无</w:t>
      </w:r>
    </w:p>
    <w:p w14:paraId="18346CEB">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六、部门整体支出绩效情况</w:t>
      </w:r>
    </w:p>
    <w:p w14:paraId="01830EC4">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每年年底我局编制下一年度部门预算，资金使用过程中严格按照预算批复支出预算资金，无超预算、超范围开支的现象；支出符合国家财经法规和财务制度规定，专项资金做到专款专用；支出拨付审批程序和手续齐全完整；不存在截留、挤占、挪用、虚列支出、大额使用现金等违规违法行为。 </w:t>
      </w:r>
    </w:p>
    <w:p w14:paraId="3536ACFD">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不断加强制度建设，健全体制机制，根据市政府信息公开办法，制定一系列规章制度，初步形成政务公开工作的制度体系。从2014年开始我局按照县委政府和上级财政部门文件的规定，按时公开部门预算和部门决算。增强了资金支出和资产管理的监管力度，同时明确财务人员职责分工，确保了会计信息资料真实准确，会计基础工作完整，按规定的内容公开单位预决算信息。 </w:t>
      </w:r>
    </w:p>
    <w:p w14:paraId="499A97E5">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、存在的问题</w:t>
      </w:r>
    </w:p>
    <w:p w14:paraId="7DD3A5CD">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333333"/>
          <w:kern w:val="0"/>
          <w:sz w:val="32"/>
          <w:szCs w:val="32"/>
          <w:shd w:val="clear" w:color="auto" w:fill="FFFFFF"/>
        </w:rPr>
        <w:t>我局在资产使用和支出管理方面取得了较好的成绩，但是由于历史原因和管理惯性，资产管理在体制、监管等方面存在以下不足：第一，固定资产管理效率还有待提高。第二，固定资产管理力量有待加强。</w:t>
      </w:r>
    </w:p>
    <w:p w14:paraId="4A780EF7">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八</w:t>
      </w:r>
      <w:r>
        <w:rPr>
          <w:rFonts w:hint="eastAsia" w:ascii="仿宋" w:hAnsi="仿宋" w:eastAsia="仿宋" w:cs="仿宋"/>
          <w:b/>
          <w:bCs/>
          <w:sz w:val="32"/>
          <w:szCs w:val="32"/>
        </w:rPr>
        <w:t>、改进措施和有关建议</w:t>
      </w:r>
    </w:p>
    <w:p w14:paraId="29E7E2D5">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针对存在的问题我局将提出以下切实可行的改进措施和有关建议：一、加强固定资产管理力量，提高管理人员的工作效率，明确职责，谁使用谁负责。二、根据单位办公需要购置新的资产，厉行节约，避免不必要的浪费，提高资产的使用效能。三、加强监管，定期对资产进行清查。</w:t>
      </w:r>
    </w:p>
    <w:p w14:paraId="033E07E9">
      <w:pPr>
        <w:pStyle w:val="2"/>
        <w:rPr>
          <w:rFonts w:hint="eastAsia" w:ascii="仿宋" w:hAnsi="仿宋" w:eastAsia="仿宋" w:cs="仿宋"/>
          <w:color w:val="333333"/>
          <w:kern w:val="0"/>
          <w:sz w:val="32"/>
          <w:szCs w:val="32"/>
          <w:shd w:val="clear" w:color="auto" w:fill="FFFFFF"/>
        </w:rPr>
      </w:pPr>
    </w:p>
    <w:p w14:paraId="7C1A828B">
      <w:pPr>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w:t>
      </w:r>
    </w:p>
    <w:p w14:paraId="3716308A">
      <w:pPr>
        <w:numPr>
          <w:ilvl w:val="0"/>
          <w:numId w:val="0"/>
        </w:numPr>
        <w:spacing w:line="560" w:lineRule="exact"/>
        <w:ind w:firstLine="640" w:firstLineChars="200"/>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val="en-US" w:eastAsia="zh-CN"/>
        </w:rPr>
        <w:t>1</w:t>
      </w:r>
      <w:r>
        <w:rPr>
          <w:rFonts w:hint="eastAsia" w:ascii="仿宋" w:hAnsi="仿宋" w:eastAsia="仿宋" w:cs="仿宋"/>
          <w:sz w:val="32"/>
          <w:szCs w:val="32"/>
        </w:rPr>
        <w:t>.</w:t>
      </w:r>
      <w:r>
        <w:rPr>
          <w:rFonts w:hint="eastAsia" w:ascii="仿宋" w:hAnsi="仿宋" w:eastAsia="仿宋" w:cs="仿宋"/>
          <w:b w:val="0"/>
          <w:bCs w:val="0"/>
          <w:kern w:val="0"/>
          <w:sz w:val="32"/>
          <w:szCs w:val="32"/>
          <w:lang w:eastAsia="zh-CN"/>
        </w:rPr>
        <w:t>部门整体支出绩效评价基础数据表</w:t>
      </w:r>
    </w:p>
    <w:p w14:paraId="6B12F546">
      <w:pPr>
        <w:numPr>
          <w:ilvl w:val="0"/>
          <w:numId w:val="0"/>
        </w:numPr>
        <w:spacing w:line="560" w:lineRule="exact"/>
        <w:ind w:firstLine="640" w:firstLineChars="200"/>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2.部门整体支出绩效自评表</w:t>
      </w:r>
    </w:p>
    <w:p w14:paraId="5DC45248">
      <w:pPr>
        <w:pStyle w:val="2"/>
        <w:numPr>
          <w:ilvl w:val="0"/>
          <w:numId w:val="0"/>
        </w:numPr>
        <w:rPr>
          <w:rFonts w:hint="default"/>
          <w:lang w:val="en-US" w:eastAsia="zh-CN"/>
        </w:rPr>
      </w:pPr>
    </w:p>
    <w:p w14:paraId="1C0AA0CB">
      <w:pPr>
        <w:pStyle w:val="2"/>
        <w:numPr>
          <w:ilvl w:val="0"/>
          <w:numId w:val="0"/>
        </w:numPr>
        <w:rPr>
          <w:rFonts w:hint="default"/>
          <w:lang w:val="en-US" w:eastAsia="zh-CN"/>
        </w:rPr>
      </w:pPr>
    </w:p>
    <w:p w14:paraId="2B2F3022">
      <w:pPr>
        <w:pStyle w:val="2"/>
        <w:numPr>
          <w:ilvl w:val="0"/>
          <w:numId w:val="0"/>
        </w:numPr>
        <w:rPr>
          <w:rFonts w:hint="default"/>
          <w:lang w:val="en-US" w:eastAsia="zh-CN"/>
        </w:rPr>
      </w:pPr>
    </w:p>
    <w:p w14:paraId="3701792C">
      <w:pPr>
        <w:pStyle w:val="2"/>
        <w:numPr>
          <w:ilvl w:val="0"/>
          <w:numId w:val="0"/>
        </w:numPr>
        <w:rPr>
          <w:rFonts w:hint="eastAsia"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 xml:space="preserve"> 隆回县财政局</w:t>
      </w:r>
    </w:p>
    <w:p w14:paraId="39DAC3EF">
      <w:pPr>
        <w:pStyle w:val="2"/>
        <w:numPr>
          <w:ilvl w:val="0"/>
          <w:numId w:val="0"/>
        </w:numPr>
        <w:rPr>
          <w:rFonts w:hint="default" w:ascii="仿宋" w:hAnsi="仿宋" w:eastAsia="仿宋" w:cs="仿宋"/>
          <w:lang w:val="en-US" w:eastAsia="zh-CN"/>
        </w:rPr>
      </w:pPr>
      <w:r>
        <w:rPr>
          <w:rFonts w:hint="eastAsia" w:ascii="仿宋" w:hAnsi="仿宋" w:eastAsia="仿宋" w:cs="仿宋"/>
          <w:lang w:val="en-US" w:eastAsia="zh-CN"/>
        </w:rPr>
        <w:t xml:space="preserve">                                  2025年4月30日</w:t>
      </w:r>
    </w:p>
    <w:p w14:paraId="60E26C0E">
      <w:pPr>
        <w:pStyle w:val="2"/>
        <w:rPr>
          <w:rFonts w:hint="eastAsia" w:ascii="仿宋" w:hAnsi="仿宋" w:eastAsia="仿宋" w:cs="仿宋"/>
          <w:color w:val="333333"/>
          <w:kern w:val="0"/>
          <w:sz w:val="32"/>
          <w:szCs w:val="32"/>
          <w:shd w:val="clear" w:color="auto" w:fill="FFFFFF"/>
          <w:lang w:val="en-US" w:eastAsia="zh-CN"/>
        </w:rPr>
      </w:pPr>
    </w:p>
    <w:p w14:paraId="008A3763">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br w:type="page"/>
      </w:r>
    </w:p>
    <w:p w14:paraId="04DAD5C0">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1426F864">
      <w:pPr>
        <w:pStyle w:val="2"/>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0"/>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0FF0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3473EA3">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1FC71EC8">
            <w:pPr>
              <w:pStyle w:val="2"/>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隆回县财政局</w:t>
            </w:r>
          </w:p>
        </w:tc>
      </w:tr>
      <w:tr w14:paraId="332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00" w:type="dxa"/>
            <w:vMerge w:val="restart"/>
            <w:vAlign w:val="center"/>
          </w:tcPr>
          <w:p w14:paraId="45CA479F">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2DFFDD86">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6716883D">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1838" w:type="dxa"/>
            <w:gridSpan w:val="2"/>
            <w:vAlign w:val="center"/>
          </w:tcPr>
          <w:p w14:paraId="768AD0C6">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38CD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00" w:type="dxa"/>
            <w:vMerge w:val="continue"/>
            <w:vAlign w:val="center"/>
          </w:tcPr>
          <w:p w14:paraId="5A1F225F">
            <w:pPr>
              <w:pStyle w:val="2"/>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4AAE745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c>
          <w:tcPr>
            <w:tcW w:w="2099" w:type="dxa"/>
            <w:gridSpan w:val="2"/>
            <w:vAlign w:val="center"/>
          </w:tcPr>
          <w:p w14:paraId="55C0331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92</w:t>
            </w:r>
          </w:p>
        </w:tc>
        <w:tc>
          <w:tcPr>
            <w:tcW w:w="1838" w:type="dxa"/>
            <w:gridSpan w:val="2"/>
            <w:vAlign w:val="center"/>
          </w:tcPr>
          <w:p w14:paraId="320E16F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92%</w:t>
            </w:r>
          </w:p>
        </w:tc>
      </w:tr>
      <w:tr w14:paraId="1DF3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E5F179D">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47D36A8E">
            <w:pPr>
              <w:pStyle w:val="2"/>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0D2398EE">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1838" w:type="dxa"/>
            <w:gridSpan w:val="2"/>
            <w:vAlign w:val="center"/>
          </w:tcPr>
          <w:p w14:paraId="371617D3">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485C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3C22813E">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42C1CB4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1.09</w:t>
            </w:r>
          </w:p>
        </w:tc>
        <w:tc>
          <w:tcPr>
            <w:tcW w:w="2099" w:type="dxa"/>
            <w:gridSpan w:val="2"/>
            <w:vAlign w:val="center"/>
          </w:tcPr>
          <w:p w14:paraId="5D2A1B2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2.1</w:t>
            </w:r>
          </w:p>
        </w:tc>
        <w:tc>
          <w:tcPr>
            <w:tcW w:w="1838" w:type="dxa"/>
            <w:gridSpan w:val="2"/>
            <w:vAlign w:val="center"/>
          </w:tcPr>
          <w:p w14:paraId="2162B3D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0.87</w:t>
            </w:r>
          </w:p>
        </w:tc>
      </w:tr>
      <w:tr w14:paraId="380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66B67FF3">
            <w:pPr>
              <w:pStyle w:val="2"/>
              <w:numPr>
                <w:ilvl w:val="0"/>
                <w:numId w:val="1"/>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4A5C5B63">
            <w:pPr>
              <w:pStyle w:val="2"/>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6DF24188">
            <w:pPr>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3ACC8C6">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6A2263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446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2300" w:type="dxa"/>
            <w:vAlign w:val="center"/>
          </w:tcPr>
          <w:p w14:paraId="00AF5162">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67D501E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75FF680">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4B0BB63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6C4C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300" w:type="dxa"/>
            <w:vAlign w:val="center"/>
          </w:tcPr>
          <w:p w14:paraId="16FBFDF3">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51DFF70A">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D228CD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9289B1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71C9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300" w:type="dxa"/>
            <w:vAlign w:val="center"/>
          </w:tcPr>
          <w:p w14:paraId="4FF4A0D1">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086F81A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62024B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153168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43BA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300" w:type="dxa"/>
            <w:vAlign w:val="center"/>
          </w:tcPr>
          <w:p w14:paraId="17702283">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5D20A4F3">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1.09</w:t>
            </w:r>
          </w:p>
        </w:tc>
        <w:tc>
          <w:tcPr>
            <w:tcW w:w="2099" w:type="dxa"/>
            <w:gridSpan w:val="2"/>
            <w:vAlign w:val="center"/>
          </w:tcPr>
          <w:p w14:paraId="75600268">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2.1</w:t>
            </w:r>
          </w:p>
        </w:tc>
        <w:tc>
          <w:tcPr>
            <w:tcW w:w="1838" w:type="dxa"/>
            <w:gridSpan w:val="2"/>
            <w:vAlign w:val="center"/>
          </w:tcPr>
          <w:p w14:paraId="22E8A877">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bidi="ar-SA"/>
              </w:rPr>
              <w:t>0.87</w:t>
            </w:r>
          </w:p>
        </w:tc>
      </w:tr>
      <w:tr w14:paraId="1C23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3FE17B2D">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4F02199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F6CC1D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282B1B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7B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E9B0BED">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050AF11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F6E7171">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7B736266">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0A27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B08C5BA">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6B006A6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17CF7D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866375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69BA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0467BF2E">
            <w:pPr>
              <w:pStyle w:val="2"/>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760BACB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6F19CF5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9992B4E">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5B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00" w:type="dxa"/>
            <w:vAlign w:val="center"/>
          </w:tcPr>
          <w:p w14:paraId="23A0E97D">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2F744DE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2F66EDC0">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4D8E207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8DD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300" w:type="dxa"/>
            <w:vAlign w:val="center"/>
          </w:tcPr>
          <w:p w14:paraId="733125BF">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41EC8CF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69AB6C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FE6700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5D9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2F39411B">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7E8029B1">
            <w:pPr>
              <w:pStyle w:val="2"/>
              <w:ind w:firstLine="720" w:firstLineChars="4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687</w:t>
            </w:r>
          </w:p>
        </w:tc>
        <w:tc>
          <w:tcPr>
            <w:tcW w:w="2099" w:type="dxa"/>
            <w:gridSpan w:val="2"/>
            <w:vAlign w:val="center"/>
          </w:tcPr>
          <w:p w14:paraId="2B9CB471">
            <w:pPr>
              <w:pStyle w:val="2"/>
              <w:jc w:val="center"/>
              <w:rPr>
                <w:rFonts w:hint="default" w:ascii="仿宋" w:hAnsi="仿宋" w:eastAsia="仿宋" w:cs="仿宋"/>
                <w:b w:val="0"/>
                <w:bCs w:val="0"/>
                <w:kern w:val="0"/>
                <w:sz w:val="18"/>
                <w:szCs w:val="18"/>
                <w:highlight w:val="none"/>
                <w:vertAlign w:val="baseline"/>
                <w:lang w:val="en-US" w:eastAsia="zh-CN"/>
              </w:rPr>
            </w:pPr>
            <w:r>
              <w:rPr>
                <w:rFonts w:hint="default" w:ascii="仿宋" w:hAnsi="仿宋" w:eastAsia="仿宋" w:cs="仿宋"/>
                <w:b w:val="0"/>
                <w:bCs w:val="0"/>
                <w:kern w:val="0"/>
                <w:sz w:val="18"/>
                <w:szCs w:val="18"/>
                <w:highlight w:val="none"/>
                <w:vertAlign w:val="baseline"/>
                <w:lang w:eastAsia="zh-CN"/>
              </w:rPr>
              <w:t>1</w:t>
            </w:r>
            <w:r>
              <w:rPr>
                <w:rFonts w:hint="eastAsia" w:ascii="仿宋" w:hAnsi="仿宋" w:eastAsia="仿宋" w:cs="仿宋"/>
                <w:b w:val="0"/>
                <w:bCs w:val="0"/>
                <w:kern w:val="0"/>
                <w:sz w:val="18"/>
                <w:szCs w:val="18"/>
                <w:highlight w:val="none"/>
                <w:vertAlign w:val="baseline"/>
                <w:lang w:val="en-US" w:eastAsia="zh-CN"/>
              </w:rPr>
              <w:t>47.55</w:t>
            </w:r>
          </w:p>
        </w:tc>
        <w:tc>
          <w:tcPr>
            <w:tcW w:w="1838" w:type="dxa"/>
            <w:gridSpan w:val="2"/>
            <w:vAlign w:val="center"/>
          </w:tcPr>
          <w:p w14:paraId="77FA365D">
            <w:pPr>
              <w:pStyle w:val="2"/>
              <w:ind w:firstLine="720" w:firstLineChars="4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1395.49</w:t>
            </w:r>
          </w:p>
        </w:tc>
      </w:tr>
      <w:tr w14:paraId="164D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3BEFA308">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618A1333">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103.45</w:t>
            </w:r>
          </w:p>
        </w:tc>
        <w:tc>
          <w:tcPr>
            <w:tcW w:w="2099" w:type="dxa"/>
            <w:gridSpan w:val="2"/>
            <w:vAlign w:val="center"/>
          </w:tcPr>
          <w:p w14:paraId="3C762CDA">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22.55</w:t>
            </w:r>
          </w:p>
        </w:tc>
        <w:tc>
          <w:tcPr>
            <w:tcW w:w="1838" w:type="dxa"/>
            <w:gridSpan w:val="2"/>
            <w:vAlign w:val="center"/>
          </w:tcPr>
          <w:p w14:paraId="08C4BB72">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61.4</w:t>
            </w:r>
          </w:p>
        </w:tc>
      </w:tr>
      <w:tr w14:paraId="30FB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1237E6AE">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0E052778">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65.5</w:t>
            </w:r>
          </w:p>
        </w:tc>
        <w:tc>
          <w:tcPr>
            <w:tcW w:w="2099" w:type="dxa"/>
            <w:gridSpan w:val="2"/>
            <w:vAlign w:val="center"/>
          </w:tcPr>
          <w:p w14:paraId="791A9371">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27</w:t>
            </w:r>
          </w:p>
        </w:tc>
        <w:tc>
          <w:tcPr>
            <w:tcW w:w="1838" w:type="dxa"/>
            <w:gridSpan w:val="2"/>
            <w:vAlign w:val="center"/>
          </w:tcPr>
          <w:p w14:paraId="2E7F1EA2">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85.7</w:t>
            </w:r>
          </w:p>
        </w:tc>
      </w:tr>
      <w:tr w14:paraId="07CB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300" w:type="dxa"/>
            <w:vAlign w:val="center"/>
          </w:tcPr>
          <w:p w14:paraId="428FA1AD">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4A63578B">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22.6</w:t>
            </w:r>
          </w:p>
        </w:tc>
        <w:tc>
          <w:tcPr>
            <w:tcW w:w="2099" w:type="dxa"/>
            <w:gridSpan w:val="2"/>
            <w:vAlign w:val="center"/>
          </w:tcPr>
          <w:p w14:paraId="09D27510">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21.78</w:t>
            </w:r>
          </w:p>
        </w:tc>
        <w:tc>
          <w:tcPr>
            <w:tcW w:w="1838" w:type="dxa"/>
            <w:gridSpan w:val="2"/>
            <w:vAlign w:val="center"/>
          </w:tcPr>
          <w:p w14:paraId="3B6ED272">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18</w:t>
            </w:r>
          </w:p>
        </w:tc>
      </w:tr>
      <w:tr w14:paraId="4F02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46F9F9A5">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3DB39993">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157</w:t>
            </w:r>
          </w:p>
        </w:tc>
        <w:tc>
          <w:tcPr>
            <w:tcW w:w="2099" w:type="dxa"/>
            <w:gridSpan w:val="2"/>
            <w:vAlign w:val="center"/>
          </w:tcPr>
          <w:p w14:paraId="489FC006">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21.2</w:t>
            </w:r>
          </w:p>
        </w:tc>
        <w:tc>
          <w:tcPr>
            <w:tcW w:w="1838" w:type="dxa"/>
            <w:gridSpan w:val="2"/>
            <w:vAlign w:val="center"/>
          </w:tcPr>
          <w:p w14:paraId="143A9DCE">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640</w:t>
            </w:r>
          </w:p>
        </w:tc>
      </w:tr>
      <w:tr w14:paraId="5AB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2A8E914D">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6CBDCCA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1EF26F6">
            <w:pPr>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1660CD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3B30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53460088">
            <w:pPr>
              <w:pStyle w:val="2"/>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p w14:paraId="38978522">
            <w:pPr>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950" w:type="dxa"/>
            <w:vAlign w:val="center"/>
          </w:tcPr>
          <w:p w14:paraId="06F836EA">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15E95C2B">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3FB37FA9">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5E477BA3">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5FEF2ACE">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3FE31159">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F91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399B884">
            <w:pPr>
              <w:pStyle w:val="2"/>
              <w:jc w:val="center"/>
              <w:rPr>
                <w:rFonts w:hint="eastAsia" w:ascii="仿宋" w:hAnsi="仿宋" w:eastAsia="仿宋" w:cs="仿宋"/>
                <w:b w:val="0"/>
                <w:bCs w:val="0"/>
                <w:kern w:val="0"/>
                <w:sz w:val="18"/>
                <w:szCs w:val="18"/>
                <w:vertAlign w:val="baseline"/>
                <w:lang w:eastAsia="zh-CN"/>
              </w:rPr>
            </w:pPr>
          </w:p>
        </w:tc>
        <w:tc>
          <w:tcPr>
            <w:tcW w:w="950" w:type="dxa"/>
            <w:vAlign w:val="center"/>
          </w:tcPr>
          <w:p w14:paraId="72B0A24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2336ADC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7C5DCC5C">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4756D63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2C7E957A">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821" w:type="dxa"/>
            <w:vAlign w:val="center"/>
          </w:tcPr>
          <w:p w14:paraId="20184B8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34DB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7E0D0FF2">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vAlign w:val="center"/>
          </w:tcPr>
          <w:p w14:paraId="11FBD476">
            <w:pPr>
              <w:pStyle w:val="2"/>
              <w:ind w:left="0" w:leftChars="0" w:firstLine="0" w:firstLineChars="0"/>
              <w:jc w:val="both"/>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树牢过“紧日子”思想，把握好必要性紧迫性，把财力真正用到重点领域。坚持可花可不花的一律不花，可以少花的尽量少花，必须要办的活动务必厉行节约，坚决杜绝耗费公帑的形式主义官僚主义现象，将有限的资金用在刀刃上，加强财政资源统筹力度，有效保障市委市政府决策部署的重点需求。</w:t>
            </w:r>
          </w:p>
        </w:tc>
      </w:tr>
    </w:tbl>
    <w:p w14:paraId="6E936DD0">
      <w:pPr>
        <w:pStyle w:val="2"/>
        <w:ind w:left="0" w:leftChars="0" w:firstLine="0" w:firstLineChars="0"/>
        <w:jc w:val="both"/>
        <w:rPr>
          <w:rFonts w:hint="eastAsia" w:ascii="仿宋" w:hAnsi="仿宋" w:eastAsia="仿宋" w:cs="仿宋"/>
          <w:b w:val="0"/>
          <w:bCs w:val="0"/>
          <w:kern w:val="0"/>
          <w:sz w:val="30"/>
          <w:szCs w:val="30"/>
          <w:lang w:eastAsia="zh-CN"/>
        </w:rPr>
      </w:pPr>
    </w:p>
    <w:p w14:paraId="66EFE3A5">
      <w:pPr>
        <w:pStyle w:val="2"/>
        <w:ind w:left="0" w:leftChars="0" w:firstLine="440" w:firstLineChars="200"/>
        <w:jc w:val="both"/>
        <w:rPr>
          <w:rFonts w:hint="eastAsia" w:ascii="仿宋" w:hAnsi="仿宋" w:eastAsia="仿宋" w:cs="仿宋"/>
          <w:b w:val="0"/>
          <w:bCs w:val="0"/>
          <w:kern w:val="0"/>
          <w:sz w:val="22"/>
          <w:szCs w:val="22"/>
          <w:lang w:eastAsia="zh-CN"/>
        </w:rPr>
      </w:pPr>
      <w:r>
        <w:rPr>
          <w:rFonts w:hint="eastAsia" w:ascii="仿宋" w:hAnsi="仿宋" w:eastAsia="仿宋" w:cs="仿宋"/>
          <w:b w:val="0"/>
          <w:bCs w:val="0"/>
          <w:kern w:val="0"/>
          <w:sz w:val="22"/>
          <w:szCs w:val="22"/>
          <w:lang w:eastAsia="zh-CN"/>
        </w:rPr>
        <w:t>说明：“县级专项资金”需要填报基本支出以外的所有县级专项资金情况，“公用经费”填报基本支出中的一般商品和服务支出。</w:t>
      </w:r>
    </w:p>
    <w:p w14:paraId="0EC1CC39">
      <w:pPr>
        <w:spacing w:line="640" w:lineRule="exact"/>
        <w:ind w:left="0" w:leftChars="0" w:firstLine="0" w:firstLineChars="0"/>
        <w:jc w:val="left"/>
        <w:rPr>
          <w:rFonts w:hint="eastAsia" w:ascii="黑体" w:hAnsi="黑体" w:eastAsia="黑体" w:cs="黑体"/>
          <w:sz w:val="32"/>
          <w:szCs w:val="32"/>
        </w:rPr>
      </w:pPr>
    </w:p>
    <w:p w14:paraId="798F8C74">
      <w:pPr>
        <w:spacing w:line="640" w:lineRule="exact"/>
        <w:ind w:left="0" w:leftChars="0" w:firstLine="0" w:firstLineChars="0"/>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5FB2D68">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726660D5">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202DB50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3BA07ED1">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eastAsia="zh-CN"/>
              </w:rPr>
              <w:t>隆回县财政局</w:t>
            </w:r>
            <w:r>
              <w:rPr>
                <w:rFonts w:eastAsia="仿宋_GB2312"/>
                <w:color w:val="000000"/>
                <w:kern w:val="0"/>
                <w:sz w:val="18"/>
                <w:szCs w:val="18"/>
              </w:rPr>
              <w:t>　</w:t>
            </w:r>
          </w:p>
        </w:tc>
      </w:tr>
      <w:tr w14:paraId="368CA658">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0665CF17">
            <w:pPr>
              <w:spacing w:line="240" w:lineRule="exact"/>
              <w:ind w:firstLine="0" w:firstLineChars="0"/>
              <w:rPr>
                <w:rFonts w:eastAsia="仿宋_GB2312"/>
                <w:color w:val="000000"/>
                <w:kern w:val="0"/>
                <w:sz w:val="18"/>
                <w:szCs w:val="18"/>
              </w:rPr>
            </w:pPr>
          </w:p>
          <w:p w14:paraId="2ADFFDA3">
            <w:pPr>
              <w:pStyle w:val="5"/>
            </w:pPr>
          </w:p>
        </w:tc>
        <w:tc>
          <w:tcPr>
            <w:tcW w:w="1681" w:type="dxa"/>
            <w:gridSpan w:val="2"/>
            <w:tcBorders>
              <w:top w:val="nil"/>
              <w:left w:val="nil"/>
              <w:bottom w:val="single" w:color="auto" w:sz="4" w:space="0"/>
              <w:right w:val="single" w:color="auto" w:sz="4" w:space="0"/>
            </w:tcBorders>
            <w:noWrap w:val="0"/>
            <w:vAlign w:val="center"/>
          </w:tcPr>
          <w:p w14:paraId="4ACAAA3E">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0A0B9E47">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15D44262">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3B360687">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0142392E">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237D5008">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62DDA47E">
            <w:pPr>
              <w:spacing w:line="240" w:lineRule="exact"/>
              <w:ind w:firstLine="0" w:firstLineChars="0"/>
              <w:rPr>
                <w:rFonts w:eastAsia="仿宋_GB2312"/>
                <w:sz w:val="18"/>
                <w:szCs w:val="18"/>
              </w:rPr>
            </w:pPr>
            <w:r>
              <w:rPr>
                <w:rFonts w:eastAsia="仿宋_GB2312"/>
                <w:sz w:val="18"/>
                <w:szCs w:val="18"/>
              </w:rPr>
              <w:t>得分</w:t>
            </w:r>
          </w:p>
        </w:tc>
      </w:tr>
      <w:tr w14:paraId="431905BE">
        <w:tblPrEx>
          <w:tblCellMar>
            <w:top w:w="0" w:type="dxa"/>
            <w:left w:w="108" w:type="dxa"/>
            <w:bottom w:w="0" w:type="dxa"/>
            <w:right w:w="108" w:type="dxa"/>
          </w:tblCellMar>
        </w:tblPrEx>
        <w:trPr>
          <w:trHeight w:val="477" w:hRule="atLeast"/>
          <w:jc w:val="center"/>
        </w:trPr>
        <w:tc>
          <w:tcPr>
            <w:tcW w:w="969" w:type="dxa"/>
            <w:vMerge w:val="continue"/>
            <w:tcBorders>
              <w:top w:val="nil"/>
              <w:left w:val="single" w:color="auto" w:sz="4" w:space="0"/>
              <w:right w:val="single" w:color="auto" w:sz="4" w:space="0"/>
            </w:tcBorders>
            <w:noWrap w:val="0"/>
            <w:vAlign w:val="center"/>
          </w:tcPr>
          <w:p w14:paraId="65A2F0C1">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1A6B3E5C">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01271084">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1273.23</w:t>
            </w:r>
          </w:p>
        </w:tc>
        <w:tc>
          <w:tcPr>
            <w:tcW w:w="1161" w:type="dxa"/>
            <w:gridSpan w:val="2"/>
            <w:tcBorders>
              <w:top w:val="nil"/>
              <w:left w:val="nil"/>
              <w:bottom w:val="single" w:color="auto" w:sz="4" w:space="0"/>
              <w:right w:val="single" w:color="auto" w:sz="4" w:space="0"/>
            </w:tcBorders>
            <w:noWrap w:val="0"/>
            <w:vAlign w:val="center"/>
          </w:tcPr>
          <w:p w14:paraId="019EC790">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2612.42</w:t>
            </w:r>
          </w:p>
        </w:tc>
        <w:tc>
          <w:tcPr>
            <w:tcW w:w="1146" w:type="dxa"/>
            <w:tcBorders>
              <w:top w:val="nil"/>
              <w:left w:val="nil"/>
              <w:bottom w:val="single" w:color="auto" w:sz="4" w:space="0"/>
              <w:right w:val="single" w:color="auto" w:sz="4" w:space="0"/>
            </w:tcBorders>
            <w:noWrap w:val="0"/>
            <w:vAlign w:val="center"/>
          </w:tcPr>
          <w:p w14:paraId="1B1DD3C7">
            <w:pPr>
              <w:spacing w:line="240" w:lineRule="exact"/>
              <w:ind w:firstLine="180" w:firstLineChars="100"/>
              <w:jc w:val="both"/>
              <w:rPr>
                <w:rFonts w:hint="default" w:eastAsia="仿宋_GB2312"/>
                <w:sz w:val="18"/>
                <w:szCs w:val="18"/>
                <w:lang w:val="en-US" w:eastAsia="zh-CN"/>
              </w:rPr>
            </w:pPr>
            <w:r>
              <w:rPr>
                <w:rFonts w:hint="eastAsia" w:eastAsia="仿宋_GB2312"/>
                <w:sz w:val="18"/>
                <w:szCs w:val="18"/>
                <w:lang w:val="en-US" w:eastAsia="zh-CN"/>
              </w:rPr>
              <w:t>2612.42</w:t>
            </w:r>
          </w:p>
        </w:tc>
        <w:tc>
          <w:tcPr>
            <w:tcW w:w="636" w:type="dxa"/>
            <w:tcBorders>
              <w:top w:val="nil"/>
              <w:left w:val="nil"/>
              <w:bottom w:val="single" w:color="auto" w:sz="4" w:space="0"/>
              <w:right w:val="single" w:color="auto" w:sz="4" w:space="0"/>
            </w:tcBorders>
            <w:noWrap w:val="0"/>
            <w:vAlign w:val="center"/>
          </w:tcPr>
          <w:p w14:paraId="2740BD30">
            <w:pPr>
              <w:spacing w:line="240" w:lineRule="exact"/>
              <w:ind w:firstLine="0" w:firstLineChars="0"/>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670797C0">
            <w:pPr>
              <w:spacing w:line="240" w:lineRule="exact"/>
              <w:ind w:firstLine="180" w:firstLineChars="100"/>
              <w:jc w:val="both"/>
              <w:rPr>
                <w:rFonts w:hint="default" w:eastAsia="仿宋_GB2312"/>
                <w:sz w:val="18"/>
                <w:szCs w:val="18"/>
                <w:lang w:val="en-US" w:eastAsia="zh-CN"/>
              </w:rPr>
            </w:pPr>
            <w:r>
              <w:rPr>
                <w:rFonts w:hint="eastAsia" w:eastAsia="仿宋_GB2312"/>
                <w:sz w:val="18"/>
                <w:szCs w:val="18"/>
                <w:lang w:val="en-US" w:eastAsia="zh-CN"/>
              </w:rPr>
              <w:t>205.2%</w:t>
            </w:r>
          </w:p>
        </w:tc>
        <w:tc>
          <w:tcPr>
            <w:tcW w:w="1223" w:type="dxa"/>
            <w:tcBorders>
              <w:top w:val="nil"/>
              <w:left w:val="nil"/>
              <w:bottom w:val="single" w:color="auto" w:sz="4" w:space="0"/>
              <w:right w:val="single" w:color="auto" w:sz="4" w:space="0"/>
            </w:tcBorders>
            <w:noWrap w:val="0"/>
            <w:vAlign w:val="center"/>
          </w:tcPr>
          <w:p w14:paraId="2B6A886F">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362CE8F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2E1B3B">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w:t>
            </w:r>
          </w:p>
        </w:tc>
        <w:tc>
          <w:tcPr>
            <w:tcW w:w="4115" w:type="dxa"/>
            <w:gridSpan w:val="5"/>
            <w:tcBorders>
              <w:top w:val="nil"/>
              <w:left w:val="nil"/>
              <w:bottom w:val="single" w:color="auto" w:sz="4" w:space="0"/>
              <w:right w:val="single" w:color="auto" w:sz="4" w:space="0"/>
            </w:tcBorders>
            <w:noWrap w:val="0"/>
            <w:vAlign w:val="center"/>
          </w:tcPr>
          <w:p w14:paraId="378AA544">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7FB3F4BF">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5C5DFD9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2D4106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4C8B015">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sz w:val="18"/>
                <w:szCs w:val="18"/>
                <w:lang w:val="en-US" w:eastAsia="zh-CN"/>
              </w:rPr>
              <w:t>1273.23</w:t>
            </w:r>
            <w:r>
              <w:rPr>
                <w:rFonts w:hint="eastAsia" w:eastAsia="仿宋_GB2312"/>
                <w:color w:val="000000"/>
                <w:kern w:val="0"/>
                <w:sz w:val="18"/>
                <w:szCs w:val="18"/>
                <w:lang w:val="en-US" w:eastAsia="zh-CN"/>
              </w:rPr>
              <w:t>万元</w:t>
            </w:r>
          </w:p>
        </w:tc>
        <w:tc>
          <w:tcPr>
            <w:tcW w:w="3895" w:type="dxa"/>
            <w:gridSpan w:val="4"/>
            <w:tcBorders>
              <w:top w:val="nil"/>
              <w:left w:val="nil"/>
              <w:bottom w:val="single" w:color="auto" w:sz="4" w:space="0"/>
              <w:right w:val="single" w:color="auto" w:sz="4" w:space="0"/>
            </w:tcBorders>
            <w:noWrap w:val="0"/>
            <w:vAlign w:val="center"/>
          </w:tcPr>
          <w:p w14:paraId="51F1A49E">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2612.42万元</w:t>
            </w:r>
          </w:p>
        </w:tc>
      </w:tr>
      <w:tr w14:paraId="0B0EA53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69375CD">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2A1BF5F9">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0万元</w:t>
            </w:r>
          </w:p>
        </w:tc>
        <w:tc>
          <w:tcPr>
            <w:tcW w:w="3895" w:type="dxa"/>
            <w:gridSpan w:val="4"/>
            <w:tcBorders>
              <w:top w:val="nil"/>
              <w:left w:val="nil"/>
              <w:bottom w:val="single" w:color="auto" w:sz="4" w:space="0"/>
              <w:right w:val="single" w:color="auto" w:sz="4" w:space="0"/>
            </w:tcBorders>
            <w:noWrap w:val="0"/>
            <w:vAlign w:val="center"/>
          </w:tcPr>
          <w:p w14:paraId="6F266C74">
            <w:pPr>
              <w:spacing w:line="240" w:lineRule="exact"/>
              <w:ind w:firstLine="540" w:firstLineChars="300"/>
              <w:jc w:val="left"/>
              <w:rPr>
                <w:rFonts w:hint="eastAsia"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hint="eastAsia" w:eastAsia="仿宋_GB2312"/>
                <w:color w:val="000000"/>
                <w:kern w:val="0"/>
                <w:sz w:val="18"/>
                <w:szCs w:val="18"/>
                <w:lang w:val="en-US" w:eastAsia="zh-CN"/>
              </w:rPr>
              <w:t>0万元</w:t>
            </w:r>
          </w:p>
        </w:tc>
      </w:tr>
      <w:tr w14:paraId="466F371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0C1B41D">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CCBA9B4">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0万元</w:t>
            </w:r>
          </w:p>
        </w:tc>
        <w:tc>
          <w:tcPr>
            <w:tcW w:w="3895" w:type="dxa"/>
            <w:gridSpan w:val="4"/>
            <w:tcBorders>
              <w:top w:val="nil"/>
              <w:left w:val="nil"/>
              <w:bottom w:val="single" w:color="auto" w:sz="4" w:space="0"/>
              <w:right w:val="single" w:color="auto" w:sz="4" w:space="0"/>
            </w:tcBorders>
            <w:noWrap w:val="0"/>
            <w:vAlign w:val="center"/>
          </w:tcPr>
          <w:p w14:paraId="6E87D4C8">
            <w:pPr>
              <w:spacing w:line="240" w:lineRule="exact"/>
              <w:ind w:firstLine="360"/>
              <w:jc w:val="left"/>
              <w:rPr>
                <w:rFonts w:eastAsia="仿宋_GB2312"/>
                <w:color w:val="000000"/>
                <w:kern w:val="0"/>
                <w:sz w:val="18"/>
                <w:szCs w:val="18"/>
              </w:rPr>
            </w:pPr>
          </w:p>
        </w:tc>
      </w:tr>
      <w:tr w14:paraId="33C6C3B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3F2252B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C31F930">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0万元</w:t>
            </w:r>
          </w:p>
        </w:tc>
        <w:tc>
          <w:tcPr>
            <w:tcW w:w="3895" w:type="dxa"/>
            <w:gridSpan w:val="4"/>
            <w:tcBorders>
              <w:top w:val="nil"/>
              <w:left w:val="nil"/>
              <w:bottom w:val="single" w:color="auto" w:sz="4" w:space="0"/>
              <w:right w:val="single" w:color="auto" w:sz="4" w:space="0"/>
            </w:tcBorders>
            <w:noWrap w:val="0"/>
            <w:vAlign w:val="center"/>
          </w:tcPr>
          <w:p w14:paraId="5113AD6A">
            <w:pPr>
              <w:spacing w:line="240" w:lineRule="exact"/>
              <w:ind w:firstLine="360"/>
              <w:jc w:val="left"/>
              <w:rPr>
                <w:rFonts w:eastAsia="仿宋_GB2312"/>
                <w:color w:val="000000"/>
                <w:kern w:val="0"/>
                <w:sz w:val="18"/>
                <w:szCs w:val="18"/>
              </w:rPr>
            </w:pPr>
          </w:p>
        </w:tc>
      </w:tr>
      <w:tr w14:paraId="6E406105">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04DA8A16">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22158DAB">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6CE87805">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25D434F7">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45DEA6E7">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0BB66EA8">
            <w:pPr>
              <w:spacing w:line="240" w:lineRule="exact"/>
              <w:ind w:firstLine="360"/>
              <w:jc w:val="left"/>
              <w:rPr>
                <w:rFonts w:hint="eastAsia" w:eastAsia="仿宋_GB2312"/>
                <w:color w:val="000000"/>
                <w:kern w:val="0"/>
                <w:sz w:val="18"/>
                <w:szCs w:val="18"/>
              </w:rPr>
            </w:pPr>
            <w:r>
              <w:rPr>
                <w:rFonts w:hint="eastAsia" w:eastAsia="仿宋_GB2312"/>
                <w:color w:val="000000"/>
                <w:kern w:val="0"/>
                <w:sz w:val="18"/>
                <w:szCs w:val="18"/>
              </w:rPr>
              <w:t>目标1：按照“财政收入保增长、财政支出保民生、财政改革保利益、财政运转保高效”的思路，加大财政支持力度，完善民生保障机制，强化预算收支管理，推进财税体制改革，较好地完成了全年各项工作任务；</w:t>
            </w:r>
          </w:p>
          <w:p w14:paraId="418F45A7">
            <w:pPr>
              <w:spacing w:line="240" w:lineRule="exact"/>
              <w:ind w:firstLine="360"/>
              <w:jc w:val="left"/>
              <w:rPr>
                <w:rFonts w:hint="eastAsia" w:eastAsia="仿宋_GB2312"/>
                <w:color w:val="000000"/>
                <w:kern w:val="0"/>
                <w:sz w:val="18"/>
                <w:szCs w:val="18"/>
              </w:rPr>
            </w:pPr>
            <w:r>
              <w:rPr>
                <w:rFonts w:hint="eastAsia" w:eastAsia="仿宋_GB2312"/>
                <w:color w:val="000000"/>
                <w:kern w:val="0"/>
                <w:sz w:val="18"/>
                <w:szCs w:val="18"/>
              </w:rPr>
              <w:t>目标2：重点保障机关运转及重点工作的需要，大力压缩一般性支出，提高财政资金使用效益；</w:t>
            </w:r>
          </w:p>
          <w:p w14:paraId="6C42D864">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rPr>
              <w:t>目标3：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公开。</w:t>
            </w:r>
            <w:r>
              <w:rPr>
                <w:rFonts w:eastAsia="仿宋_GB2312"/>
                <w:color w:val="000000"/>
                <w:kern w:val="0"/>
                <w:sz w:val="18"/>
                <w:szCs w:val="18"/>
              </w:rPr>
              <w:t>　　</w:t>
            </w:r>
            <w:r>
              <w:rPr>
                <w:rFonts w:hint="eastAsia" w:eastAsia="仿宋_GB2312"/>
                <w:color w:val="000000"/>
                <w:kern w:val="0"/>
                <w:sz w:val="18"/>
                <w:szCs w:val="18"/>
                <w:lang w:eastAsia="zh-CN"/>
              </w:rPr>
              <w:t>、</w:t>
            </w:r>
          </w:p>
        </w:tc>
        <w:tc>
          <w:tcPr>
            <w:tcW w:w="3895" w:type="dxa"/>
            <w:gridSpan w:val="4"/>
            <w:tcBorders>
              <w:top w:val="single" w:color="auto" w:sz="4" w:space="0"/>
              <w:left w:val="nil"/>
              <w:bottom w:val="single" w:color="auto" w:sz="4" w:space="0"/>
              <w:right w:val="single" w:color="auto" w:sz="4" w:space="0"/>
            </w:tcBorders>
            <w:noWrap w:val="0"/>
            <w:vAlign w:val="center"/>
          </w:tcPr>
          <w:p w14:paraId="38F45EC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加大财源建设、支持全县产业发展，做大做强实体经济、防范化解债务风险有序推进，预算管理日趋规范，存量资金有效盘活，财政评审效益明显，“互联网</w:t>
            </w:r>
            <w:r>
              <w:rPr>
                <w:rFonts w:hint="eastAsia" w:eastAsia="仿宋_GB2312"/>
                <w:color w:val="000000"/>
                <w:kern w:val="0"/>
                <w:sz w:val="18"/>
                <w:szCs w:val="18"/>
                <w:lang w:val="en-US" w:eastAsia="zh-CN"/>
              </w:rPr>
              <w:t>+监督</w:t>
            </w:r>
            <w:r>
              <w:rPr>
                <w:rFonts w:hint="eastAsia" w:eastAsia="仿宋_GB2312"/>
                <w:color w:val="000000"/>
                <w:kern w:val="0"/>
                <w:sz w:val="18"/>
                <w:szCs w:val="18"/>
                <w:lang w:eastAsia="zh-CN"/>
              </w:rPr>
              <w:t>”持续推进，惠农补贴发放规范、惠农肩负落实到位，政府采购监管有力，支付改革体质扩面，驻村帮扶成效显著，</w:t>
            </w:r>
            <w:r>
              <w:rPr>
                <w:rFonts w:hint="eastAsia" w:eastAsia="仿宋_GB2312"/>
                <w:color w:val="000000"/>
                <w:kern w:val="0"/>
                <w:sz w:val="18"/>
                <w:szCs w:val="18"/>
                <w:lang w:val="en-US" w:eastAsia="zh-CN"/>
              </w:rPr>
              <w:t>新政府会计制度顺利实施。</w:t>
            </w:r>
          </w:p>
        </w:tc>
      </w:tr>
      <w:tr w14:paraId="63F0AFC8">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148B4FCA">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CFEA049">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2AF028DA">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2E1B8C8D">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157D0605">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0A21EE6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2DBCFF6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00E6F403">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1A3D4E5A">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2C5EF5C2">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7B71C67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5A697C09">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20A60DE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3438D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39C929BC">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6C03916C">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B7F782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061BF56D">
            <w:pPr>
              <w:spacing w:line="240" w:lineRule="exact"/>
              <w:jc w:val="left"/>
              <w:rPr>
                <w:rFonts w:eastAsia="仿宋_GB2312"/>
                <w:color w:val="000000"/>
                <w:kern w:val="0"/>
                <w:sz w:val="18"/>
                <w:szCs w:val="18"/>
              </w:rPr>
            </w:pPr>
            <w:r>
              <w:rPr>
                <w:rFonts w:hint="eastAsia" w:eastAsia="仿宋_GB2312"/>
                <w:color w:val="000000"/>
                <w:kern w:val="0"/>
                <w:sz w:val="18"/>
                <w:szCs w:val="18"/>
              </w:rPr>
              <w:t>在职人员数</w:t>
            </w:r>
          </w:p>
        </w:tc>
        <w:tc>
          <w:tcPr>
            <w:tcW w:w="1077" w:type="dxa"/>
            <w:tcBorders>
              <w:top w:val="nil"/>
              <w:left w:val="nil"/>
              <w:bottom w:val="single" w:color="auto" w:sz="4" w:space="0"/>
              <w:right w:val="single" w:color="auto" w:sz="4" w:space="0"/>
            </w:tcBorders>
            <w:noWrap w:val="0"/>
            <w:vAlign w:val="center"/>
          </w:tcPr>
          <w:p w14:paraId="4F58FDE8">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&lt;100人</w:t>
            </w:r>
          </w:p>
        </w:tc>
        <w:tc>
          <w:tcPr>
            <w:tcW w:w="1146" w:type="dxa"/>
            <w:tcBorders>
              <w:top w:val="nil"/>
              <w:left w:val="nil"/>
              <w:bottom w:val="single" w:color="auto" w:sz="4" w:space="0"/>
              <w:right w:val="single" w:color="auto" w:sz="4" w:space="0"/>
            </w:tcBorders>
            <w:noWrap w:val="0"/>
            <w:vAlign w:val="center"/>
          </w:tcPr>
          <w:p w14:paraId="7FA9473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100人</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DE4F526">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1BF5521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0C5A716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4A7B1C3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9D8433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285189C">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137BFC7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D43FA25">
            <w:pPr>
              <w:spacing w:line="240" w:lineRule="exact"/>
              <w:jc w:val="left"/>
              <w:rPr>
                <w:rFonts w:eastAsia="仿宋_GB2312"/>
                <w:color w:val="000000"/>
                <w:kern w:val="0"/>
                <w:sz w:val="18"/>
                <w:szCs w:val="18"/>
              </w:rPr>
            </w:pPr>
            <w:r>
              <w:rPr>
                <w:rFonts w:hint="eastAsia" w:eastAsia="仿宋_GB2312"/>
                <w:color w:val="000000"/>
                <w:kern w:val="0"/>
                <w:sz w:val="18"/>
                <w:szCs w:val="18"/>
              </w:rPr>
              <w:t>举办计人员业务培训次数</w:t>
            </w:r>
          </w:p>
        </w:tc>
        <w:tc>
          <w:tcPr>
            <w:tcW w:w="1077" w:type="dxa"/>
            <w:tcBorders>
              <w:top w:val="nil"/>
              <w:left w:val="nil"/>
              <w:bottom w:val="single" w:color="auto" w:sz="4" w:space="0"/>
              <w:right w:val="single" w:color="auto" w:sz="4" w:space="0"/>
            </w:tcBorders>
            <w:noWrap w:val="0"/>
            <w:vAlign w:val="center"/>
          </w:tcPr>
          <w:p w14:paraId="4DBF3BBD">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&gt;2次</w:t>
            </w:r>
          </w:p>
        </w:tc>
        <w:tc>
          <w:tcPr>
            <w:tcW w:w="1146" w:type="dxa"/>
            <w:tcBorders>
              <w:top w:val="nil"/>
              <w:left w:val="nil"/>
              <w:bottom w:val="single" w:color="auto" w:sz="4" w:space="0"/>
              <w:right w:val="single" w:color="auto" w:sz="4" w:space="0"/>
            </w:tcBorders>
            <w:noWrap w:val="0"/>
            <w:vAlign w:val="center"/>
          </w:tcPr>
          <w:p w14:paraId="36927CC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2次</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3A4253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682CE14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3C7E93C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C4ED3C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6A2C6C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0986224">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137AC2E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54F02FED">
            <w:pPr>
              <w:spacing w:line="240" w:lineRule="exact"/>
              <w:jc w:val="left"/>
              <w:rPr>
                <w:rFonts w:eastAsia="仿宋_GB2312"/>
                <w:color w:val="000000"/>
                <w:kern w:val="0"/>
                <w:sz w:val="18"/>
                <w:szCs w:val="18"/>
              </w:rPr>
            </w:pPr>
            <w:r>
              <w:rPr>
                <w:rFonts w:hint="eastAsia" w:eastAsia="仿宋_GB2312"/>
                <w:color w:val="000000"/>
                <w:kern w:val="0"/>
                <w:sz w:val="18"/>
                <w:szCs w:val="18"/>
              </w:rPr>
              <w:t>重点工作办结率</w:t>
            </w:r>
          </w:p>
        </w:tc>
        <w:tc>
          <w:tcPr>
            <w:tcW w:w="1077" w:type="dxa"/>
            <w:tcBorders>
              <w:top w:val="nil"/>
              <w:left w:val="nil"/>
              <w:bottom w:val="single" w:color="auto" w:sz="4" w:space="0"/>
              <w:right w:val="single" w:color="auto" w:sz="4" w:space="0"/>
            </w:tcBorders>
            <w:noWrap w:val="0"/>
            <w:vAlign w:val="center"/>
          </w:tcPr>
          <w:p w14:paraId="293BB9E5">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F08951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369D3E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5A9B0BC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57319B03">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3D7FB4D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98FE38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948015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2E95364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258DF61">
            <w:pPr>
              <w:spacing w:line="240" w:lineRule="exact"/>
              <w:jc w:val="left"/>
              <w:rPr>
                <w:rFonts w:eastAsia="仿宋_GB2312"/>
                <w:color w:val="000000"/>
                <w:kern w:val="0"/>
                <w:sz w:val="18"/>
                <w:szCs w:val="18"/>
              </w:rPr>
            </w:pPr>
            <w:r>
              <w:rPr>
                <w:rFonts w:hint="eastAsia" w:eastAsia="仿宋_GB2312"/>
                <w:color w:val="000000"/>
                <w:kern w:val="0"/>
                <w:sz w:val="18"/>
                <w:szCs w:val="18"/>
              </w:rPr>
              <w:t>财政专项检查通过率</w:t>
            </w:r>
          </w:p>
        </w:tc>
        <w:tc>
          <w:tcPr>
            <w:tcW w:w="1077" w:type="dxa"/>
            <w:tcBorders>
              <w:top w:val="nil"/>
              <w:left w:val="nil"/>
              <w:bottom w:val="single" w:color="auto" w:sz="4" w:space="0"/>
              <w:right w:val="single" w:color="auto" w:sz="4" w:space="0"/>
            </w:tcBorders>
            <w:noWrap w:val="0"/>
            <w:vAlign w:val="center"/>
          </w:tcPr>
          <w:p w14:paraId="22AB79D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19FDDF7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p>
        </w:tc>
        <w:tc>
          <w:tcPr>
            <w:tcW w:w="636" w:type="dxa"/>
            <w:tcBorders>
              <w:top w:val="nil"/>
              <w:left w:val="nil"/>
              <w:bottom w:val="single" w:color="auto" w:sz="4" w:space="0"/>
              <w:right w:val="single" w:color="auto" w:sz="4" w:space="0"/>
            </w:tcBorders>
            <w:noWrap w:val="0"/>
            <w:vAlign w:val="center"/>
          </w:tcPr>
          <w:p w14:paraId="77F363B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36A7ABA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5E73888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12AB227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8A6605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E3B171F">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04365F0">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9764A8F">
            <w:pPr>
              <w:spacing w:line="240" w:lineRule="exact"/>
              <w:jc w:val="left"/>
              <w:rPr>
                <w:rFonts w:eastAsia="仿宋_GB2312"/>
                <w:color w:val="000000"/>
                <w:kern w:val="0"/>
                <w:sz w:val="18"/>
                <w:szCs w:val="18"/>
              </w:rPr>
            </w:pPr>
            <w:r>
              <w:rPr>
                <w:rFonts w:hint="eastAsia" w:eastAsia="仿宋_GB2312"/>
                <w:color w:val="000000"/>
                <w:kern w:val="0"/>
                <w:sz w:val="18"/>
                <w:szCs w:val="18"/>
              </w:rPr>
              <w:t>财政供养人员控制率</w:t>
            </w:r>
          </w:p>
        </w:tc>
        <w:tc>
          <w:tcPr>
            <w:tcW w:w="1077" w:type="dxa"/>
            <w:tcBorders>
              <w:top w:val="nil"/>
              <w:left w:val="nil"/>
              <w:bottom w:val="single" w:color="auto" w:sz="4" w:space="0"/>
              <w:right w:val="single" w:color="auto" w:sz="4" w:space="0"/>
            </w:tcBorders>
            <w:noWrap w:val="0"/>
            <w:vAlign w:val="center"/>
          </w:tcPr>
          <w:p w14:paraId="036C406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C8A19C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p>
        </w:tc>
        <w:tc>
          <w:tcPr>
            <w:tcW w:w="636" w:type="dxa"/>
            <w:tcBorders>
              <w:top w:val="nil"/>
              <w:left w:val="nil"/>
              <w:bottom w:val="single" w:color="auto" w:sz="4" w:space="0"/>
              <w:right w:val="single" w:color="auto" w:sz="4" w:space="0"/>
            </w:tcBorders>
            <w:noWrap w:val="0"/>
            <w:vAlign w:val="center"/>
          </w:tcPr>
          <w:p w14:paraId="0E18EEE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5493DDA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179C46A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50D452C9">
        <w:tblPrEx>
          <w:tblCellMar>
            <w:top w:w="0" w:type="dxa"/>
            <w:left w:w="108" w:type="dxa"/>
            <w:bottom w:w="0" w:type="dxa"/>
            <w:right w:w="108" w:type="dxa"/>
          </w:tblCellMar>
        </w:tblPrEx>
        <w:trPr>
          <w:trHeight w:val="404" w:hRule="atLeast"/>
          <w:jc w:val="center"/>
        </w:trPr>
        <w:tc>
          <w:tcPr>
            <w:tcW w:w="969" w:type="dxa"/>
            <w:vMerge w:val="continue"/>
            <w:tcBorders>
              <w:left w:val="single" w:color="auto" w:sz="4" w:space="0"/>
              <w:right w:val="single" w:color="auto" w:sz="4" w:space="0"/>
            </w:tcBorders>
            <w:noWrap w:val="0"/>
            <w:vAlign w:val="center"/>
          </w:tcPr>
          <w:p w14:paraId="4E75A69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EE639DE">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92D50D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65EF30CC">
            <w:pPr>
              <w:spacing w:line="240" w:lineRule="exact"/>
              <w:jc w:val="left"/>
              <w:rPr>
                <w:rFonts w:eastAsia="仿宋_GB2312"/>
                <w:color w:val="000000"/>
                <w:kern w:val="0"/>
                <w:sz w:val="18"/>
                <w:szCs w:val="18"/>
              </w:rPr>
            </w:pPr>
            <w:r>
              <w:rPr>
                <w:rFonts w:hint="eastAsia" w:eastAsia="仿宋_GB2312"/>
                <w:color w:val="000000"/>
                <w:kern w:val="0"/>
                <w:sz w:val="18"/>
                <w:szCs w:val="18"/>
              </w:rPr>
              <w:t>验收及时率</w:t>
            </w:r>
          </w:p>
        </w:tc>
        <w:tc>
          <w:tcPr>
            <w:tcW w:w="1077" w:type="dxa"/>
            <w:tcBorders>
              <w:top w:val="nil"/>
              <w:left w:val="nil"/>
              <w:bottom w:val="single" w:color="auto" w:sz="4" w:space="0"/>
              <w:right w:val="single" w:color="auto" w:sz="4" w:space="0"/>
            </w:tcBorders>
            <w:noWrap w:val="0"/>
            <w:vAlign w:val="center"/>
          </w:tcPr>
          <w:p w14:paraId="121A693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765DC7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313BD9E2">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53E27FB6">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7E77A4D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10B95E3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F58F79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876404F">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E0D566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D853D29">
            <w:pPr>
              <w:spacing w:line="240" w:lineRule="exact"/>
              <w:jc w:val="left"/>
              <w:rPr>
                <w:rFonts w:eastAsia="仿宋_GB2312"/>
                <w:color w:val="000000"/>
                <w:kern w:val="0"/>
                <w:sz w:val="18"/>
                <w:szCs w:val="18"/>
              </w:rPr>
            </w:pPr>
            <w:r>
              <w:rPr>
                <w:rFonts w:hint="eastAsia" w:eastAsia="仿宋_GB2312"/>
                <w:color w:val="000000"/>
                <w:kern w:val="0"/>
                <w:sz w:val="18"/>
                <w:szCs w:val="18"/>
              </w:rPr>
              <w:t>财政评审及时率</w:t>
            </w:r>
          </w:p>
        </w:tc>
        <w:tc>
          <w:tcPr>
            <w:tcW w:w="1077" w:type="dxa"/>
            <w:tcBorders>
              <w:top w:val="nil"/>
              <w:left w:val="nil"/>
              <w:bottom w:val="single" w:color="auto" w:sz="4" w:space="0"/>
              <w:right w:val="single" w:color="auto" w:sz="4" w:space="0"/>
            </w:tcBorders>
            <w:noWrap w:val="0"/>
            <w:vAlign w:val="center"/>
          </w:tcPr>
          <w:p w14:paraId="5B0F9B1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791A3B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7451151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24712176">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0C0D6C0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4001B613">
        <w:tblPrEx>
          <w:tblCellMar>
            <w:top w:w="0" w:type="dxa"/>
            <w:left w:w="108" w:type="dxa"/>
            <w:bottom w:w="0" w:type="dxa"/>
            <w:right w:w="108" w:type="dxa"/>
          </w:tblCellMar>
        </w:tblPrEx>
        <w:trPr>
          <w:trHeight w:val="610" w:hRule="atLeast"/>
          <w:jc w:val="center"/>
        </w:trPr>
        <w:tc>
          <w:tcPr>
            <w:tcW w:w="969" w:type="dxa"/>
            <w:vMerge w:val="continue"/>
            <w:tcBorders>
              <w:left w:val="single" w:color="auto" w:sz="4" w:space="0"/>
              <w:right w:val="single" w:color="auto" w:sz="4" w:space="0"/>
            </w:tcBorders>
            <w:noWrap w:val="0"/>
            <w:vAlign w:val="center"/>
          </w:tcPr>
          <w:p w14:paraId="47C335D8">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B679C89">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359A93C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7A571129">
            <w:pPr>
              <w:spacing w:line="240" w:lineRule="exact"/>
              <w:jc w:val="left"/>
              <w:rPr>
                <w:rFonts w:eastAsia="仿宋_GB2312"/>
                <w:color w:val="000000"/>
                <w:kern w:val="0"/>
                <w:sz w:val="18"/>
                <w:szCs w:val="18"/>
              </w:rPr>
            </w:pPr>
            <w:r>
              <w:rPr>
                <w:rFonts w:hint="eastAsia" w:eastAsia="仿宋_GB2312"/>
                <w:color w:val="000000"/>
                <w:kern w:val="0"/>
                <w:sz w:val="18"/>
                <w:szCs w:val="18"/>
              </w:rPr>
              <w:t>部门预算支出金额</w:t>
            </w:r>
          </w:p>
        </w:tc>
        <w:tc>
          <w:tcPr>
            <w:tcW w:w="1077" w:type="dxa"/>
            <w:tcBorders>
              <w:top w:val="nil"/>
              <w:left w:val="nil"/>
              <w:bottom w:val="single" w:color="auto" w:sz="4" w:space="0"/>
              <w:right w:val="single" w:color="auto" w:sz="4" w:space="0"/>
            </w:tcBorders>
            <w:noWrap w:val="0"/>
            <w:vAlign w:val="center"/>
          </w:tcPr>
          <w:p w14:paraId="4DD6626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&lt;</w:t>
            </w:r>
            <w:r>
              <w:rPr>
                <w:rFonts w:hint="eastAsia" w:eastAsia="仿宋_GB2312"/>
                <w:sz w:val="18"/>
                <w:szCs w:val="18"/>
                <w:lang w:val="en-US" w:eastAsia="zh-CN"/>
              </w:rPr>
              <w:t>1273.23</w:t>
            </w:r>
            <w:r>
              <w:rPr>
                <w:rFonts w:hint="eastAsia" w:eastAsia="仿宋_GB2312"/>
                <w:color w:val="000000"/>
                <w:kern w:val="0"/>
                <w:sz w:val="18"/>
                <w:szCs w:val="18"/>
                <w:lang w:val="en-US" w:eastAsia="zh-CN"/>
              </w:rPr>
              <w:t>万元</w:t>
            </w:r>
          </w:p>
        </w:tc>
        <w:tc>
          <w:tcPr>
            <w:tcW w:w="1146" w:type="dxa"/>
            <w:tcBorders>
              <w:top w:val="nil"/>
              <w:left w:val="nil"/>
              <w:bottom w:val="single" w:color="auto" w:sz="4" w:space="0"/>
              <w:right w:val="single" w:color="auto" w:sz="4" w:space="0"/>
            </w:tcBorders>
            <w:noWrap w:val="0"/>
            <w:vAlign w:val="center"/>
          </w:tcPr>
          <w:p w14:paraId="2DA4196E">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2612.42万元</w:t>
            </w:r>
          </w:p>
        </w:tc>
        <w:tc>
          <w:tcPr>
            <w:tcW w:w="636" w:type="dxa"/>
            <w:tcBorders>
              <w:top w:val="nil"/>
              <w:left w:val="nil"/>
              <w:bottom w:val="single" w:color="auto" w:sz="4" w:space="0"/>
              <w:right w:val="single" w:color="auto" w:sz="4" w:space="0"/>
            </w:tcBorders>
            <w:noWrap w:val="0"/>
            <w:vAlign w:val="center"/>
          </w:tcPr>
          <w:p w14:paraId="349C55D9">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26FA62BA">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5E382DD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C7184BD">
        <w:tblPrEx>
          <w:tblCellMar>
            <w:top w:w="0" w:type="dxa"/>
            <w:left w:w="108" w:type="dxa"/>
            <w:bottom w:w="0" w:type="dxa"/>
            <w:right w:w="108" w:type="dxa"/>
          </w:tblCellMar>
        </w:tblPrEx>
        <w:trPr>
          <w:trHeight w:val="1480" w:hRule="atLeast"/>
          <w:jc w:val="center"/>
        </w:trPr>
        <w:tc>
          <w:tcPr>
            <w:tcW w:w="969" w:type="dxa"/>
            <w:vMerge w:val="continue"/>
            <w:tcBorders>
              <w:left w:val="single" w:color="auto" w:sz="4" w:space="0"/>
              <w:right w:val="single" w:color="auto" w:sz="4" w:space="0"/>
            </w:tcBorders>
            <w:noWrap w:val="0"/>
            <w:vAlign w:val="center"/>
          </w:tcPr>
          <w:p w14:paraId="792DCAF6">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7C58D95E">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293C86D8">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534506C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51EBF131">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为乡村振兴提供坚实财力支撑</w:t>
            </w:r>
          </w:p>
        </w:tc>
        <w:tc>
          <w:tcPr>
            <w:tcW w:w="1077" w:type="dxa"/>
            <w:tcBorders>
              <w:top w:val="nil"/>
              <w:left w:val="nil"/>
              <w:bottom w:val="single" w:color="auto" w:sz="4" w:space="0"/>
              <w:right w:val="single" w:color="auto" w:sz="4" w:space="0"/>
            </w:tcBorders>
            <w:noWrap w:val="0"/>
            <w:vAlign w:val="center"/>
          </w:tcPr>
          <w:p w14:paraId="34C95316">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有所帮助</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A5A622B">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帮助到位</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5BCCA69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0968192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C7703A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21B98A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7AD406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079BEF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1C0D50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5E68D60">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发扬艰苦奋斗精神，严控公用经费，力争把经费用好到到每一方面</w:t>
            </w:r>
          </w:p>
        </w:tc>
        <w:tc>
          <w:tcPr>
            <w:tcW w:w="1077" w:type="dxa"/>
            <w:tcBorders>
              <w:top w:val="nil"/>
              <w:left w:val="nil"/>
              <w:bottom w:val="single" w:color="auto" w:sz="4" w:space="0"/>
              <w:right w:val="single" w:color="auto" w:sz="4" w:space="0"/>
            </w:tcBorders>
            <w:noWrap w:val="0"/>
            <w:vAlign w:val="center"/>
          </w:tcPr>
          <w:p w14:paraId="061ED54C">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缩减经费</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2FAB044A">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有所缩减</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296BB8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806A8B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A8878BF">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5E87E30">
        <w:tblPrEx>
          <w:tblCellMar>
            <w:top w:w="0" w:type="dxa"/>
            <w:left w:w="108" w:type="dxa"/>
            <w:bottom w:w="0" w:type="dxa"/>
            <w:right w:w="108" w:type="dxa"/>
          </w:tblCellMar>
        </w:tblPrEx>
        <w:trPr>
          <w:trHeight w:val="708" w:hRule="atLeast"/>
          <w:jc w:val="center"/>
        </w:trPr>
        <w:tc>
          <w:tcPr>
            <w:tcW w:w="969" w:type="dxa"/>
            <w:vMerge w:val="continue"/>
            <w:tcBorders>
              <w:left w:val="single" w:color="auto" w:sz="4" w:space="0"/>
              <w:right w:val="single" w:color="auto" w:sz="4" w:space="0"/>
            </w:tcBorders>
            <w:noWrap w:val="0"/>
            <w:vAlign w:val="center"/>
          </w:tcPr>
          <w:p w14:paraId="4A24D32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714DDCF">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63AF96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2455621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6A97825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67CAA293">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保障全县经济持续稳定发展</w:t>
            </w:r>
          </w:p>
        </w:tc>
        <w:tc>
          <w:tcPr>
            <w:tcW w:w="1077" w:type="dxa"/>
            <w:tcBorders>
              <w:top w:val="nil"/>
              <w:left w:val="nil"/>
              <w:bottom w:val="single" w:color="auto" w:sz="4" w:space="0"/>
              <w:right w:val="single" w:color="auto" w:sz="4" w:space="0"/>
            </w:tcBorders>
            <w:noWrap w:val="0"/>
            <w:vAlign w:val="center"/>
          </w:tcPr>
          <w:p w14:paraId="5E1E68C4">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落实到位</w:t>
            </w:r>
          </w:p>
        </w:tc>
        <w:tc>
          <w:tcPr>
            <w:tcW w:w="1146" w:type="dxa"/>
            <w:tcBorders>
              <w:top w:val="nil"/>
              <w:left w:val="nil"/>
              <w:bottom w:val="single" w:color="auto" w:sz="4" w:space="0"/>
              <w:right w:val="single" w:color="auto" w:sz="4" w:space="0"/>
            </w:tcBorders>
            <w:noWrap w:val="0"/>
            <w:vAlign w:val="center"/>
          </w:tcPr>
          <w:p w14:paraId="76683AA7">
            <w:pPr>
              <w:pStyle w:val="5"/>
              <w:rPr>
                <w:rFonts w:hint="eastAsia" w:eastAsia="仿宋_GB2312"/>
                <w:lang w:eastAsia="zh-CN"/>
              </w:rPr>
            </w:pPr>
            <w:r>
              <w:rPr>
                <w:rFonts w:hint="eastAsia" w:eastAsia="仿宋_GB2312"/>
                <w:color w:val="000000"/>
                <w:kern w:val="0"/>
                <w:sz w:val="18"/>
                <w:szCs w:val="18"/>
                <w:lang w:eastAsia="zh-CN"/>
              </w:rPr>
              <w:t>保障到位</w:t>
            </w:r>
          </w:p>
        </w:tc>
        <w:tc>
          <w:tcPr>
            <w:tcW w:w="636" w:type="dxa"/>
            <w:tcBorders>
              <w:top w:val="nil"/>
              <w:left w:val="nil"/>
              <w:bottom w:val="single" w:color="auto" w:sz="4" w:space="0"/>
              <w:right w:val="single" w:color="auto" w:sz="4" w:space="0"/>
            </w:tcBorders>
            <w:noWrap w:val="0"/>
            <w:vAlign w:val="center"/>
          </w:tcPr>
          <w:p w14:paraId="0C2637D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DA643C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7025BBE">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2E0DC5B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65A581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1F4E85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46EB712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6BB50F3">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全力保障基本支出，财力持续向民生领域倾斜，提升群众生活幸福感</w:t>
            </w:r>
          </w:p>
        </w:tc>
        <w:tc>
          <w:tcPr>
            <w:tcW w:w="1077" w:type="dxa"/>
            <w:tcBorders>
              <w:top w:val="nil"/>
              <w:left w:val="nil"/>
              <w:bottom w:val="single" w:color="auto" w:sz="4" w:space="0"/>
              <w:right w:val="single" w:color="auto" w:sz="4" w:space="0"/>
            </w:tcBorders>
            <w:noWrap w:val="0"/>
            <w:vAlign w:val="center"/>
          </w:tcPr>
          <w:p w14:paraId="46E7F985">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提升幸福感</w:t>
            </w:r>
          </w:p>
        </w:tc>
        <w:tc>
          <w:tcPr>
            <w:tcW w:w="1146" w:type="dxa"/>
            <w:tcBorders>
              <w:top w:val="nil"/>
              <w:left w:val="nil"/>
              <w:bottom w:val="single" w:color="auto" w:sz="4" w:space="0"/>
              <w:right w:val="single" w:color="auto" w:sz="4" w:space="0"/>
            </w:tcBorders>
            <w:noWrap w:val="0"/>
            <w:vAlign w:val="center"/>
          </w:tcPr>
          <w:p w14:paraId="0206C011">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有所提高</w:t>
            </w:r>
          </w:p>
        </w:tc>
        <w:tc>
          <w:tcPr>
            <w:tcW w:w="636" w:type="dxa"/>
            <w:tcBorders>
              <w:top w:val="nil"/>
              <w:left w:val="nil"/>
              <w:bottom w:val="single" w:color="auto" w:sz="4" w:space="0"/>
              <w:right w:val="single" w:color="auto" w:sz="4" w:space="0"/>
            </w:tcBorders>
            <w:noWrap w:val="0"/>
            <w:vAlign w:val="center"/>
          </w:tcPr>
          <w:p w14:paraId="41119A7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BB4239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86210E9">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7AC505AF">
        <w:tblPrEx>
          <w:tblCellMar>
            <w:top w:w="0" w:type="dxa"/>
            <w:left w:w="108" w:type="dxa"/>
            <w:bottom w:w="0" w:type="dxa"/>
            <w:right w:w="108" w:type="dxa"/>
          </w:tblCellMar>
        </w:tblPrEx>
        <w:trPr>
          <w:trHeight w:val="735" w:hRule="atLeast"/>
          <w:jc w:val="center"/>
        </w:trPr>
        <w:tc>
          <w:tcPr>
            <w:tcW w:w="969" w:type="dxa"/>
            <w:vMerge w:val="continue"/>
            <w:tcBorders>
              <w:left w:val="single" w:color="auto" w:sz="4" w:space="0"/>
              <w:right w:val="single" w:color="auto" w:sz="4" w:space="0"/>
            </w:tcBorders>
            <w:noWrap w:val="0"/>
            <w:vAlign w:val="center"/>
          </w:tcPr>
          <w:p w14:paraId="5821695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A8C7AB5">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71A4162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5303316B">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开展创卫工作</w:t>
            </w:r>
          </w:p>
        </w:tc>
        <w:tc>
          <w:tcPr>
            <w:tcW w:w="1077" w:type="dxa"/>
            <w:tcBorders>
              <w:top w:val="nil"/>
              <w:left w:val="nil"/>
              <w:bottom w:val="single" w:color="auto" w:sz="4" w:space="0"/>
              <w:right w:val="single" w:color="auto" w:sz="4" w:space="0"/>
            </w:tcBorders>
            <w:noWrap w:val="0"/>
            <w:vAlign w:val="center"/>
          </w:tcPr>
          <w:p w14:paraId="32196EF7">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有成效</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3EBF1D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有</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0FE029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BFD54E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5E52ECF">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7C7A75C6">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1469CBFF">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0FBA3F18">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28176CED">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18630BFB">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6D3A75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94EF25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26C13FC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D9B371D">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加强财务、资产管理、提高资金利用率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6C08D68">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有所提高</w:t>
            </w: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469CE95">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有</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E4A6CA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0874C2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4D31FF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499E39E">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04D94FB">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right w:val="single" w:color="auto" w:sz="4" w:space="0"/>
            </w:tcBorders>
            <w:noWrap w:val="0"/>
            <w:vAlign w:val="center"/>
          </w:tcPr>
          <w:p w14:paraId="1D75BB07">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CDAA0B">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405D0F66">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全县经济健康发展发展和社会稳定提供坚实财力支撑</w:t>
            </w:r>
          </w:p>
        </w:tc>
        <w:tc>
          <w:tcPr>
            <w:tcW w:w="1077" w:type="dxa"/>
            <w:tcBorders>
              <w:top w:val="single" w:color="auto" w:sz="4" w:space="0"/>
              <w:left w:val="nil"/>
              <w:bottom w:val="single" w:color="auto" w:sz="4" w:space="0"/>
              <w:right w:val="single" w:color="auto" w:sz="4" w:space="0"/>
            </w:tcBorders>
            <w:noWrap w:val="0"/>
            <w:vAlign w:val="center"/>
          </w:tcPr>
          <w:p w14:paraId="0AB0A801">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影响长远</w:t>
            </w: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45671E48">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始终坚持</w:t>
            </w:r>
          </w:p>
        </w:tc>
        <w:tc>
          <w:tcPr>
            <w:tcW w:w="636" w:type="dxa"/>
            <w:tcBorders>
              <w:top w:val="single" w:color="auto" w:sz="4" w:space="0"/>
              <w:left w:val="nil"/>
              <w:bottom w:val="single" w:color="auto" w:sz="4" w:space="0"/>
              <w:right w:val="single" w:color="auto" w:sz="4" w:space="0"/>
            </w:tcBorders>
            <w:noWrap w:val="0"/>
            <w:vAlign w:val="center"/>
          </w:tcPr>
          <w:p w14:paraId="732614E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4AB4987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55EDC5B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68EF3FC">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3323FAF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A723DEF">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6C13B54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109273B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1C965E3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799C315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439BEAB7">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社会公众满意度</w:t>
            </w:r>
          </w:p>
        </w:tc>
        <w:tc>
          <w:tcPr>
            <w:tcW w:w="1077" w:type="dxa"/>
            <w:tcBorders>
              <w:top w:val="nil"/>
              <w:left w:val="nil"/>
              <w:bottom w:val="single" w:color="auto" w:sz="4" w:space="0"/>
              <w:right w:val="single" w:color="auto" w:sz="4" w:space="0"/>
            </w:tcBorders>
            <w:noWrap w:val="0"/>
            <w:vAlign w:val="center"/>
          </w:tcPr>
          <w:p w14:paraId="6F154B1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5146BA4">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达到满意度</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E96FFA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0EA04394">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1F07289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348614AB">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7CEFE4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6FA4A1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vAlign w:val="center"/>
          </w:tcPr>
          <w:p w14:paraId="28A336F1">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7A4D8CF">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主管部门满意度</w:t>
            </w:r>
          </w:p>
        </w:tc>
        <w:tc>
          <w:tcPr>
            <w:tcW w:w="1077" w:type="dxa"/>
            <w:tcBorders>
              <w:top w:val="nil"/>
              <w:left w:val="nil"/>
              <w:bottom w:val="single" w:color="auto" w:sz="4" w:space="0"/>
              <w:right w:val="single" w:color="auto" w:sz="4" w:space="0"/>
            </w:tcBorders>
            <w:noWrap w:val="0"/>
            <w:vAlign w:val="center"/>
          </w:tcPr>
          <w:p w14:paraId="327E125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39C4DDD">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达到满意度</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5C965DF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7ECE12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5CED78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15F8FCD2">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048DC4FB">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7CC0093F">
            <w:pPr>
              <w:spacing w:line="240" w:lineRule="exact"/>
              <w:ind w:firstLine="0" w:firstLineChars="0"/>
              <w:jc w:val="both"/>
              <w:rPr>
                <w:rFonts w:eastAsia="仿宋_GB2312"/>
                <w:color w:val="000000"/>
                <w:kern w:val="0"/>
                <w:sz w:val="18"/>
                <w:szCs w:val="18"/>
              </w:rPr>
            </w:pPr>
            <w:r>
              <w:rPr>
                <w:rFonts w:eastAsia="仿宋_GB2312"/>
                <w:color w:val="000000"/>
                <w:kern w:val="0"/>
                <w:sz w:val="18"/>
                <w:szCs w:val="18"/>
              </w:rPr>
              <w:t>10</w:t>
            </w:r>
          </w:p>
        </w:tc>
        <w:tc>
          <w:tcPr>
            <w:tcW w:w="890" w:type="dxa"/>
            <w:tcBorders>
              <w:top w:val="nil"/>
              <w:left w:val="nil"/>
              <w:bottom w:val="single" w:color="auto" w:sz="4" w:space="0"/>
              <w:right w:val="single" w:color="auto" w:sz="4" w:space="0"/>
            </w:tcBorders>
            <w:noWrap w:val="0"/>
            <w:vAlign w:val="center"/>
          </w:tcPr>
          <w:p w14:paraId="4E83DD0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p>
        </w:tc>
        <w:tc>
          <w:tcPr>
            <w:tcW w:w="1223" w:type="dxa"/>
            <w:tcBorders>
              <w:top w:val="nil"/>
              <w:left w:val="nil"/>
              <w:bottom w:val="single" w:color="auto" w:sz="4" w:space="0"/>
              <w:right w:val="single" w:color="auto" w:sz="4" w:space="0"/>
            </w:tcBorders>
            <w:noWrap w:val="0"/>
            <w:vAlign w:val="center"/>
          </w:tcPr>
          <w:p w14:paraId="22DE50D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732ECBCD">
      <w:pPr>
        <w:spacing w:line="600" w:lineRule="exact"/>
        <w:jc w:val="left"/>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9CE7">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1443">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171443">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58F7">
    <w:pPr>
      <w:pStyle w:val="6"/>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3375658E">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E16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MDg3Mjc5YjI4NDQ2ZWYyNmVhYmVhMDhkMDZiMDg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2963D53"/>
    <w:rsid w:val="03A013D6"/>
    <w:rsid w:val="03B24C65"/>
    <w:rsid w:val="03B40C48"/>
    <w:rsid w:val="03BB1DE6"/>
    <w:rsid w:val="03D2624F"/>
    <w:rsid w:val="03E272F9"/>
    <w:rsid w:val="04001E75"/>
    <w:rsid w:val="040501C3"/>
    <w:rsid w:val="04DF7CDC"/>
    <w:rsid w:val="050B0AD1"/>
    <w:rsid w:val="0526590B"/>
    <w:rsid w:val="05323055"/>
    <w:rsid w:val="056D6E06"/>
    <w:rsid w:val="059A0717"/>
    <w:rsid w:val="05D709B3"/>
    <w:rsid w:val="05E337FC"/>
    <w:rsid w:val="06536294"/>
    <w:rsid w:val="06AC5543"/>
    <w:rsid w:val="06F51A39"/>
    <w:rsid w:val="07155C37"/>
    <w:rsid w:val="071F2B16"/>
    <w:rsid w:val="07287718"/>
    <w:rsid w:val="074D22E3"/>
    <w:rsid w:val="077E558A"/>
    <w:rsid w:val="086C1887"/>
    <w:rsid w:val="08C0694B"/>
    <w:rsid w:val="08C76CE2"/>
    <w:rsid w:val="08CD3D91"/>
    <w:rsid w:val="092D1499"/>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DEF0444"/>
    <w:rsid w:val="0E8F2773"/>
    <w:rsid w:val="0F31382A"/>
    <w:rsid w:val="10060813"/>
    <w:rsid w:val="10196798"/>
    <w:rsid w:val="101A42BE"/>
    <w:rsid w:val="10234F21"/>
    <w:rsid w:val="1024256C"/>
    <w:rsid w:val="107F4121"/>
    <w:rsid w:val="10C57C4D"/>
    <w:rsid w:val="10F13271"/>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03A45"/>
    <w:rsid w:val="144F5156"/>
    <w:rsid w:val="14682A52"/>
    <w:rsid w:val="14740441"/>
    <w:rsid w:val="14B52807"/>
    <w:rsid w:val="14E83C4D"/>
    <w:rsid w:val="15301FCE"/>
    <w:rsid w:val="15916DD0"/>
    <w:rsid w:val="167504A0"/>
    <w:rsid w:val="16FE0496"/>
    <w:rsid w:val="1711641B"/>
    <w:rsid w:val="17233A58"/>
    <w:rsid w:val="174148B4"/>
    <w:rsid w:val="1767588B"/>
    <w:rsid w:val="176D1177"/>
    <w:rsid w:val="18383533"/>
    <w:rsid w:val="184E2D57"/>
    <w:rsid w:val="18956BD8"/>
    <w:rsid w:val="18BC23B6"/>
    <w:rsid w:val="18D538B0"/>
    <w:rsid w:val="18E032C2"/>
    <w:rsid w:val="19954A44"/>
    <w:rsid w:val="19A277FE"/>
    <w:rsid w:val="19BB266E"/>
    <w:rsid w:val="1A073B05"/>
    <w:rsid w:val="1A5605E9"/>
    <w:rsid w:val="1B326960"/>
    <w:rsid w:val="1B8B42C2"/>
    <w:rsid w:val="1BCD6688"/>
    <w:rsid w:val="1BD417C5"/>
    <w:rsid w:val="1CB05D8E"/>
    <w:rsid w:val="1CCF110C"/>
    <w:rsid w:val="1D743260"/>
    <w:rsid w:val="1D8C5026"/>
    <w:rsid w:val="1D9456B0"/>
    <w:rsid w:val="1DEB1048"/>
    <w:rsid w:val="1DF80E0A"/>
    <w:rsid w:val="1E0F4D36"/>
    <w:rsid w:val="1E164317"/>
    <w:rsid w:val="1EDD568A"/>
    <w:rsid w:val="1F3D3B25"/>
    <w:rsid w:val="1FA31533"/>
    <w:rsid w:val="1FDB75C6"/>
    <w:rsid w:val="204559CD"/>
    <w:rsid w:val="206A094A"/>
    <w:rsid w:val="20F3418D"/>
    <w:rsid w:val="211A411E"/>
    <w:rsid w:val="21260D15"/>
    <w:rsid w:val="21274A8D"/>
    <w:rsid w:val="213827F6"/>
    <w:rsid w:val="21771570"/>
    <w:rsid w:val="21796BC2"/>
    <w:rsid w:val="21B552CB"/>
    <w:rsid w:val="220527FD"/>
    <w:rsid w:val="22BE0E76"/>
    <w:rsid w:val="22DE4C55"/>
    <w:rsid w:val="231132FF"/>
    <w:rsid w:val="23250B58"/>
    <w:rsid w:val="244A2F6C"/>
    <w:rsid w:val="244A495C"/>
    <w:rsid w:val="2483632E"/>
    <w:rsid w:val="24883A94"/>
    <w:rsid w:val="24A05998"/>
    <w:rsid w:val="24AE34FB"/>
    <w:rsid w:val="24F9229C"/>
    <w:rsid w:val="251A293E"/>
    <w:rsid w:val="25253091"/>
    <w:rsid w:val="25333A00"/>
    <w:rsid w:val="25550C1E"/>
    <w:rsid w:val="255816B9"/>
    <w:rsid w:val="259F2E44"/>
    <w:rsid w:val="25B05D49"/>
    <w:rsid w:val="25C91C6F"/>
    <w:rsid w:val="25F72C80"/>
    <w:rsid w:val="266D2F42"/>
    <w:rsid w:val="26834513"/>
    <w:rsid w:val="26A12BEB"/>
    <w:rsid w:val="273852FE"/>
    <w:rsid w:val="274517C9"/>
    <w:rsid w:val="27515A5B"/>
    <w:rsid w:val="27873B8F"/>
    <w:rsid w:val="27EB0AE5"/>
    <w:rsid w:val="281D135F"/>
    <w:rsid w:val="28377363"/>
    <w:rsid w:val="28BF4190"/>
    <w:rsid w:val="28C4406E"/>
    <w:rsid w:val="28C878C3"/>
    <w:rsid w:val="28EE53FD"/>
    <w:rsid w:val="29037B8D"/>
    <w:rsid w:val="2A5341FD"/>
    <w:rsid w:val="2A706BB3"/>
    <w:rsid w:val="2A7C719C"/>
    <w:rsid w:val="2A974647"/>
    <w:rsid w:val="2ACC49F6"/>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3F4659"/>
    <w:rsid w:val="2F9C21A2"/>
    <w:rsid w:val="2FC02FA6"/>
    <w:rsid w:val="2FCE528B"/>
    <w:rsid w:val="2FD22068"/>
    <w:rsid w:val="2FDC6A42"/>
    <w:rsid w:val="2FE57F9B"/>
    <w:rsid w:val="2FF11279"/>
    <w:rsid w:val="2FF4311D"/>
    <w:rsid w:val="2FF745A3"/>
    <w:rsid w:val="304D7ABC"/>
    <w:rsid w:val="30776956"/>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321D6A"/>
    <w:rsid w:val="376A3C4C"/>
    <w:rsid w:val="377D6D5D"/>
    <w:rsid w:val="37CD55EE"/>
    <w:rsid w:val="37D270A9"/>
    <w:rsid w:val="38761300"/>
    <w:rsid w:val="38D330D8"/>
    <w:rsid w:val="38E452E6"/>
    <w:rsid w:val="38F90665"/>
    <w:rsid w:val="38FC7F68"/>
    <w:rsid w:val="39152057"/>
    <w:rsid w:val="391E32EE"/>
    <w:rsid w:val="39C175C6"/>
    <w:rsid w:val="3A157CEC"/>
    <w:rsid w:val="3A754CC9"/>
    <w:rsid w:val="3A771FCA"/>
    <w:rsid w:val="3B082DE1"/>
    <w:rsid w:val="3B4A51A8"/>
    <w:rsid w:val="3B563B4D"/>
    <w:rsid w:val="3BDC6748"/>
    <w:rsid w:val="3BEA370A"/>
    <w:rsid w:val="3C6B3628"/>
    <w:rsid w:val="3D1D7B5F"/>
    <w:rsid w:val="3DCE3E6E"/>
    <w:rsid w:val="3DFE0BF8"/>
    <w:rsid w:val="3E030FFE"/>
    <w:rsid w:val="3E2D6890"/>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3EC5E51"/>
    <w:rsid w:val="44A818BD"/>
    <w:rsid w:val="4613009D"/>
    <w:rsid w:val="46222FA9"/>
    <w:rsid w:val="46A0466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8214DC"/>
    <w:rsid w:val="4BB905DA"/>
    <w:rsid w:val="4BC468B1"/>
    <w:rsid w:val="4C8121AD"/>
    <w:rsid w:val="4C9E5354"/>
    <w:rsid w:val="4DE4323A"/>
    <w:rsid w:val="4DF807A3"/>
    <w:rsid w:val="4E0B709E"/>
    <w:rsid w:val="4E2A5D47"/>
    <w:rsid w:val="4E454CAE"/>
    <w:rsid w:val="4E6A24DF"/>
    <w:rsid w:val="4E7E368F"/>
    <w:rsid w:val="4EDF237F"/>
    <w:rsid w:val="4F1F09CE"/>
    <w:rsid w:val="4F3B1723"/>
    <w:rsid w:val="4F702FD7"/>
    <w:rsid w:val="4F7A3E56"/>
    <w:rsid w:val="4F8627FB"/>
    <w:rsid w:val="4FA462B3"/>
    <w:rsid w:val="4FE6773D"/>
    <w:rsid w:val="500E3A72"/>
    <w:rsid w:val="50192406"/>
    <w:rsid w:val="5039786D"/>
    <w:rsid w:val="506348EA"/>
    <w:rsid w:val="507028FD"/>
    <w:rsid w:val="507C62DD"/>
    <w:rsid w:val="508D1967"/>
    <w:rsid w:val="50B20CEB"/>
    <w:rsid w:val="50E517A3"/>
    <w:rsid w:val="5167040A"/>
    <w:rsid w:val="521E54EC"/>
    <w:rsid w:val="522E2CD6"/>
    <w:rsid w:val="527E3C5D"/>
    <w:rsid w:val="53745792"/>
    <w:rsid w:val="545D5AF4"/>
    <w:rsid w:val="547370C6"/>
    <w:rsid w:val="54B17B2A"/>
    <w:rsid w:val="54CF07A0"/>
    <w:rsid w:val="55164621"/>
    <w:rsid w:val="552A59D6"/>
    <w:rsid w:val="552F2E36"/>
    <w:rsid w:val="558D41B7"/>
    <w:rsid w:val="55FE57CA"/>
    <w:rsid w:val="56231F37"/>
    <w:rsid w:val="562B40FC"/>
    <w:rsid w:val="563C6D66"/>
    <w:rsid w:val="565C4B5A"/>
    <w:rsid w:val="56F445AE"/>
    <w:rsid w:val="57034731"/>
    <w:rsid w:val="571F37E7"/>
    <w:rsid w:val="578E37A1"/>
    <w:rsid w:val="578F48C6"/>
    <w:rsid w:val="579D2DD8"/>
    <w:rsid w:val="57A06335"/>
    <w:rsid w:val="57DB3900"/>
    <w:rsid w:val="5861039B"/>
    <w:rsid w:val="58825B29"/>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0CE6586"/>
    <w:rsid w:val="60E91EDF"/>
    <w:rsid w:val="610F0A45"/>
    <w:rsid w:val="61486A8A"/>
    <w:rsid w:val="618A51FD"/>
    <w:rsid w:val="61AF2FE3"/>
    <w:rsid w:val="622C5484"/>
    <w:rsid w:val="62600C89"/>
    <w:rsid w:val="62894D52"/>
    <w:rsid w:val="62BD60DC"/>
    <w:rsid w:val="62C27B96"/>
    <w:rsid w:val="6346230D"/>
    <w:rsid w:val="63521D29"/>
    <w:rsid w:val="635B32B1"/>
    <w:rsid w:val="63870498"/>
    <w:rsid w:val="639808F7"/>
    <w:rsid w:val="63AD5DD7"/>
    <w:rsid w:val="63D3192F"/>
    <w:rsid w:val="64354398"/>
    <w:rsid w:val="648C045C"/>
    <w:rsid w:val="64AD03D2"/>
    <w:rsid w:val="6502071E"/>
    <w:rsid w:val="650E0E71"/>
    <w:rsid w:val="65217D73"/>
    <w:rsid w:val="65491EA9"/>
    <w:rsid w:val="65A417D5"/>
    <w:rsid w:val="65B57F02"/>
    <w:rsid w:val="65B75B1D"/>
    <w:rsid w:val="65BA2DA7"/>
    <w:rsid w:val="65D06126"/>
    <w:rsid w:val="65ED7F30"/>
    <w:rsid w:val="666A3541"/>
    <w:rsid w:val="670B01C0"/>
    <w:rsid w:val="670F227B"/>
    <w:rsid w:val="68045877"/>
    <w:rsid w:val="682235A3"/>
    <w:rsid w:val="682D5AB2"/>
    <w:rsid w:val="68456707"/>
    <w:rsid w:val="685A261F"/>
    <w:rsid w:val="68795138"/>
    <w:rsid w:val="68822739"/>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B9203D"/>
    <w:rsid w:val="6DF27FD2"/>
    <w:rsid w:val="6E615BFD"/>
    <w:rsid w:val="6E71421E"/>
    <w:rsid w:val="6ED21161"/>
    <w:rsid w:val="6F1654F2"/>
    <w:rsid w:val="6F1E7F02"/>
    <w:rsid w:val="6F3040D9"/>
    <w:rsid w:val="6F4F026E"/>
    <w:rsid w:val="6F765F90"/>
    <w:rsid w:val="6F9401C4"/>
    <w:rsid w:val="6FD902CD"/>
    <w:rsid w:val="6FF005A6"/>
    <w:rsid w:val="70AE1182"/>
    <w:rsid w:val="70C60851"/>
    <w:rsid w:val="70C64CF5"/>
    <w:rsid w:val="714F6A99"/>
    <w:rsid w:val="71DB032D"/>
    <w:rsid w:val="71F0075E"/>
    <w:rsid w:val="723637B5"/>
    <w:rsid w:val="724265FE"/>
    <w:rsid w:val="73301622"/>
    <w:rsid w:val="7343262D"/>
    <w:rsid w:val="738B5D82"/>
    <w:rsid w:val="73D81412"/>
    <w:rsid w:val="74094B0C"/>
    <w:rsid w:val="743957DE"/>
    <w:rsid w:val="744523C5"/>
    <w:rsid w:val="745037BC"/>
    <w:rsid w:val="7460720F"/>
    <w:rsid w:val="7463506E"/>
    <w:rsid w:val="74A40EAA"/>
    <w:rsid w:val="76390951"/>
    <w:rsid w:val="767C2482"/>
    <w:rsid w:val="77F71C38"/>
    <w:rsid w:val="77FA34D6"/>
    <w:rsid w:val="78016613"/>
    <w:rsid w:val="78244F38"/>
    <w:rsid w:val="78270946"/>
    <w:rsid w:val="786B1CDE"/>
    <w:rsid w:val="78853E63"/>
    <w:rsid w:val="78B27C05"/>
    <w:rsid w:val="78D51699"/>
    <w:rsid w:val="78FD502C"/>
    <w:rsid w:val="790A5798"/>
    <w:rsid w:val="79367029"/>
    <w:rsid w:val="79A96F62"/>
    <w:rsid w:val="79C42DA7"/>
    <w:rsid w:val="79DC699D"/>
    <w:rsid w:val="7A031D57"/>
    <w:rsid w:val="7A3613CA"/>
    <w:rsid w:val="7AAB0D0B"/>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EF95560"/>
    <w:rsid w:val="7F930498"/>
    <w:rsid w:val="7FA61257"/>
    <w:rsid w:val="7FBC5A54"/>
    <w:rsid w:val="FFAF6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Calibri" w:hAnsi="Calibri"/>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5062</Words>
  <Characters>5427</Characters>
  <Lines>0</Lines>
  <Paragraphs>0</Paragraphs>
  <TotalTime>2</TotalTime>
  <ScaleCrop>false</ScaleCrop>
  <LinksUpToDate>false</LinksUpToDate>
  <CharactersWithSpaces>5607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2021-04-19T15:48:00Z</dcterms:created>
  <dc:creator>彭礼孝</dc:creator>
  <cp:lastModifiedBy>A-云端</cp:lastModifiedBy>
  <cp:lastPrinted>2025-05-13T08:52:00Z</cp:lastPrinted>
  <dcterms:modified xsi:type="dcterms:W3CDTF">2025-09-23T07:57:15Z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F744B6806BB340FFADB36AEE3FEA162A_13</vt:lpwstr>
  </property>
  <property fmtid="{D5CDD505-2E9C-101B-9397-08002B2CF9AE}" pid="4" name="KSOTemplateDocerSaveRecord">
    <vt:lpwstr>eyJoZGlkIjoiYWM0MDg3Mjc5YjI4NDQ2ZWYyNmVhYmVhMDhkMDZiMDgiLCJ1c2VySWQiOiI1Njc0MzkxNzIifQ==</vt:lpwstr>
  </property>
</Properties>
</file>