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768C8">
      <w:pPr>
        <w:widowControl/>
        <w:pBdr>
          <w:bottom w:val="single" w:color="FFFFFF" w:sz="4" w:space="31"/>
        </w:pBdr>
        <w:spacing w:line="560" w:lineRule="exact"/>
        <w:ind w:firstLine="720" w:firstLineChars="200"/>
        <w:jc w:val="center"/>
        <w:rPr>
          <w:rFonts w:ascii="方正仿宋简体" w:hAnsi="仿宋" w:eastAsia="方正仿宋简体" w:cs="仿宋"/>
          <w:b/>
          <w:bCs/>
          <w:sz w:val="36"/>
          <w:szCs w:val="36"/>
        </w:rPr>
      </w:pPr>
      <w:r>
        <w:rPr>
          <w:rFonts w:hint="eastAsia" w:ascii="方正仿宋简体" w:hAnsi="仿宋" w:eastAsia="方正仿宋简体" w:cs="仿宋"/>
          <w:b/>
          <w:bCs/>
          <w:sz w:val="36"/>
          <w:szCs w:val="36"/>
        </w:rPr>
        <w:t>第三部分   相关说明</w:t>
      </w:r>
    </w:p>
    <w:p w14:paraId="0305A2DB">
      <w:pPr>
        <w:widowControl/>
        <w:pBdr>
          <w:bottom w:val="single" w:color="FFFFFF" w:sz="4" w:space="31"/>
        </w:pBdr>
        <w:spacing w:line="560" w:lineRule="exact"/>
        <w:ind w:firstLine="643" w:firstLineChars="200"/>
        <w:rPr>
          <w:rFonts w:ascii="仿宋_GB2312" w:hAnsi="华文楷体" w:eastAsia="仿宋_GB2312" w:cs="楷体"/>
          <w:b/>
          <w:bCs/>
          <w:sz w:val="32"/>
          <w:szCs w:val="32"/>
        </w:rPr>
      </w:pPr>
      <w:r>
        <w:rPr>
          <w:rFonts w:hint="eastAsia" w:ascii="仿宋_GB2312" w:hAnsi="华文楷体" w:eastAsia="仿宋_GB2312" w:cs="楷体"/>
          <w:b/>
          <w:bCs/>
          <w:sz w:val="32"/>
          <w:szCs w:val="32"/>
        </w:rPr>
        <w:t>一、税收返还和转移支付</w:t>
      </w:r>
      <w:r>
        <w:rPr>
          <w:rFonts w:hint="eastAsia" w:ascii="仿宋_GB2312" w:hAnsi="华文楷体" w:eastAsia="仿宋_GB2312" w:cs="楷体"/>
          <w:b/>
          <w:bCs/>
          <w:sz w:val="32"/>
          <w:szCs w:val="32"/>
          <w:lang w:eastAsia="zh-CN"/>
        </w:rPr>
        <w:t>收入</w:t>
      </w:r>
      <w:r>
        <w:rPr>
          <w:rFonts w:hint="eastAsia" w:ascii="仿宋_GB2312" w:hAnsi="华文楷体" w:eastAsia="仿宋_GB2312" w:cs="楷体"/>
          <w:b/>
          <w:bCs/>
          <w:sz w:val="32"/>
          <w:szCs w:val="32"/>
        </w:rPr>
        <w:t>情况</w:t>
      </w:r>
    </w:p>
    <w:p w14:paraId="7EAEE99B">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202</w:t>
      </w:r>
      <w:r>
        <w:rPr>
          <w:rFonts w:hint="eastAsia" w:ascii="仿宋_GB2312" w:hAnsi="仿宋" w:eastAsia="仿宋_GB2312"/>
          <w:sz w:val="32"/>
          <w:lang w:val="en-US" w:eastAsia="zh-CN"/>
        </w:rPr>
        <w:t>3</w:t>
      </w:r>
      <w:r>
        <w:rPr>
          <w:rFonts w:hint="eastAsia" w:ascii="仿宋_GB2312" w:hAnsi="仿宋" w:eastAsia="仿宋_GB2312"/>
          <w:sz w:val="32"/>
        </w:rPr>
        <w:t>年，隆回县收返还和转移支付决算</w:t>
      </w:r>
      <w:r>
        <w:rPr>
          <w:rFonts w:hint="eastAsia" w:ascii="仿宋_GB2312" w:hAnsi="仿宋" w:eastAsia="仿宋_GB2312"/>
          <w:sz w:val="32"/>
          <w:lang w:val="en-US" w:eastAsia="zh-CN"/>
        </w:rPr>
        <w:t>561761万元，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31925</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5.37</w:t>
      </w:r>
      <w:r>
        <w:rPr>
          <w:rFonts w:hint="eastAsia" w:ascii="仿宋_GB2312" w:hAnsi="仿宋" w:eastAsia="仿宋_GB2312"/>
          <w:sz w:val="32"/>
        </w:rPr>
        <w:t>%。其中：</w:t>
      </w:r>
    </w:p>
    <w:p w14:paraId="0FAE552B">
      <w:pPr>
        <w:widowControl/>
        <w:pBdr>
          <w:bottom w:val="single" w:color="FFFFFF" w:sz="4" w:space="31"/>
        </w:pBdr>
        <w:spacing w:line="560" w:lineRule="exact"/>
        <w:ind w:firstLine="643" w:firstLineChars="200"/>
        <w:rPr>
          <w:rFonts w:ascii="仿宋_GB2312" w:hAnsi="仿宋" w:eastAsia="仿宋_GB2312"/>
          <w:b/>
          <w:sz w:val="32"/>
        </w:rPr>
      </w:pPr>
      <w:r>
        <w:rPr>
          <w:rFonts w:hint="eastAsia" w:ascii="仿宋_GB2312" w:hAnsi="仿宋" w:eastAsia="仿宋_GB2312"/>
          <w:b/>
          <w:sz w:val="32"/>
        </w:rPr>
        <w:t>（一）税收返还</w:t>
      </w:r>
    </w:p>
    <w:p w14:paraId="7CF18A35">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税收返还</w:t>
      </w:r>
      <w:r>
        <w:rPr>
          <w:rFonts w:hint="eastAsia" w:ascii="仿宋_GB2312" w:hAnsi="仿宋" w:eastAsia="仿宋_GB2312"/>
          <w:sz w:val="32"/>
          <w:lang w:val="en-US" w:eastAsia="zh-CN"/>
        </w:rPr>
        <w:t>10887万元</w:t>
      </w:r>
      <w:r>
        <w:rPr>
          <w:rFonts w:hint="eastAsia" w:ascii="仿宋_GB2312" w:hAnsi="仿宋" w:eastAsia="仿宋_GB2312"/>
          <w:sz w:val="32"/>
        </w:rPr>
        <w:t>，与上年增长</w:t>
      </w:r>
      <w:r>
        <w:rPr>
          <w:rFonts w:hint="eastAsia" w:ascii="仿宋_GB2312" w:hAnsi="仿宋" w:eastAsia="仿宋_GB2312"/>
          <w:sz w:val="32"/>
          <w:lang w:val="en-US" w:eastAsia="zh-CN"/>
        </w:rPr>
        <w:t>53</w:t>
      </w:r>
      <w:r>
        <w:rPr>
          <w:rFonts w:hint="eastAsia" w:ascii="仿宋_GB2312" w:hAnsi="仿宋" w:eastAsia="仿宋_GB2312"/>
          <w:sz w:val="32"/>
        </w:rPr>
        <w:t>万元。其中：</w:t>
      </w:r>
    </w:p>
    <w:p w14:paraId="6FB1479F">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增值税税收返还</w:t>
      </w:r>
      <w:r>
        <w:rPr>
          <w:rFonts w:hint="eastAsia" w:ascii="仿宋_GB2312" w:hAnsi="仿宋" w:eastAsia="仿宋_GB2312"/>
          <w:sz w:val="32"/>
          <w:lang w:val="en-US" w:eastAsia="zh-CN"/>
        </w:rPr>
        <w:t>3500</w:t>
      </w:r>
      <w:r>
        <w:rPr>
          <w:rFonts w:hint="eastAsia" w:ascii="仿宋_GB2312" w:hAnsi="仿宋" w:eastAsia="仿宋_GB2312"/>
          <w:sz w:val="32"/>
        </w:rPr>
        <w:t>万元;</w:t>
      </w:r>
    </w:p>
    <w:p w14:paraId="4E38F225">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消费税税收返还11万元;</w:t>
      </w:r>
    </w:p>
    <w:p w14:paraId="494CFF60">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所得税基数返还2100万元;</w:t>
      </w:r>
    </w:p>
    <w:p w14:paraId="2771F0C0">
      <w:pPr>
        <w:widowControl/>
        <w:pBdr>
          <w:bottom w:val="single" w:color="FFFFFF" w:sz="4" w:space="31"/>
        </w:pBdr>
        <w:spacing w:line="560" w:lineRule="exact"/>
        <w:ind w:firstLine="640" w:firstLineChars="200"/>
        <w:rPr>
          <w:rFonts w:hint="eastAsia" w:ascii="仿宋_GB2312" w:hAnsi="仿宋" w:eastAsia="仿宋_GB2312"/>
          <w:sz w:val="32"/>
        </w:rPr>
      </w:pPr>
      <w:r>
        <w:rPr>
          <w:rFonts w:hint="eastAsia" w:ascii="仿宋_GB2312" w:hAnsi="仿宋" w:eastAsia="仿宋_GB2312"/>
          <w:sz w:val="32"/>
        </w:rPr>
        <w:t>成品油税费改革税收返还</w:t>
      </w:r>
      <w:r>
        <w:rPr>
          <w:rFonts w:hint="eastAsia" w:ascii="仿宋_GB2312" w:hAnsi="仿宋" w:eastAsia="仿宋_GB2312"/>
          <w:sz w:val="32"/>
          <w:lang w:val="en-US" w:eastAsia="zh-CN"/>
        </w:rPr>
        <w:t>1228</w:t>
      </w:r>
      <w:r>
        <w:rPr>
          <w:rFonts w:hint="eastAsia" w:ascii="仿宋_GB2312" w:hAnsi="仿宋" w:eastAsia="仿宋_GB2312"/>
          <w:sz w:val="32"/>
        </w:rPr>
        <w:t>万元;</w:t>
      </w:r>
    </w:p>
    <w:p w14:paraId="57D0241D">
      <w:pPr>
        <w:widowControl/>
        <w:pBdr>
          <w:bottom w:val="single" w:color="FFFFFF" w:sz="4" w:space="31"/>
        </w:pBdr>
        <w:spacing w:line="560" w:lineRule="exact"/>
        <w:ind w:firstLine="640" w:firstLineChars="200"/>
        <w:rPr>
          <w:rFonts w:hint="default" w:ascii="仿宋_GB2312" w:hAnsi="仿宋" w:eastAsia="仿宋_GB2312"/>
          <w:sz w:val="32"/>
          <w:lang w:val="en-US" w:eastAsia="zh-CN"/>
        </w:rPr>
      </w:pPr>
      <w:r>
        <w:rPr>
          <w:rFonts w:hint="eastAsia" w:ascii="仿宋_GB2312" w:hAnsi="仿宋" w:eastAsia="仿宋_GB2312"/>
          <w:sz w:val="32"/>
        </w:rPr>
        <w:t>增值税“五五分享”税收返还</w:t>
      </w:r>
      <w:r>
        <w:rPr>
          <w:rFonts w:hint="eastAsia" w:ascii="仿宋_GB2312" w:hAnsi="仿宋" w:eastAsia="仿宋_GB2312"/>
          <w:sz w:val="32"/>
          <w:lang w:val="en-US" w:eastAsia="zh-CN"/>
        </w:rPr>
        <w:t>3291万元</w:t>
      </w:r>
    </w:p>
    <w:p w14:paraId="4CC9E108">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其他税收返还757万元;</w:t>
      </w:r>
    </w:p>
    <w:p w14:paraId="764A3522">
      <w:pPr>
        <w:widowControl/>
        <w:pBdr>
          <w:bottom w:val="single" w:color="FFFFFF" w:sz="4" w:space="31"/>
        </w:pBdr>
        <w:spacing w:line="560" w:lineRule="exact"/>
        <w:ind w:firstLine="643" w:firstLineChars="200"/>
        <w:rPr>
          <w:rFonts w:ascii="仿宋_GB2312" w:hAnsi="仿宋" w:eastAsia="仿宋_GB2312"/>
          <w:b/>
          <w:sz w:val="32"/>
        </w:rPr>
      </w:pPr>
      <w:r>
        <w:rPr>
          <w:rFonts w:hint="eastAsia" w:ascii="仿宋_GB2312" w:hAnsi="仿宋" w:eastAsia="仿宋_GB2312"/>
          <w:b/>
          <w:sz w:val="32"/>
        </w:rPr>
        <w:t>（二）一般性转移支付</w:t>
      </w:r>
    </w:p>
    <w:p w14:paraId="76A90B58">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一般性转移支付</w:t>
      </w:r>
      <w:r>
        <w:rPr>
          <w:rFonts w:hint="eastAsia" w:ascii="仿宋_GB2312" w:hAnsi="仿宋" w:eastAsia="仿宋_GB2312"/>
          <w:sz w:val="32"/>
          <w:lang w:val="en-US" w:eastAsia="zh-CN"/>
        </w:rPr>
        <w:t>517114万元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19719</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3.67</w:t>
      </w:r>
      <w:r>
        <w:rPr>
          <w:rFonts w:hint="eastAsia" w:ascii="仿宋_GB2312" w:hAnsi="仿宋" w:eastAsia="仿宋_GB2312"/>
          <w:sz w:val="32"/>
        </w:rPr>
        <w:t>%，</w:t>
      </w:r>
      <w:r>
        <w:rPr>
          <w:rFonts w:hint="eastAsia" w:ascii="仿宋_GB2312" w:hAnsi="仿宋" w:eastAsia="仿宋_GB2312"/>
          <w:sz w:val="32"/>
          <w:lang w:val="en-US" w:eastAsia="zh-CN"/>
        </w:rPr>
        <w:t>主要是县级基本财力保障机制奖补资金正常增长及一次性财力补助等。</w:t>
      </w:r>
      <w:r>
        <w:rPr>
          <w:rFonts w:hint="eastAsia" w:ascii="仿宋_GB2312" w:hAnsi="仿宋" w:eastAsia="仿宋_GB2312"/>
          <w:sz w:val="32"/>
        </w:rPr>
        <w:t>其中：</w:t>
      </w:r>
    </w:p>
    <w:p w14:paraId="6E65E0E3">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 体制补助600万元，比上年增加0，增长0%;</w:t>
      </w:r>
    </w:p>
    <w:p w14:paraId="0F788D5B">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rPr>
        <w:t>2.均衡性转移支付</w:t>
      </w:r>
      <w:r>
        <w:rPr>
          <w:rFonts w:hint="eastAsia" w:ascii="仿宋_GB2312" w:hAnsi="仿宋" w:eastAsia="仿宋_GB2312"/>
          <w:sz w:val="32"/>
          <w:lang w:val="en-US" w:eastAsia="zh-CN"/>
        </w:rPr>
        <w:t>164454万元</w:t>
      </w:r>
      <w:r>
        <w:rPr>
          <w:rFonts w:hint="eastAsia" w:ascii="仿宋_GB2312" w:hAnsi="仿宋" w:eastAsia="仿宋_GB2312"/>
          <w:sz w:val="32"/>
        </w:rPr>
        <w:t>，比上年增加</w:t>
      </w:r>
      <w:r>
        <w:rPr>
          <w:rFonts w:hint="eastAsia" w:ascii="仿宋_GB2312" w:hAnsi="仿宋" w:eastAsia="仿宋_GB2312"/>
          <w:sz w:val="32"/>
          <w:lang w:val="en-US" w:eastAsia="zh-CN"/>
        </w:rPr>
        <w:t>21151</w:t>
      </w:r>
      <w:r>
        <w:rPr>
          <w:rFonts w:hint="eastAsia" w:ascii="仿宋_GB2312" w:hAnsi="仿宋" w:eastAsia="仿宋_GB2312"/>
          <w:sz w:val="32"/>
        </w:rPr>
        <w:t>万元，增长</w:t>
      </w:r>
      <w:r>
        <w:rPr>
          <w:rFonts w:hint="eastAsia" w:ascii="仿宋_GB2312" w:hAnsi="仿宋" w:eastAsia="仿宋_GB2312"/>
          <w:sz w:val="32"/>
          <w:lang w:val="en-US" w:eastAsia="zh-CN"/>
        </w:rPr>
        <w:t>14.76</w:t>
      </w:r>
      <w:r>
        <w:rPr>
          <w:rFonts w:hint="eastAsia" w:ascii="仿宋_GB2312" w:hAnsi="仿宋" w:eastAsia="仿宋_GB2312"/>
          <w:sz w:val="32"/>
        </w:rPr>
        <w:t>%，</w:t>
      </w:r>
      <w:r>
        <w:rPr>
          <w:rFonts w:hint="eastAsia" w:ascii="仿宋_GB2312" w:hAnsi="仿宋" w:eastAsia="仿宋_GB2312"/>
          <w:sz w:val="32"/>
          <w:lang w:val="en-US" w:eastAsia="zh-CN"/>
        </w:rPr>
        <w:t>主要是县级基本财力保障机制奖补资金正常增长及一次性财力补助等;</w:t>
      </w:r>
    </w:p>
    <w:p w14:paraId="661F866E">
      <w:pPr>
        <w:widowControl/>
        <w:pBdr>
          <w:bottom w:val="single" w:color="FFFFFF" w:sz="4" w:space="31"/>
        </w:pBdr>
        <w:spacing w:line="560" w:lineRule="exact"/>
        <w:ind w:firstLine="640" w:firstLineChars="200"/>
        <w:rPr>
          <w:rFonts w:ascii="仿宋_GB2312" w:hAnsi="仿宋" w:eastAsia="仿宋_GB2312"/>
          <w:color w:val="0000FF"/>
          <w:sz w:val="32"/>
        </w:rPr>
      </w:pPr>
      <w:r>
        <w:rPr>
          <w:rFonts w:hint="eastAsia" w:ascii="仿宋_GB2312" w:hAnsi="仿宋" w:eastAsia="仿宋_GB2312"/>
          <w:sz w:val="32"/>
        </w:rPr>
        <w:t>3. 县级基本财力保障机制奖补资金</w:t>
      </w:r>
      <w:r>
        <w:rPr>
          <w:rFonts w:hint="eastAsia" w:ascii="仿宋_GB2312" w:hAnsi="仿宋" w:eastAsia="仿宋_GB2312"/>
          <w:sz w:val="32"/>
          <w:lang w:val="en-US" w:eastAsia="zh-CN"/>
        </w:rPr>
        <w:t>59840万元</w:t>
      </w:r>
      <w:r>
        <w:rPr>
          <w:rFonts w:hint="eastAsia" w:ascii="仿宋_GB2312" w:hAnsi="仿宋" w:eastAsia="仿宋_GB2312"/>
          <w:sz w:val="32"/>
        </w:rPr>
        <w:t>，比上年</w:t>
      </w:r>
      <w:r>
        <w:rPr>
          <w:rFonts w:hint="eastAsia" w:ascii="仿宋_GB2312" w:hAnsi="仿宋" w:eastAsia="仿宋_GB2312"/>
          <w:sz w:val="32"/>
          <w:lang w:eastAsia="zh-CN"/>
        </w:rPr>
        <w:t>增加</w:t>
      </w:r>
      <w:r>
        <w:rPr>
          <w:rFonts w:hint="eastAsia" w:ascii="仿宋_GB2312" w:hAnsi="仿宋" w:eastAsia="仿宋_GB2312"/>
          <w:sz w:val="32"/>
          <w:lang w:val="en-US" w:eastAsia="zh-CN"/>
        </w:rPr>
        <w:t>10749</w:t>
      </w:r>
      <w:r>
        <w:rPr>
          <w:rFonts w:hint="eastAsia" w:ascii="仿宋_GB2312" w:hAnsi="仿宋" w:eastAsia="仿宋_GB2312"/>
          <w:sz w:val="32"/>
        </w:rPr>
        <w:t>万元，</w:t>
      </w:r>
      <w:r>
        <w:rPr>
          <w:rFonts w:hint="eastAsia" w:ascii="仿宋_GB2312" w:hAnsi="仿宋" w:eastAsia="仿宋_GB2312"/>
          <w:sz w:val="32"/>
          <w:lang w:eastAsia="zh-CN"/>
        </w:rPr>
        <w:t>增加</w:t>
      </w:r>
      <w:r>
        <w:rPr>
          <w:rFonts w:hint="eastAsia" w:ascii="仿宋_GB2312" w:hAnsi="仿宋" w:eastAsia="仿宋_GB2312"/>
          <w:sz w:val="32"/>
          <w:lang w:val="en-US" w:eastAsia="zh-CN"/>
        </w:rPr>
        <w:t>21.9</w:t>
      </w:r>
      <w:r>
        <w:rPr>
          <w:rFonts w:hint="eastAsia" w:ascii="仿宋_GB2312" w:hAnsi="仿宋" w:eastAsia="仿宋_GB2312"/>
          <w:sz w:val="32"/>
        </w:rPr>
        <w:t>%，</w:t>
      </w:r>
      <w:r>
        <w:rPr>
          <w:rFonts w:hint="eastAsia" w:ascii="仿宋_GB2312" w:hAnsi="仿宋" w:eastAsia="仿宋_GB2312"/>
          <w:sz w:val="32"/>
          <w:lang w:val="en-US" w:eastAsia="zh-CN"/>
        </w:rPr>
        <w:t>主要是县级基本财力保障机制奖补资金正常增长及一次性财力补助等;</w:t>
      </w:r>
    </w:p>
    <w:p w14:paraId="57E8A5E0">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rPr>
        <w:t>4.结算补助</w:t>
      </w:r>
      <w:r>
        <w:rPr>
          <w:rFonts w:hint="eastAsia" w:ascii="仿宋_GB2312" w:hAnsi="仿宋" w:eastAsia="仿宋_GB2312"/>
          <w:sz w:val="32"/>
          <w:lang w:val="en-US" w:eastAsia="zh-CN"/>
        </w:rPr>
        <w:t>16629万元</w:t>
      </w:r>
      <w:r>
        <w:rPr>
          <w:rFonts w:hint="eastAsia" w:ascii="仿宋_GB2312" w:hAnsi="仿宋" w:eastAsia="仿宋_GB2312"/>
          <w:sz w:val="32"/>
        </w:rPr>
        <w:t>，比上年</w:t>
      </w:r>
      <w:r>
        <w:rPr>
          <w:rFonts w:hint="eastAsia" w:ascii="仿宋_GB2312" w:hAnsi="仿宋" w:eastAsia="仿宋_GB2312"/>
          <w:sz w:val="32"/>
          <w:lang w:eastAsia="zh-CN"/>
        </w:rPr>
        <w:t>增加</w:t>
      </w:r>
      <w:r>
        <w:rPr>
          <w:rFonts w:hint="eastAsia" w:ascii="仿宋_GB2312" w:hAnsi="仿宋" w:eastAsia="仿宋_GB2312"/>
          <w:sz w:val="32"/>
          <w:lang w:val="en-US" w:eastAsia="zh-CN"/>
        </w:rPr>
        <w:t>10097</w:t>
      </w:r>
      <w:r>
        <w:rPr>
          <w:rFonts w:hint="eastAsia" w:ascii="仿宋_GB2312" w:hAnsi="仿宋" w:eastAsia="仿宋_GB2312"/>
          <w:sz w:val="32"/>
        </w:rPr>
        <w:t>万元，</w:t>
      </w:r>
      <w:r>
        <w:rPr>
          <w:rFonts w:hint="eastAsia" w:ascii="仿宋_GB2312" w:hAnsi="仿宋" w:eastAsia="仿宋_GB2312"/>
          <w:sz w:val="32"/>
          <w:lang w:eastAsia="zh-CN"/>
        </w:rPr>
        <w:t>增加</w:t>
      </w:r>
      <w:r>
        <w:rPr>
          <w:rFonts w:hint="eastAsia" w:ascii="仿宋_GB2312" w:hAnsi="仿宋" w:eastAsia="仿宋_GB2312"/>
          <w:sz w:val="32"/>
          <w:lang w:val="en-US" w:eastAsia="zh-CN"/>
        </w:rPr>
        <w:t>154.57</w:t>
      </w:r>
      <w:r>
        <w:rPr>
          <w:rFonts w:hint="eastAsia" w:ascii="仿宋_GB2312" w:hAnsi="仿宋" w:eastAsia="仿宋_GB2312"/>
          <w:sz w:val="32"/>
        </w:rPr>
        <w:t>%，</w:t>
      </w:r>
      <w:r>
        <w:rPr>
          <w:rFonts w:hint="eastAsia" w:ascii="仿宋_GB2312" w:hAnsi="仿宋" w:eastAsia="仿宋_GB2312"/>
          <w:sz w:val="32"/>
          <w:lang w:val="en-US" w:eastAsia="zh-CN"/>
        </w:rPr>
        <w:t>主要是县级基本财力保障机制奖补资金正常增长及一次性财力补助等;</w:t>
      </w:r>
    </w:p>
    <w:p w14:paraId="24313838">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rPr>
        <w:t>5. 资源枯竭型城市转移支付补助</w:t>
      </w:r>
      <w:r>
        <w:rPr>
          <w:rFonts w:hint="eastAsia" w:ascii="仿宋_GB2312" w:hAnsi="仿宋" w:eastAsia="仿宋_GB2312"/>
          <w:sz w:val="32"/>
          <w:lang w:val="en-US" w:eastAsia="zh-CN"/>
        </w:rPr>
        <w:t>539万元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2</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0.37</w:t>
      </w:r>
      <w:r>
        <w:rPr>
          <w:rFonts w:hint="eastAsia" w:ascii="仿宋_GB2312" w:hAnsi="仿宋" w:eastAsia="仿宋_GB2312"/>
          <w:sz w:val="32"/>
        </w:rPr>
        <w:t>%，</w:t>
      </w:r>
      <w:r>
        <w:rPr>
          <w:rFonts w:hint="eastAsia" w:ascii="仿宋_GB2312" w:hAnsi="仿宋" w:eastAsia="仿宋_GB2312"/>
          <w:sz w:val="32"/>
          <w:lang w:val="en-US" w:eastAsia="zh-CN"/>
        </w:rPr>
        <w:t>主要是县级基本财力保障机制奖补资金正常增长及一次性财力补助等；</w:t>
      </w:r>
    </w:p>
    <w:p w14:paraId="64F0AE10">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6. 企业事业单位划转补助-1257万元，比上年增加0，增长0%;</w:t>
      </w:r>
    </w:p>
    <w:p w14:paraId="0A59EEE6">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rPr>
        <w:t>7. 产粮(油)大县奖励资金</w:t>
      </w:r>
      <w:r>
        <w:rPr>
          <w:rFonts w:hint="eastAsia" w:ascii="仿宋_GB2312" w:hAnsi="仿宋" w:eastAsia="仿宋_GB2312"/>
          <w:sz w:val="32"/>
          <w:lang w:val="en-US" w:eastAsia="zh-CN"/>
        </w:rPr>
        <w:t>4049万元</w:t>
      </w:r>
      <w:r>
        <w:rPr>
          <w:rFonts w:hint="eastAsia" w:ascii="仿宋_GB2312" w:hAnsi="仿宋" w:eastAsia="仿宋_GB2312"/>
          <w:sz w:val="32"/>
        </w:rPr>
        <w:t>，比上年增加</w:t>
      </w:r>
      <w:r>
        <w:rPr>
          <w:rFonts w:hint="eastAsia" w:ascii="仿宋_GB2312" w:hAnsi="仿宋" w:eastAsia="仿宋_GB2312"/>
          <w:sz w:val="32"/>
          <w:lang w:val="en-US" w:eastAsia="zh-CN"/>
        </w:rPr>
        <w:t>987</w:t>
      </w:r>
      <w:r>
        <w:rPr>
          <w:rFonts w:hint="eastAsia" w:ascii="仿宋_GB2312" w:hAnsi="仿宋" w:eastAsia="仿宋_GB2312"/>
          <w:sz w:val="32"/>
        </w:rPr>
        <w:t>万元，增长</w:t>
      </w:r>
      <w:r>
        <w:rPr>
          <w:rFonts w:hint="eastAsia" w:ascii="仿宋_GB2312" w:hAnsi="仿宋" w:eastAsia="仿宋_GB2312"/>
          <w:sz w:val="32"/>
          <w:lang w:val="en-US" w:eastAsia="zh-CN"/>
        </w:rPr>
        <w:t>32.23%，主要是县级基本财力保障机制奖补资金正常增长及一次性财力补助等;</w:t>
      </w:r>
    </w:p>
    <w:p w14:paraId="7FE0600B">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rPr>
        <w:t>8. 重点生态功能区转移支付</w:t>
      </w:r>
      <w:r>
        <w:rPr>
          <w:rFonts w:hint="eastAsia" w:ascii="仿宋_GB2312" w:hAnsi="仿宋" w:eastAsia="仿宋_GB2312"/>
          <w:sz w:val="32"/>
          <w:lang w:val="en-US" w:eastAsia="zh-CN"/>
        </w:rPr>
        <w:t>9523万元</w:t>
      </w:r>
      <w:r>
        <w:rPr>
          <w:rFonts w:hint="eastAsia" w:ascii="仿宋_GB2312" w:hAnsi="仿宋" w:eastAsia="仿宋_GB2312"/>
          <w:sz w:val="32"/>
        </w:rPr>
        <w:t>，比上年增加</w:t>
      </w:r>
      <w:r>
        <w:rPr>
          <w:rFonts w:hint="eastAsia" w:ascii="仿宋_GB2312" w:hAnsi="仿宋" w:eastAsia="仿宋_GB2312"/>
          <w:sz w:val="32"/>
          <w:lang w:val="en-US" w:eastAsia="zh-CN"/>
        </w:rPr>
        <w:t>1631</w:t>
      </w:r>
      <w:r>
        <w:rPr>
          <w:rFonts w:hint="eastAsia" w:ascii="仿宋_GB2312" w:hAnsi="仿宋" w:eastAsia="仿宋_GB2312"/>
          <w:sz w:val="32"/>
        </w:rPr>
        <w:t>万元，增长</w:t>
      </w:r>
      <w:r>
        <w:rPr>
          <w:rFonts w:hint="eastAsia" w:ascii="仿宋_GB2312" w:hAnsi="仿宋" w:eastAsia="仿宋_GB2312"/>
          <w:sz w:val="32"/>
          <w:lang w:val="en-US" w:eastAsia="zh-CN"/>
        </w:rPr>
        <w:t>20.67</w:t>
      </w:r>
      <w:r>
        <w:rPr>
          <w:rFonts w:hint="eastAsia" w:ascii="仿宋_GB2312" w:hAnsi="仿宋" w:eastAsia="仿宋_GB2312"/>
          <w:sz w:val="32"/>
        </w:rPr>
        <w:t>%</w:t>
      </w:r>
      <w:r>
        <w:rPr>
          <w:rFonts w:hint="eastAsia" w:ascii="仿宋_GB2312" w:hAnsi="仿宋" w:eastAsia="仿宋_GB2312"/>
          <w:sz w:val="32"/>
          <w:lang w:val="en-US" w:eastAsia="zh-CN"/>
        </w:rPr>
        <w:t>，主要是县级基本财力保障机制奖补资金正常增长及一次性财力补助等;</w:t>
      </w:r>
    </w:p>
    <w:p w14:paraId="7271E4BF">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rPr>
        <w:t>9. 固定数额补助18</w:t>
      </w:r>
      <w:r>
        <w:rPr>
          <w:rFonts w:hint="eastAsia" w:ascii="仿宋_GB2312" w:hAnsi="仿宋" w:eastAsia="仿宋_GB2312"/>
          <w:sz w:val="32"/>
          <w:lang w:val="en-US" w:eastAsia="zh-CN"/>
        </w:rPr>
        <w:t>47</w:t>
      </w:r>
      <w:r>
        <w:rPr>
          <w:rFonts w:hint="eastAsia" w:ascii="仿宋_GB2312" w:hAnsi="仿宋" w:eastAsia="仿宋_GB2312"/>
          <w:sz w:val="32"/>
        </w:rPr>
        <w:t>4万元，比上年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0</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0</w:t>
      </w:r>
      <w:r>
        <w:rPr>
          <w:rFonts w:hint="eastAsia" w:ascii="仿宋_GB2312" w:hAnsi="仿宋" w:eastAsia="仿宋_GB2312"/>
          <w:sz w:val="32"/>
        </w:rPr>
        <w:t>%</w:t>
      </w:r>
      <w:r>
        <w:rPr>
          <w:rFonts w:hint="eastAsia" w:ascii="仿宋_GB2312" w:hAnsi="仿宋" w:eastAsia="仿宋_GB2312"/>
          <w:sz w:val="32"/>
          <w:lang w:val="en-US" w:eastAsia="zh-CN"/>
        </w:rPr>
        <w:t>;</w:t>
      </w:r>
    </w:p>
    <w:p w14:paraId="4D492628">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10. 革命老区转移支付260万元，比上年增加0，增长0%;</w:t>
      </w:r>
    </w:p>
    <w:p w14:paraId="611AD030">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rPr>
        <w:t>11. 贫</w:t>
      </w:r>
      <w:r>
        <w:rPr>
          <w:rFonts w:hint="eastAsia" w:ascii="仿宋_GB2312" w:hAnsi="仿宋" w:eastAsia="仿宋_GB2312"/>
          <w:sz w:val="32"/>
          <w:lang w:val="en-US" w:eastAsia="zh-CN"/>
        </w:rPr>
        <w:t>困地区转移支付0万元，比上年减少17756万元，减少100%，主要是县级基本财力保障机制奖补资金正常增长及一次性财力补助等;</w:t>
      </w:r>
    </w:p>
    <w:p w14:paraId="697B14A3">
      <w:pPr>
        <w:widowControl/>
        <w:pBdr>
          <w:bottom w:val="single" w:color="FFFFFF" w:sz="4" w:space="31"/>
        </w:pBdr>
        <w:spacing w:line="560" w:lineRule="exact"/>
        <w:ind w:firstLine="640" w:firstLineChars="200"/>
        <w:rPr>
          <w:rFonts w:hint="default" w:ascii="仿宋_GB2312" w:hAnsi="仿宋" w:eastAsia="仿宋_GB2312"/>
          <w:sz w:val="32"/>
          <w:lang w:val="en-US" w:eastAsia="zh-CN"/>
        </w:rPr>
      </w:pPr>
      <w:r>
        <w:rPr>
          <w:rFonts w:hint="eastAsia" w:ascii="仿宋_GB2312" w:hAnsi="仿宋" w:eastAsia="仿宋_GB2312"/>
          <w:sz w:val="32"/>
          <w:lang w:val="en-US" w:eastAsia="zh-CN"/>
        </w:rPr>
        <w:t>12.巩固脱贫攻坚成果衔接乡村振兴转移支付收入19498万元，</w:t>
      </w:r>
      <w:r>
        <w:rPr>
          <w:rFonts w:hint="eastAsia" w:ascii="仿宋_GB2312" w:hAnsi="仿宋" w:eastAsia="仿宋_GB2312"/>
          <w:sz w:val="32"/>
        </w:rPr>
        <w:t>比上年增加</w:t>
      </w:r>
      <w:r>
        <w:rPr>
          <w:rFonts w:hint="eastAsia" w:ascii="仿宋_GB2312" w:hAnsi="仿宋" w:eastAsia="仿宋_GB2312"/>
          <w:sz w:val="32"/>
          <w:lang w:val="en-US" w:eastAsia="zh-CN"/>
        </w:rPr>
        <w:t>19498万元</w:t>
      </w:r>
      <w:r>
        <w:rPr>
          <w:rFonts w:hint="eastAsia" w:ascii="仿宋_GB2312" w:hAnsi="仿宋" w:eastAsia="仿宋_GB2312"/>
          <w:sz w:val="32"/>
        </w:rPr>
        <w:t>，增长</w:t>
      </w:r>
      <w:r>
        <w:rPr>
          <w:rFonts w:hint="eastAsia" w:ascii="仿宋_GB2312" w:hAnsi="仿宋" w:eastAsia="仿宋_GB2312"/>
          <w:sz w:val="32"/>
          <w:lang w:val="en-US" w:eastAsia="zh-CN"/>
        </w:rPr>
        <w:t>100</w:t>
      </w:r>
      <w:r>
        <w:rPr>
          <w:rFonts w:hint="eastAsia" w:ascii="仿宋_GB2312" w:hAnsi="仿宋" w:eastAsia="仿宋_GB2312"/>
          <w:sz w:val="32"/>
        </w:rPr>
        <w:t>%;</w:t>
      </w:r>
    </w:p>
    <w:p w14:paraId="0FDC6CA8">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rPr>
        <w:t>1</w:t>
      </w:r>
      <w:r>
        <w:rPr>
          <w:rFonts w:hint="eastAsia" w:ascii="仿宋_GB2312" w:hAnsi="仿宋" w:eastAsia="仿宋_GB2312"/>
          <w:sz w:val="32"/>
          <w:lang w:val="en-US" w:eastAsia="zh-CN"/>
        </w:rPr>
        <w:t>3</w:t>
      </w:r>
      <w:r>
        <w:rPr>
          <w:rFonts w:hint="eastAsia" w:ascii="仿宋_GB2312" w:hAnsi="仿宋" w:eastAsia="仿宋_GB2312"/>
          <w:sz w:val="32"/>
        </w:rPr>
        <w:t>. 公共安全共同财政事权转移支付</w:t>
      </w:r>
      <w:r>
        <w:rPr>
          <w:rFonts w:hint="eastAsia" w:ascii="仿宋_GB2312" w:hAnsi="仿宋" w:eastAsia="仿宋_GB2312"/>
          <w:sz w:val="32"/>
          <w:lang w:val="en-US" w:eastAsia="zh-CN"/>
        </w:rPr>
        <w:t>2044万元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239</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10.47</w:t>
      </w:r>
      <w:r>
        <w:rPr>
          <w:rFonts w:hint="eastAsia" w:ascii="仿宋_GB2312" w:hAnsi="仿宋" w:eastAsia="仿宋_GB2312"/>
          <w:sz w:val="32"/>
        </w:rPr>
        <w:t>%</w:t>
      </w:r>
      <w:r>
        <w:rPr>
          <w:rFonts w:hint="eastAsia" w:ascii="仿宋_GB2312" w:hAnsi="仿宋" w:eastAsia="仿宋_GB2312"/>
          <w:sz w:val="32"/>
          <w:lang w:val="en-US" w:eastAsia="zh-CN"/>
        </w:rPr>
        <w:t>，主要是县级基本财力保障机制奖补资金正常增长及一次性财力补助等;</w:t>
      </w:r>
    </w:p>
    <w:p w14:paraId="6D6B7662">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rPr>
        <w:t>1</w:t>
      </w:r>
      <w:r>
        <w:rPr>
          <w:rFonts w:hint="eastAsia" w:ascii="仿宋_GB2312" w:hAnsi="仿宋" w:eastAsia="仿宋_GB2312"/>
          <w:sz w:val="32"/>
          <w:lang w:val="en-US" w:eastAsia="zh-CN"/>
        </w:rPr>
        <w:t>4</w:t>
      </w:r>
      <w:r>
        <w:rPr>
          <w:rFonts w:hint="eastAsia" w:ascii="仿宋_GB2312" w:hAnsi="仿宋" w:eastAsia="仿宋_GB2312"/>
          <w:sz w:val="32"/>
        </w:rPr>
        <w:t>. 教育共同财政事权转移支付</w:t>
      </w:r>
      <w:r>
        <w:rPr>
          <w:rFonts w:hint="eastAsia" w:ascii="仿宋_GB2312" w:hAnsi="仿宋" w:eastAsia="仿宋_GB2312"/>
          <w:sz w:val="32"/>
          <w:lang w:val="en-US" w:eastAsia="zh-CN"/>
        </w:rPr>
        <w:t>52102万元</w:t>
      </w:r>
      <w:r>
        <w:rPr>
          <w:rFonts w:hint="eastAsia" w:ascii="仿宋_GB2312" w:hAnsi="仿宋" w:eastAsia="仿宋_GB2312"/>
          <w:sz w:val="32"/>
        </w:rPr>
        <w:t>，比上年</w:t>
      </w:r>
      <w:r>
        <w:rPr>
          <w:rFonts w:hint="eastAsia" w:ascii="仿宋_GB2312" w:hAnsi="仿宋" w:eastAsia="仿宋_GB2312"/>
          <w:sz w:val="32"/>
          <w:lang w:eastAsia="zh-CN"/>
        </w:rPr>
        <w:t>增加</w:t>
      </w:r>
      <w:r>
        <w:rPr>
          <w:rFonts w:hint="eastAsia" w:ascii="仿宋_GB2312" w:hAnsi="仿宋" w:eastAsia="仿宋_GB2312"/>
          <w:sz w:val="32"/>
          <w:lang w:val="en-US" w:eastAsia="zh-CN"/>
        </w:rPr>
        <w:t>1695</w:t>
      </w:r>
      <w:r>
        <w:rPr>
          <w:rFonts w:hint="eastAsia" w:ascii="仿宋_GB2312" w:hAnsi="仿宋" w:eastAsia="仿宋_GB2312"/>
          <w:sz w:val="32"/>
        </w:rPr>
        <w:t>万元，</w:t>
      </w:r>
      <w:r>
        <w:rPr>
          <w:rFonts w:hint="eastAsia" w:ascii="仿宋_GB2312" w:hAnsi="仿宋" w:eastAsia="仿宋_GB2312"/>
          <w:sz w:val="32"/>
          <w:lang w:eastAsia="zh-CN"/>
        </w:rPr>
        <w:t>增加</w:t>
      </w:r>
      <w:r>
        <w:rPr>
          <w:rFonts w:hint="eastAsia" w:ascii="仿宋_GB2312" w:hAnsi="仿宋" w:eastAsia="仿宋_GB2312"/>
          <w:sz w:val="32"/>
          <w:lang w:val="en-US" w:eastAsia="zh-CN"/>
        </w:rPr>
        <w:t>3.36</w:t>
      </w:r>
      <w:r>
        <w:rPr>
          <w:rFonts w:hint="eastAsia" w:ascii="仿宋_GB2312" w:hAnsi="仿宋" w:eastAsia="仿宋_GB2312"/>
          <w:sz w:val="32"/>
        </w:rPr>
        <w:t>%</w:t>
      </w:r>
      <w:r>
        <w:rPr>
          <w:rFonts w:hint="eastAsia" w:ascii="仿宋_GB2312" w:hAnsi="仿宋" w:eastAsia="仿宋_GB2312"/>
          <w:sz w:val="32"/>
          <w:lang w:val="en-US" w:eastAsia="zh-CN"/>
        </w:rPr>
        <w:t>，主要是县级基本财力保障机制奖补资金正常增长及一次性财力补助等;</w:t>
      </w:r>
    </w:p>
    <w:p w14:paraId="7601F22C">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rPr>
        <w:t>1</w:t>
      </w:r>
      <w:r>
        <w:rPr>
          <w:rFonts w:hint="eastAsia" w:ascii="仿宋_GB2312" w:hAnsi="仿宋" w:eastAsia="仿宋_GB2312"/>
          <w:sz w:val="32"/>
          <w:lang w:val="en-US" w:eastAsia="zh-CN"/>
        </w:rPr>
        <w:t>5</w:t>
      </w:r>
      <w:r>
        <w:rPr>
          <w:rFonts w:hint="eastAsia" w:ascii="仿宋_GB2312" w:hAnsi="仿宋" w:eastAsia="仿宋_GB2312"/>
          <w:sz w:val="32"/>
        </w:rPr>
        <w:t>. 科学技术共同财政事权转移支付</w:t>
      </w:r>
      <w:r>
        <w:rPr>
          <w:rFonts w:hint="eastAsia" w:ascii="仿宋_GB2312" w:hAnsi="仿宋" w:eastAsia="仿宋_GB2312"/>
          <w:sz w:val="32"/>
          <w:lang w:val="en-US" w:eastAsia="zh-CN"/>
        </w:rPr>
        <w:t>134万元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30</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18.29</w:t>
      </w:r>
      <w:r>
        <w:rPr>
          <w:rFonts w:hint="eastAsia" w:ascii="仿宋_GB2312" w:hAnsi="仿宋" w:eastAsia="仿宋_GB2312"/>
          <w:sz w:val="32"/>
        </w:rPr>
        <w:t>%</w:t>
      </w:r>
      <w:r>
        <w:rPr>
          <w:rFonts w:hint="eastAsia" w:ascii="仿宋_GB2312" w:hAnsi="仿宋" w:eastAsia="仿宋_GB2312"/>
          <w:sz w:val="32"/>
          <w:lang w:val="en-US" w:eastAsia="zh-CN"/>
        </w:rPr>
        <w:t>，主要是县级基本财力保障机制奖补资金正常增长及一次性财力补助等;</w:t>
      </w:r>
    </w:p>
    <w:p w14:paraId="741282A7">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rPr>
        <w:t>1</w:t>
      </w:r>
      <w:r>
        <w:rPr>
          <w:rFonts w:hint="eastAsia" w:ascii="仿宋_GB2312" w:hAnsi="仿宋" w:eastAsia="仿宋_GB2312"/>
          <w:sz w:val="32"/>
          <w:lang w:val="en-US" w:eastAsia="zh-CN"/>
        </w:rPr>
        <w:t>6</w:t>
      </w:r>
      <w:r>
        <w:rPr>
          <w:rFonts w:hint="eastAsia" w:ascii="仿宋_GB2312" w:hAnsi="仿宋" w:eastAsia="仿宋_GB2312"/>
          <w:sz w:val="32"/>
        </w:rPr>
        <w:t>. 文化旅游体育与传媒共同财政事权转移支付</w:t>
      </w:r>
      <w:r>
        <w:rPr>
          <w:rFonts w:hint="eastAsia" w:ascii="仿宋_GB2312" w:hAnsi="仿宋" w:eastAsia="仿宋_GB2312"/>
          <w:sz w:val="32"/>
          <w:lang w:val="en-US" w:eastAsia="zh-CN"/>
        </w:rPr>
        <w:t>1267万元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121</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8.72</w:t>
      </w:r>
      <w:r>
        <w:rPr>
          <w:rFonts w:hint="eastAsia" w:ascii="仿宋_GB2312" w:hAnsi="仿宋" w:eastAsia="仿宋_GB2312"/>
          <w:sz w:val="32"/>
        </w:rPr>
        <w:t>%</w:t>
      </w:r>
      <w:r>
        <w:rPr>
          <w:rFonts w:hint="eastAsia" w:ascii="仿宋_GB2312" w:hAnsi="仿宋" w:eastAsia="仿宋_GB2312"/>
          <w:sz w:val="32"/>
          <w:lang w:val="en-US" w:eastAsia="zh-CN"/>
        </w:rPr>
        <w:t>，主要是县级基本财力保障机制奖补资金正常增长及一次性财力补助等;</w:t>
      </w:r>
    </w:p>
    <w:p w14:paraId="01396D2C">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rPr>
        <w:t>1</w:t>
      </w:r>
      <w:r>
        <w:rPr>
          <w:rFonts w:hint="eastAsia" w:ascii="仿宋_GB2312" w:hAnsi="仿宋" w:eastAsia="仿宋_GB2312"/>
          <w:sz w:val="32"/>
          <w:lang w:val="en-US" w:eastAsia="zh-CN"/>
        </w:rPr>
        <w:t>7</w:t>
      </w:r>
      <w:r>
        <w:rPr>
          <w:rFonts w:hint="eastAsia" w:ascii="仿宋_GB2312" w:hAnsi="仿宋" w:eastAsia="仿宋_GB2312"/>
          <w:sz w:val="32"/>
        </w:rPr>
        <w:t>. 社会保障和就业共同财政事权转移支付</w:t>
      </w:r>
      <w:r>
        <w:rPr>
          <w:rFonts w:hint="eastAsia" w:ascii="仿宋_GB2312" w:hAnsi="仿宋" w:eastAsia="仿宋_GB2312"/>
          <w:sz w:val="32"/>
          <w:lang w:val="en-US" w:eastAsia="zh-CN"/>
        </w:rPr>
        <w:t>58808万元</w:t>
      </w:r>
      <w:r>
        <w:rPr>
          <w:rFonts w:hint="eastAsia" w:ascii="仿宋_GB2312" w:hAnsi="仿宋" w:eastAsia="仿宋_GB2312"/>
          <w:sz w:val="32"/>
        </w:rPr>
        <w:t>，比上年增加</w:t>
      </w:r>
      <w:r>
        <w:rPr>
          <w:rFonts w:hint="eastAsia" w:ascii="仿宋_GB2312" w:hAnsi="仿宋" w:eastAsia="仿宋_GB2312"/>
          <w:sz w:val="32"/>
          <w:lang w:val="en-US" w:eastAsia="zh-CN"/>
        </w:rPr>
        <w:t>2700</w:t>
      </w:r>
      <w:r>
        <w:rPr>
          <w:rFonts w:hint="eastAsia" w:ascii="仿宋_GB2312" w:hAnsi="仿宋" w:eastAsia="仿宋_GB2312"/>
          <w:sz w:val="32"/>
        </w:rPr>
        <w:t>万元，增长</w:t>
      </w:r>
      <w:r>
        <w:rPr>
          <w:rFonts w:hint="eastAsia" w:ascii="仿宋_GB2312" w:hAnsi="仿宋" w:eastAsia="仿宋_GB2312"/>
          <w:sz w:val="32"/>
          <w:lang w:val="en-US" w:eastAsia="zh-CN"/>
        </w:rPr>
        <w:t>4.81</w:t>
      </w:r>
      <w:r>
        <w:rPr>
          <w:rFonts w:hint="eastAsia" w:ascii="仿宋_GB2312" w:hAnsi="仿宋" w:eastAsia="仿宋_GB2312"/>
          <w:sz w:val="32"/>
        </w:rPr>
        <w:t>%</w:t>
      </w:r>
      <w:r>
        <w:rPr>
          <w:rFonts w:hint="eastAsia" w:ascii="仿宋_GB2312" w:hAnsi="仿宋" w:eastAsia="仿宋_GB2312"/>
          <w:sz w:val="32"/>
          <w:lang w:val="en-US" w:eastAsia="zh-CN"/>
        </w:rPr>
        <w:t>，主要是县级基本财力保障机制奖补资金正常增长及一次性财力补助等;</w:t>
      </w:r>
    </w:p>
    <w:p w14:paraId="5A77CF82">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rPr>
        <w:t>1</w:t>
      </w:r>
      <w:r>
        <w:rPr>
          <w:rFonts w:hint="eastAsia" w:ascii="仿宋_GB2312" w:hAnsi="仿宋" w:eastAsia="仿宋_GB2312"/>
          <w:sz w:val="32"/>
          <w:lang w:val="en-US" w:eastAsia="zh-CN"/>
        </w:rPr>
        <w:t>8</w:t>
      </w:r>
      <w:r>
        <w:rPr>
          <w:rFonts w:hint="eastAsia" w:ascii="仿宋_GB2312" w:hAnsi="仿宋" w:eastAsia="仿宋_GB2312"/>
          <w:sz w:val="32"/>
        </w:rPr>
        <w:t>.医疗卫生共同财政事权转移支付</w:t>
      </w:r>
      <w:r>
        <w:rPr>
          <w:rFonts w:hint="eastAsia" w:ascii="仿宋_GB2312" w:hAnsi="仿宋" w:eastAsia="仿宋_GB2312"/>
          <w:sz w:val="32"/>
          <w:lang w:val="en-US" w:eastAsia="zh-CN"/>
        </w:rPr>
        <w:t>18639万元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54701</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74.59</w:t>
      </w:r>
      <w:r>
        <w:rPr>
          <w:rFonts w:hint="eastAsia" w:ascii="仿宋_GB2312" w:hAnsi="仿宋" w:eastAsia="仿宋_GB2312"/>
          <w:sz w:val="32"/>
        </w:rPr>
        <w:t>%</w:t>
      </w:r>
      <w:r>
        <w:rPr>
          <w:rFonts w:hint="eastAsia" w:ascii="仿宋_GB2312" w:hAnsi="仿宋" w:eastAsia="仿宋_GB2312"/>
          <w:sz w:val="32"/>
          <w:lang w:val="en-US" w:eastAsia="zh-CN"/>
        </w:rPr>
        <w:t>，主要是县级基本财力保障机制奖补资金正常增长及一次性财力补助等;</w:t>
      </w:r>
    </w:p>
    <w:p w14:paraId="0AB44147">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rPr>
        <w:t>1</w:t>
      </w:r>
      <w:r>
        <w:rPr>
          <w:rFonts w:hint="eastAsia" w:ascii="仿宋_GB2312" w:hAnsi="仿宋" w:eastAsia="仿宋_GB2312"/>
          <w:sz w:val="32"/>
          <w:lang w:val="en-US" w:eastAsia="zh-CN"/>
        </w:rPr>
        <w:t>9</w:t>
      </w:r>
      <w:r>
        <w:rPr>
          <w:rFonts w:hint="eastAsia" w:ascii="仿宋_GB2312" w:hAnsi="仿宋" w:eastAsia="仿宋_GB2312"/>
          <w:sz w:val="32"/>
        </w:rPr>
        <w:t>. 节能环保共同财政事权转移支付</w:t>
      </w:r>
      <w:r>
        <w:rPr>
          <w:rFonts w:hint="eastAsia" w:ascii="仿宋_GB2312" w:hAnsi="仿宋" w:eastAsia="仿宋_GB2312"/>
          <w:sz w:val="32"/>
          <w:lang w:val="en-US" w:eastAsia="zh-CN"/>
        </w:rPr>
        <w:t>1476万元</w:t>
      </w:r>
      <w:r>
        <w:rPr>
          <w:rFonts w:hint="eastAsia" w:ascii="仿宋_GB2312" w:hAnsi="仿宋" w:eastAsia="仿宋_GB2312"/>
          <w:sz w:val="32"/>
        </w:rPr>
        <w:t>，比上年</w:t>
      </w:r>
      <w:r>
        <w:rPr>
          <w:rFonts w:hint="eastAsia" w:ascii="仿宋_GB2312" w:hAnsi="仿宋" w:eastAsia="仿宋_GB2312"/>
          <w:sz w:val="32"/>
          <w:lang w:eastAsia="zh-CN"/>
        </w:rPr>
        <w:t>增加</w:t>
      </w:r>
      <w:r>
        <w:rPr>
          <w:rFonts w:hint="eastAsia" w:ascii="仿宋_GB2312" w:hAnsi="仿宋" w:eastAsia="仿宋_GB2312"/>
          <w:sz w:val="32"/>
          <w:lang w:val="en-US" w:eastAsia="zh-CN"/>
        </w:rPr>
        <w:t>663</w:t>
      </w:r>
      <w:r>
        <w:rPr>
          <w:rFonts w:hint="eastAsia" w:ascii="仿宋_GB2312" w:hAnsi="仿宋" w:eastAsia="仿宋_GB2312"/>
          <w:sz w:val="32"/>
        </w:rPr>
        <w:t>万元，</w:t>
      </w:r>
      <w:r>
        <w:rPr>
          <w:rFonts w:hint="eastAsia" w:ascii="仿宋_GB2312" w:hAnsi="仿宋" w:eastAsia="仿宋_GB2312"/>
          <w:sz w:val="32"/>
          <w:lang w:eastAsia="zh-CN"/>
        </w:rPr>
        <w:t>增加</w:t>
      </w:r>
      <w:r>
        <w:rPr>
          <w:rFonts w:hint="eastAsia" w:ascii="仿宋_GB2312" w:hAnsi="仿宋" w:eastAsia="仿宋_GB2312"/>
          <w:sz w:val="32"/>
          <w:lang w:val="en-US" w:eastAsia="zh-CN"/>
        </w:rPr>
        <w:t>81.55</w:t>
      </w:r>
      <w:r>
        <w:rPr>
          <w:rFonts w:hint="eastAsia" w:ascii="仿宋_GB2312" w:hAnsi="仿宋" w:eastAsia="仿宋_GB2312"/>
          <w:sz w:val="32"/>
        </w:rPr>
        <w:t>%，</w:t>
      </w:r>
      <w:r>
        <w:rPr>
          <w:rFonts w:hint="eastAsia" w:ascii="仿宋_GB2312" w:hAnsi="仿宋" w:eastAsia="仿宋_GB2312"/>
          <w:sz w:val="32"/>
          <w:lang w:val="en-US" w:eastAsia="zh-CN"/>
        </w:rPr>
        <w:t>主要是县级基本财力保障机制奖补资金正常增长及一次性财力补助等;</w:t>
      </w:r>
    </w:p>
    <w:p w14:paraId="084C7EF2">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lang w:val="en-US" w:eastAsia="zh-CN"/>
        </w:rPr>
        <w:t>20</w:t>
      </w:r>
      <w:r>
        <w:rPr>
          <w:rFonts w:hint="eastAsia" w:ascii="仿宋_GB2312" w:hAnsi="仿宋" w:eastAsia="仿宋_GB2312"/>
          <w:sz w:val="32"/>
        </w:rPr>
        <w:t>. 农林水共同财政事权转移支付</w:t>
      </w:r>
      <w:r>
        <w:rPr>
          <w:rFonts w:hint="eastAsia" w:ascii="仿宋_GB2312" w:hAnsi="仿宋" w:eastAsia="仿宋_GB2312"/>
          <w:sz w:val="32"/>
          <w:lang w:val="en-US" w:eastAsia="zh-CN"/>
        </w:rPr>
        <w:t>65773</w:t>
      </w:r>
      <w:r>
        <w:rPr>
          <w:rFonts w:hint="eastAsia" w:ascii="仿宋_GB2312" w:hAnsi="仿宋" w:eastAsia="仿宋_GB2312"/>
          <w:sz w:val="32"/>
        </w:rPr>
        <w:t>万元</w:t>
      </w:r>
      <w:bookmarkStart w:id="0" w:name="_GoBack"/>
      <w:bookmarkEnd w:id="0"/>
      <w:r>
        <w:rPr>
          <w:rFonts w:hint="eastAsia" w:ascii="仿宋_GB2312" w:hAnsi="仿宋" w:eastAsia="仿宋_GB2312"/>
          <w:sz w:val="32"/>
        </w:rPr>
        <w:t>，比上年</w:t>
      </w:r>
      <w:r>
        <w:rPr>
          <w:rFonts w:hint="eastAsia" w:ascii="仿宋_GB2312" w:hAnsi="仿宋" w:eastAsia="仿宋_GB2312"/>
          <w:sz w:val="32"/>
          <w:lang w:eastAsia="zh-CN"/>
        </w:rPr>
        <w:t>增加</w:t>
      </w:r>
      <w:r>
        <w:rPr>
          <w:rFonts w:hint="eastAsia" w:ascii="仿宋_GB2312" w:hAnsi="仿宋" w:eastAsia="仿宋_GB2312"/>
          <w:sz w:val="32"/>
          <w:lang w:val="en-US" w:eastAsia="zh-CN"/>
        </w:rPr>
        <w:t>19746</w:t>
      </w:r>
      <w:r>
        <w:rPr>
          <w:rFonts w:hint="eastAsia" w:ascii="仿宋_GB2312" w:hAnsi="仿宋" w:eastAsia="仿宋_GB2312"/>
          <w:sz w:val="32"/>
        </w:rPr>
        <w:t>万元，</w:t>
      </w:r>
      <w:r>
        <w:rPr>
          <w:rFonts w:hint="eastAsia" w:ascii="仿宋_GB2312" w:hAnsi="仿宋" w:eastAsia="仿宋_GB2312"/>
          <w:sz w:val="32"/>
          <w:lang w:eastAsia="zh-CN"/>
        </w:rPr>
        <w:t>增加</w:t>
      </w:r>
      <w:r>
        <w:rPr>
          <w:rFonts w:hint="eastAsia" w:ascii="仿宋_GB2312" w:hAnsi="仿宋" w:eastAsia="仿宋_GB2312"/>
          <w:sz w:val="32"/>
          <w:lang w:val="en-US" w:eastAsia="zh-CN"/>
        </w:rPr>
        <w:t>42.9</w:t>
      </w:r>
      <w:r>
        <w:rPr>
          <w:rFonts w:hint="eastAsia" w:ascii="仿宋_GB2312" w:hAnsi="仿宋" w:eastAsia="仿宋_GB2312"/>
          <w:sz w:val="32"/>
        </w:rPr>
        <w:t>%</w:t>
      </w:r>
      <w:r>
        <w:rPr>
          <w:rFonts w:hint="eastAsia" w:ascii="仿宋_GB2312" w:hAnsi="仿宋" w:eastAsia="仿宋_GB2312"/>
          <w:sz w:val="32"/>
          <w:lang w:val="en-US" w:eastAsia="zh-CN"/>
        </w:rPr>
        <w:t>;</w:t>
      </w:r>
    </w:p>
    <w:p w14:paraId="4EEE6385">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lang w:val="en-US" w:eastAsia="zh-CN"/>
        </w:rPr>
        <w:t>21</w:t>
      </w:r>
      <w:r>
        <w:rPr>
          <w:rFonts w:hint="eastAsia" w:ascii="仿宋_GB2312" w:hAnsi="仿宋" w:eastAsia="仿宋_GB2312"/>
          <w:sz w:val="32"/>
        </w:rPr>
        <w:t>. 交通运输共同财政事权转移支付</w:t>
      </w:r>
      <w:r>
        <w:rPr>
          <w:rFonts w:hint="eastAsia" w:ascii="仿宋_GB2312" w:hAnsi="仿宋" w:eastAsia="仿宋_GB2312"/>
          <w:sz w:val="32"/>
          <w:lang w:val="en-US" w:eastAsia="zh-CN"/>
        </w:rPr>
        <w:t>5397</w:t>
      </w:r>
      <w:r>
        <w:rPr>
          <w:rFonts w:hint="eastAsia" w:ascii="仿宋_GB2312" w:hAnsi="仿宋" w:eastAsia="仿宋_GB2312"/>
          <w:sz w:val="32"/>
        </w:rPr>
        <w:t>万元，比上年</w:t>
      </w:r>
      <w:r>
        <w:rPr>
          <w:rFonts w:hint="eastAsia" w:ascii="仿宋_GB2312" w:hAnsi="仿宋" w:eastAsia="仿宋_GB2312"/>
          <w:sz w:val="32"/>
          <w:lang w:eastAsia="zh-CN"/>
        </w:rPr>
        <w:t>增加</w:t>
      </w:r>
      <w:r>
        <w:rPr>
          <w:rFonts w:hint="eastAsia" w:ascii="仿宋_GB2312" w:hAnsi="仿宋" w:eastAsia="仿宋_GB2312"/>
          <w:sz w:val="32"/>
          <w:lang w:val="en-US" w:eastAsia="zh-CN"/>
        </w:rPr>
        <w:t>2165</w:t>
      </w:r>
      <w:r>
        <w:rPr>
          <w:rFonts w:hint="eastAsia" w:ascii="仿宋_GB2312" w:hAnsi="仿宋" w:eastAsia="仿宋_GB2312"/>
          <w:sz w:val="32"/>
        </w:rPr>
        <w:t>万元，</w:t>
      </w:r>
      <w:r>
        <w:rPr>
          <w:rFonts w:hint="eastAsia" w:ascii="仿宋_GB2312" w:hAnsi="仿宋" w:eastAsia="仿宋_GB2312"/>
          <w:sz w:val="32"/>
          <w:lang w:eastAsia="zh-CN"/>
        </w:rPr>
        <w:t>增加</w:t>
      </w:r>
      <w:r>
        <w:rPr>
          <w:rFonts w:hint="eastAsia" w:ascii="仿宋_GB2312" w:hAnsi="仿宋" w:eastAsia="仿宋_GB2312"/>
          <w:sz w:val="32"/>
          <w:lang w:val="en-US" w:eastAsia="zh-CN"/>
        </w:rPr>
        <w:t>66.99</w:t>
      </w:r>
      <w:r>
        <w:rPr>
          <w:rFonts w:hint="eastAsia" w:ascii="仿宋_GB2312" w:hAnsi="仿宋" w:eastAsia="仿宋_GB2312"/>
          <w:sz w:val="32"/>
        </w:rPr>
        <w:t>%</w:t>
      </w:r>
      <w:r>
        <w:rPr>
          <w:rFonts w:hint="eastAsia" w:ascii="仿宋_GB2312" w:hAnsi="仿宋" w:eastAsia="仿宋_GB2312"/>
          <w:sz w:val="32"/>
          <w:lang w:val="en-US" w:eastAsia="zh-CN"/>
        </w:rPr>
        <w:t>;</w:t>
      </w:r>
    </w:p>
    <w:p w14:paraId="6067C160">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rPr>
        <w:t>2</w:t>
      </w:r>
      <w:r>
        <w:rPr>
          <w:rFonts w:hint="eastAsia" w:ascii="仿宋_GB2312" w:hAnsi="仿宋" w:eastAsia="仿宋_GB2312"/>
          <w:sz w:val="32"/>
          <w:lang w:val="en-US" w:eastAsia="zh-CN"/>
        </w:rPr>
        <w:t>2</w:t>
      </w:r>
      <w:r>
        <w:rPr>
          <w:rFonts w:hint="eastAsia" w:ascii="仿宋_GB2312" w:hAnsi="仿宋" w:eastAsia="仿宋_GB2312"/>
          <w:sz w:val="32"/>
        </w:rPr>
        <w:t>. 住房保障共同财政事权转移支付</w:t>
      </w:r>
      <w:r>
        <w:rPr>
          <w:rFonts w:hint="eastAsia" w:ascii="仿宋_GB2312" w:hAnsi="仿宋" w:eastAsia="仿宋_GB2312"/>
          <w:sz w:val="32"/>
          <w:lang w:val="en-US" w:eastAsia="zh-CN"/>
        </w:rPr>
        <w:t>2832万元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258</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8.35</w:t>
      </w:r>
      <w:r>
        <w:rPr>
          <w:rFonts w:hint="eastAsia" w:ascii="仿宋_GB2312" w:hAnsi="仿宋" w:eastAsia="仿宋_GB2312"/>
          <w:sz w:val="32"/>
        </w:rPr>
        <w:t>%</w:t>
      </w:r>
      <w:r>
        <w:rPr>
          <w:rFonts w:hint="eastAsia" w:ascii="仿宋_GB2312" w:hAnsi="仿宋" w:eastAsia="仿宋_GB2312"/>
          <w:sz w:val="32"/>
          <w:lang w:val="en-US" w:eastAsia="zh-CN"/>
        </w:rPr>
        <w:t>，主要是县级基本财力保障机制奖补资金正常增长及一次性财力补助等;</w:t>
      </w:r>
    </w:p>
    <w:p w14:paraId="6EB011C3">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rPr>
        <w:t>2</w:t>
      </w:r>
      <w:r>
        <w:rPr>
          <w:rFonts w:hint="eastAsia" w:ascii="仿宋_GB2312" w:hAnsi="仿宋" w:eastAsia="仿宋_GB2312"/>
          <w:sz w:val="32"/>
          <w:lang w:val="en-US" w:eastAsia="zh-CN"/>
        </w:rPr>
        <w:t>3</w:t>
      </w:r>
      <w:r>
        <w:rPr>
          <w:rFonts w:hint="eastAsia" w:ascii="仿宋_GB2312" w:hAnsi="仿宋" w:eastAsia="仿宋_GB2312"/>
          <w:sz w:val="32"/>
        </w:rPr>
        <w:t>. 粮油物资储备共</w:t>
      </w:r>
      <w:r>
        <w:rPr>
          <w:rFonts w:hint="eastAsia" w:ascii="仿宋_GB2312" w:hAnsi="仿宋" w:eastAsia="仿宋_GB2312"/>
          <w:sz w:val="32"/>
          <w:lang w:val="en-US" w:eastAsia="zh-CN"/>
        </w:rPr>
        <w:t>同财政事权转移支付292万元，比上年增加89万元，增长43.84%，主要是县级基本财力保障机制奖补资金正常增长及一次性财力补助等;</w:t>
      </w:r>
    </w:p>
    <w:p w14:paraId="0C2B10EB">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rPr>
        <w:t>2</w:t>
      </w:r>
      <w:r>
        <w:rPr>
          <w:rFonts w:hint="eastAsia" w:ascii="仿宋_GB2312" w:hAnsi="仿宋" w:eastAsia="仿宋_GB2312"/>
          <w:sz w:val="32"/>
          <w:lang w:val="en-US" w:eastAsia="zh-CN"/>
        </w:rPr>
        <w:t>4</w:t>
      </w:r>
      <w:r>
        <w:rPr>
          <w:rFonts w:hint="eastAsia" w:ascii="仿宋_GB2312" w:hAnsi="仿宋" w:eastAsia="仿宋_GB2312"/>
          <w:sz w:val="32"/>
        </w:rPr>
        <w:t>. 灾害防治及应急管理共同财政事权转移支付</w:t>
      </w:r>
      <w:r>
        <w:rPr>
          <w:rFonts w:hint="eastAsia" w:ascii="仿宋_GB2312" w:hAnsi="仿宋" w:eastAsia="仿宋_GB2312"/>
          <w:sz w:val="32"/>
          <w:lang w:val="en-US" w:eastAsia="zh-CN"/>
        </w:rPr>
        <w:t>462万元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89</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16.15</w:t>
      </w:r>
      <w:r>
        <w:rPr>
          <w:rFonts w:hint="eastAsia" w:ascii="仿宋_GB2312" w:hAnsi="仿宋" w:eastAsia="仿宋_GB2312"/>
          <w:sz w:val="32"/>
        </w:rPr>
        <w:t>%，</w:t>
      </w:r>
      <w:r>
        <w:rPr>
          <w:rFonts w:hint="eastAsia" w:ascii="仿宋_GB2312" w:hAnsi="仿宋" w:eastAsia="仿宋_GB2312"/>
          <w:sz w:val="32"/>
          <w:lang w:val="en-US" w:eastAsia="zh-CN"/>
        </w:rPr>
        <w:t>主要是县级基本财力保障机制奖补资金正常增长及一次性财力补助等;</w:t>
      </w:r>
    </w:p>
    <w:p w14:paraId="2ECAFB67">
      <w:pPr>
        <w:widowControl/>
        <w:pBdr>
          <w:bottom w:val="single" w:color="FFFFFF" w:sz="4" w:space="31"/>
        </w:pBdr>
        <w:spacing w:line="560" w:lineRule="exact"/>
        <w:ind w:firstLine="640" w:firstLineChars="200"/>
        <w:rPr>
          <w:rFonts w:hint="eastAsia" w:ascii="仿宋_GB2312" w:hAnsi="仿宋" w:eastAsia="仿宋_GB2312"/>
          <w:sz w:val="32"/>
          <w:lang w:eastAsia="zh-CN"/>
        </w:rPr>
      </w:pPr>
      <w:r>
        <w:rPr>
          <w:rFonts w:hint="eastAsia" w:ascii="仿宋_GB2312" w:hAnsi="仿宋" w:eastAsia="仿宋_GB2312"/>
          <w:sz w:val="32"/>
          <w:lang w:val="en-US" w:eastAsia="zh-CN"/>
        </w:rPr>
        <w:t>25.增值税留抵退税转移支付收入4213万元，</w:t>
      </w:r>
      <w:r>
        <w:rPr>
          <w:rFonts w:hint="eastAsia" w:ascii="仿宋_GB2312" w:hAnsi="仿宋" w:eastAsia="仿宋_GB2312"/>
          <w:sz w:val="32"/>
        </w:rPr>
        <w:t>比上年</w:t>
      </w:r>
      <w:r>
        <w:rPr>
          <w:rFonts w:hint="eastAsia" w:ascii="仿宋_GB2312" w:hAnsi="仿宋" w:eastAsia="仿宋_GB2312"/>
          <w:sz w:val="32"/>
          <w:lang w:eastAsia="zh-CN"/>
        </w:rPr>
        <w:t>增加</w:t>
      </w:r>
      <w:r>
        <w:rPr>
          <w:rFonts w:hint="eastAsia" w:ascii="仿宋_GB2312" w:hAnsi="仿宋" w:eastAsia="仿宋_GB2312"/>
          <w:sz w:val="32"/>
          <w:lang w:val="en-US" w:eastAsia="zh-CN"/>
        </w:rPr>
        <w:t>0</w:t>
      </w:r>
      <w:r>
        <w:rPr>
          <w:rFonts w:hint="eastAsia" w:ascii="仿宋_GB2312" w:hAnsi="仿宋" w:eastAsia="仿宋_GB2312"/>
          <w:sz w:val="32"/>
        </w:rPr>
        <w:t>万元，</w:t>
      </w:r>
      <w:r>
        <w:rPr>
          <w:rFonts w:hint="eastAsia" w:ascii="仿宋_GB2312" w:hAnsi="仿宋" w:eastAsia="仿宋_GB2312"/>
          <w:sz w:val="32"/>
          <w:lang w:eastAsia="zh-CN"/>
        </w:rPr>
        <w:t>增加</w:t>
      </w:r>
      <w:r>
        <w:rPr>
          <w:rFonts w:hint="eastAsia" w:ascii="仿宋_GB2312" w:hAnsi="仿宋" w:eastAsia="仿宋_GB2312"/>
          <w:sz w:val="32"/>
          <w:lang w:val="en-US" w:eastAsia="zh-CN"/>
        </w:rPr>
        <w:t>0</w:t>
      </w:r>
      <w:r>
        <w:rPr>
          <w:rFonts w:hint="eastAsia" w:ascii="仿宋_GB2312" w:hAnsi="仿宋" w:eastAsia="仿宋_GB2312"/>
          <w:sz w:val="32"/>
        </w:rPr>
        <w:t>%</w:t>
      </w:r>
      <w:r>
        <w:rPr>
          <w:rFonts w:hint="eastAsia" w:ascii="仿宋_GB2312" w:hAnsi="仿宋" w:eastAsia="仿宋_GB2312"/>
          <w:sz w:val="32"/>
          <w:lang w:eastAsia="zh-CN"/>
        </w:rPr>
        <w:t>；</w:t>
      </w:r>
    </w:p>
    <w:p w14:paraId="7F728F47">
      <w:pPr>
        <w:widowControl/>
        <w:pBdr>
          <w:bottom w:val="single" w:color="FFFFFF" w:sz="4" w:space="31"/>
        </w:pBdr>
        <w:spacing w:line="560" w:lineRule="exact"/>
        <w:ind w:firstLine="640" w:firstLineChars="200"/>
        <w:rPr>
          <w:rFonts w:hint="eastAsia" w:ascii="仿宋_GB2312" w:hAnsi="仿宋" w:eastAsia="仿宋_GB2312"/>
          <w:sz w:val="32"/>
          <w:lang w:eastAsia="zh-CN"/>
        </w:rPr>
      </w:pPr>
      <w:r>
        <w:rPr>
          <w:rFonts w:hint="eastAsia" w:ascii="仿宋_GB2312" w:hAnsi="仿宋" w:eastAsia="仿宋_GB2312"/>
          <w:sz w:val="32"/>
          <w:lang w:val="en-US" w:eastAsia="zh-CN"/>
        </w:rPr>
        <w:t>26.其他退税减税降费转移支付收入397万元，</w:t>
      </w:r>
      <w:r>
        <w:rPr>
          <w:rFonts w:hint="eastAsia" w:ascii="仿宋_GB2312" w:hAnsi="仿宋" w:eastAsia="仿宋_GB2312"/>
          <w:sz w:val="32"/>
        </w:rPr>
        <w:t>比上年</w:t>
      </w:r>
      <w:r>
        <w:rPr>
          <w:rFonts w:hint="eastAsia" w:ascii="仿宋_GB2312" w:hAnsi="仿宋" w:eastAsia="仿宋_GB2312"/>
          <w:sz w:val="32"/>
          <w:lang w:eastAsia="zh-CN"/>
        </w:rPr>
        <w:t>增加</w:t>
      </w:r>
      <w:r>
        <w:rPr>
          <w:rFonts w:hint="eastAsia" w:ascii="仿宋_GB2312" w:hAnsi="仿宋" w:eastAsia="仿宋_GB2312"/>
          <w:sz w:val="32"/>
          <w:lang w:val="en-US" w:eastAsia="zh-CN"/>
        </w:rPr>
        <w:t>0</w:t>
      </w:r>
      <w:r>
        <w:rPr>
          <w:rFonts w:hint="eastAsia" w:ascii="仿宋_GB2312" w:hAnsi="仿宋" w:eastAsia="仿宋_GB2312"/>
          <w:sz w:val="32"/>
        </w:rPr>
        <w:t>万元，</w:t>
      </w:r>
      <w:r>
        <w:rPr>
          <w:rFonts w:hint="eastAsia" w:ascii="仿宋_GB2312" w:hAnsi="仿宋" w:eastAsia="仿宋_GB2312"/>
          <w:sz w:val="32"/>
          <w:lang w:eastAsia="zh-CN"/>
        </w:rPr>
        <w:t>增加</w:t>
      </w:r>
      <w:r>
        <w:rPr>
          <w:rFonts w:hint="eastAsia" w:ascii="仿宋_GB2312" w:hAnsi="仿宋" w:eastAsia="仿宋_GB2312"/>
          <w:sz w:val="32"/>
          <w:lang w:val="en-US" w:eastAsia="zh-CN"/>
        </w:rPr>
        <w:t>0</w:t>
      </w:r>
      <w:r>
        <w:rPr>
          <w:rFonts w:hint="eastAsia" w:ascii="仿宋_GB2312" w:hAnsi="仿宋" w:eastAsia="仿宋_GB2312"/>
          <w:sz w:val="32"/>
        </w:rPr>
        <w:t>%</w:t>
      </w:r>
      <w:r>
        <w:rPr>
          <w:rFonts w:hint="eastAsia" w:ascii="仿宋_GB2312" w:hAnsi="仿宋" w:eastAsia="仿宋_GB2312"/>
          <w:sz w:val="32"/>
          <w:lang w:eastAsia="zh-CN"/>
        </w:rPr>
        <w:t>；</w:t>
      </w:r>
    </w:p>
    <w:p w14:paraId="024205D7">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rPr>
        <w:t>2</w:t>
      </w:r>
      <w:r>
        <w:rPr>
          <w:rFonts w:hint="eastAsia" w:ascii="仿宋_GB2312" w:hAnsi="仿宋" w:eastAsia="仿宋_GB2312"/>
          <w:sz w:val="32"/>
          <w:lang w:val="en-US" w:eastAsia="zh-CN"/>
        </w:rPr>
        <w:t>7</w:t>
      </w:r>
      <w:r>
        <w:rPr>
          <w:rFonts w:hint="eastAsia" w:ascii="仿宋_GB2312" w:hAnsi="仿宋" w:eastAsia="仿宋_GB2312"/>
          <w:sz w:val="32"/>
        </w:rPr>
        <w:t>.其他一般性转移支付</w:t>
      </w:r>
      <w:r>
        <w:rPr>
          <w:rFonts w:hint="eastAsia" w:ascii="仿宋_GB2312" w:hAnsi="仿宋" w:eastAsia="仿宋_GB2312"/>
          <w:sz w:val="32"/>
          <w:lang w:val="en-US" w:eastAsia="zh-CN"/>
        </w:rPr>
        <w:t>10669万元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37314</w:t>
      </w:r>
      <w:r>
        <w:rPr>
          <w:rFonts w:hint="eastAsia" w:ascii="仿宋_GB2312" w:hAnsi="仿宋" w:eastAsia="仿宋_GB2312"/>
          <w:sz w:val="32"/>
        </w:rPr>
        <w:t>万元，减少</w:t>
      </w:r>
      <w:r>
        <w:rPr>
          <w:rFonts w:hint="eastAsia" w:ascii="仿宋_GB2312" w:hAnsi="仿宋" w:eastAsia="仿宋_GB2312"/>
          <w:sz w:val="32"/>
          <w:lang w:val="en-US" w:eastAsia="zh-CN"/>
        </w:rPr>
        <w:t>77.76</w:t>
      </w:r>
      <w:r>
        <w:rPr>
          <w:rFonts w:hint="eastAsia" w:ascii="仿宋_GB2312" w:hAnsi="仿宋" w:eastAsia="仿宋_GB2312"/>
          <w:sz w:val="32"/>
        </w:rPr>
        <w:t>%</w:t>
      </w:r>
      <w:r>
        <w:rPr>
          <w:rFonts w:hint="eastAsia" w:ascii="仿宋_GB2312" w:hAnsi="仿宋" w:eastAsia="仿宋_GB2312"/>
          <w:sz w:val="32"/>
          <w:lang w:val="en-US" w:eastAsia="zh-CN"/>
        </w:rPr>
        <w:t>，主要是县级基本财力保障机制奖补资金正常增长及一次性财力补助等;</w:t>
      </w:r>
    </w:p>
    <w:p w14:paraId="4D9FECFD">
      <w:pPr>
        <w:widowControl/>
        <w:pBdr>
          <w:bottom w:val="single" w:color="FFFFFF" w:sz="4" w:space="31"/>
        </w:pBdr>
        <w:spacing w:line="560" w:lineRule="exact"/>
        <w:ind w:firstLine="643" w:firstLineChars="200"/>
        <w:rPr>
          <w:rFonts w:ascii="仿宋_GB2312" w:hAnsi="仿宋" w:eastAsia="仿宋_GB2312"/>
          <w:b/>
          <w:sz w:val="32"/>
        </w:rPr>
      </w:pPr>
      <w:r>
        <w:rPr>
          <w:rFonts w:hint="eastAsia" w:ascii="仿宋_GB2312" w:hAnsi="仿宋" w:eastAsia="仿宋_GB2312"/>
          <w:b/>
          <w:sz w:val="32"/>
        </w:rPr>
        <w:t>（三）专项转移支付</w:t>
      </w:r>
    </w:p>
    <w:p w14:paraId="416DDCE0">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专项转移支付</w:t>
      </w:r>
      <w:r>
        <w:rPr>
          <w:rFonts w:hint="eastAsia" w:ascii="仿宋_GB2312" w:hAnsi="仿宋" w:eastAsia="仿宋_GB2312"/>
          <w:sz w:val="32"/>
          <w:lang w:val="en-US" w:eastAsia="zh-CN"/>
        </w:rPr>
        <w:t>33760万元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12259</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26.64</w:t>
      </w:r>
      <w:r>
        <w:rPr>
          <w:rFonts w:hint="eastAsia" w:ascii="仿宋_GB2312" w:hAnsi="仿宋" w:eastAsia="仿宋_GB2312"/>
          <w:sz w:val="32"/>
        </w:rPr>
        <w:t>%，主要是部分项目调整因素。其中：</w:t>
      </w:r>
    </w:p>
    <w:p w14:paraId="6CD555C0">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1.一般公共服务支出</w:t>
      </w:r>
      <w:r>
        <w:rPr>
          <w:rFonts w:hint="eastAsia" w:ascii="仿宋_GB2312" w:hAnsi="仿宋" w:eastAsia="仿宋_GB2312"/>
          <w:sz w:val="32"/>
          <w:lang w:val="en-US" w:eastAsia="zh-CN"/>
        </w:rPr>
        <w:t>1016万元</w:t>
      </w:r>
      <w:r>
        <w:rPr>
          <w:rFonts w:hint="eastAsia" w:ascii="仿宋_GB2312" w:hAnsi="仿宋" w:eastAsia="仿宋_GB2312"/>
          <w:sz w:val="32"/>
        </w:rPr>
        <w:t>，比上年减少</w:t>
      </w:r>
      <w:r>
        <w:rPr>
          <w:rFonts w:hint="eastAsia" w:ascii="仿宋_GB2312" w:hAnsi="仿宋" w:eastAsia="仿宋_GB2312"/>
          <w:sz w:val="32"/>
          <w:lang w:val="en-US" w:eastAsia="zh-CN"/>
        </w:rPr>
        <w:t>39</w:t>
      </w:r>
      <w:r>
        <w:rPr>
          <w:rFonts w:hint="eastAsia" w:ascii="仿宋_GB2312" w:hAnsi="仿宋" w:eastAsia="仿宋_GB2312"/>
          <w:sz w:val="32"/>
        </w:rPr>
        <w:t>万元，减少</w:t>
      </w:r>
      <w:r>
        <w:rPr>
          <w:rFonts w:hint="eastAsia" w:ascii="仿宋_GB2312" w:hAnsi="仿宋" w:eastAsia="仿宋_GB2312"/>
          <w:sz w:val="32"/>
          <w:lang w:val="en-US" w:eastAsia="zh-CN"/>
        </w:rPr>
        <w:t>3.7</w:t>
      </w:r>
      <w:r>
        <w:rPr>
          <w:rFonts w:hint="eastAsia" w:ascii="仿宋_GB2312" w:hAnsi="仿宋" w:eastAsia="仿宋_GB2312"/>
          <w:sz w:val="32"/>
        </w:rPr>
        <w:t>%，主要是项目调整因素;</w:t>
      </w:r>
    </w:p>
    <w:p w14:paraId="6679743E">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2.国防支出</w:t>
      </w:r>
      <w:r>
        <w:rPr>
          <w:rFonts w:hint="eastAsia" w:ascii="仿宋_GB2312" w:hAnsi="仿宋" w:eastAsia="仿宋_GB2312"/>
          <w:sz w:val="32"/>
          <w:lang w:val="en-US" w:eastAsia="zh-CN"/>
        </w:rPr>
        <w:t>121万元</w:t>
      </w:r>
      <w:r>
        <w:rPr>
          <w:rFonts w:hint="eastAsia" w:ascii="仿宋_GB2312" w:hAnsi="仿宋" w:eastAsia="仿宋_GB2312"/>
          <w:sz w:val="32"/>
        </w:rPr>
        <w:t>，比上年</w:t>
      </w:r>
      <w:r>
        <w:rPr>
          <w:rFonts w:hint="eastAsia" w:ascii="仿宋_GB2312" w:hAnsi="仿宋" w:eastAsia="仿宋_GB2312"/>
          <w:sz w:val="32"/>
          <w:lang w:eastAsia="zh-CN"/>
        </w:rPr>
        <w:t>增加</w:t>
      </w:r>
      <w:r>
        <w:rPr>
          <w:rFonts w:hint="eastAsia" w:ascii="仿宋_GB2312" w:hAnsi="仿宋" w:eastAsia="仿宋_GB2312"/>
          <w:sz w:val="32"/>
        </w:rPr>
        <w:t>1</w:t>
      </w:r>
      <w:r>
        <w:rPr>
          <w:rFonts w:hint="eastAsia" w:ascii="仿宋_GB2312" w:hAnsi="仿宋" w:eastAsia="仿宋_GB2312"/>
          <w:sz w:val="32"/>
          <w:lang w:val="en-US" w:eastAsia="zh-CN"/>
        </w:rPr>
        <w:t>01</w:t>
      </w:r>
      <w:r>
        <w:rPr>
          <w:rFonts w:hint="eastAsia" w:ascii="仿宋_GB2312" w:hAnsi="仿宋" w:eastAsia="仿宋_GB2312"/>
          <w:sz w:val="32"/>
        </w:rPr>
        <w:t>万元，</w:t>
      </w:r>
      <w:r>
        <w:rPr>
          <w:rFonts w:hint="eastAsia" w:ascii="仿宋_GB2312" w:hAnsi="仿宋" w:eastAsia="仿宋_GB2312"/>
          <w:sz w:val="32"/>
          <w:lang w:eastAsia="zh-CN"/>
        </w:rPr>
        <w:t>增加</w:t>
      </w:r>
      <w:r>
        <w:rPr>
          <w:rFonts w:hint="eastAsia" w:ascii="仿宋_GB2312" w:hAnsi="仿宋" w:eastAsia="仿宋_GB2312"/>
          <w:sz w:val="32"/>
          <w:lang w:val="en-US" w:eastAsia="zh-CN"/>
        </w:rPr>
        <w:t>505</w:t>
      </w:r>
      <w:r>
        <w:rPr>
          <w:rFonts w:hint="eastAsia" w:ascii="仿宋_GB2312" w:hAnsi="仿宋" w:eastAsia="仿宋_GB2312"/>
          <w:sz w:val="32"/>
        </w:rPr>
        <w:t>%，主要是项目调整因素;</w:t>
      </w:r>
    </w:p>
    <w:p w14:paraId="23EFC388">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3.公共安全支出</w:t>
      </w:r>
      <w:r>
        <w:rPr>
          <w:rFonts w:hint="eastAsia" w:ascii="仿宋_GB2312" w:hAnsi="仿宋" w:eastAsia="仿宋_GB2312"/>
          <w:sz w:val="32"/>
          <w:lang w:val="en-US" w:eastAsia="zh-CN"/>
        </w:rPr>
        <w:t>260万元</w:t>
      </w:r>
      <w:r>
        <w:rPr>
          <w:rFonts w:hint="eastAsia" w:ascii="仿宋_GB2312" w:hAnsi="仿宋" w:eastAsia="仿宋_GB2312"/>
          <w:sz w:val="32"/>
        </w:rPr>
        <w:t>，比上年减少</w:t>
      </w:r>
      <w:r>
        <w:rPr>
          <w:rFonts w:hint="eastAsia" w:ascii="仿宋_GB2312" w:hAnsi="仿宋" w:eastAsia="仿宋_GB2312"/>
          <w:sz w:val="32"/>
          <w:lang w:val="en-US" w:eastAsia="zh-CN"/>
        </w:rPr>
        <w:t>101</w:t>
      </w:r>
      <w:r>
        <w:rPr>
          <w:rFonts w:hint="eastAsia" w:ascii="仿宋_GB2312" w:hAnsi="仿宋" w:eastAsia="仿宋_GB2312"/>
          <w:sz w:val="32"/>
        </w:rPr>
        <w:t>万元，减少</w:t>
      </w:r>
      <w:r>
        <w:rPr>
          <w:rFonts w:hint="eastAsia" w:ascii="仿宋_GB2312" w:hAnsi="仿宋" w:eastAsia="仿宋_GB2312"/>
          <w:sz w:val="32"/>
          <w:lang w:val="en-US" w:eastAsia="zh-CN"/>
        </w:rPr>
        <w:t>63.52</w:t>
      </w:r>
      <w:r>
        <w:rPr>
          <w:rFonts w:hint="eastAsia" w:ascii="仿宋_GB2312" w:hAnsi="仿宋" w:eastAsia="仿宋_GB2312"/>
          <w:sz w:val="32"/>
        </w:rPr>
        <w:t>%，主要是项目调整因素;</w:t>
      </w:r>
    </w:p>
    <w:p w14:paraId="09FB1E60">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4.教育支出</w:t>
      </w:r>
      <w:r>
        <w:rPr>
          <w:rFonts w:hint="eastAsia" w:ascii="仿宋_GB2312" w:hAnsi="仿宋" w:eastAsia="仿宋_GB2312"/>
          <w:sz w:val="32"/>
          <w:lang w:val="en-US" w:eastAsia="zh-CN"/>
        </w:rPr>
        <w:t>980万元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1460</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59.84</w:t>
      </w:r>
      <w:r>
        <w:rPr>
          <w:rFonts w:hint="eastAsia" w:ascii="仿宋_GB2312" w:hAnsi="仿宋" w:eastAsia="仿宋_GB2312"/>
          <w:sz w:val="32"/>
        </w:rPr>
        <w:t>%，主要是项目调整因素;</w:t>
      </w:r>
    </w:p>
    <w:p w14:paraId="037F7516">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5.科学技术支出</w:t>
      </w:r>
      <w:r>
        <w:rPr>
          <w:rFonts w:hint="eastAsia" w:ascii="仿宋_GB2312" w:hAnsi="仿宋" w:eastAsia="仿宋_GB2312"/>
          <w:sz w:val="32"/>
          <w:lang w:val="en-US" w:eastAsia="zh-CN"/>
        </w:rPr>
        <w:t>341万元</w:t>
      </w:r>
      <w:r>
        <w:rPr>
          <w:rFonts w:hint="eastAsia" w:ascii="仿宋_GB2312" w:hAnsi="仿宋" w:eastAsia="仿宋_GB2312"/>
          <w:sz w:val="32"/>
        </w:rPr>
        <w:t>，比上年</w:t>
      </w:r>
      <w:r>
        <w:rPr>
          <w:rFonts w:hint="eastAsia" w:ascii="仿宋_GB2312" w:hAnsi="仿宋" w:eastAsia="仿宋_GB2312"/>
          <w:sz w:val="32"/>
          <w:lang w:eastAsia="zh-CN"/>
        </w:rPr>
        <w:t>增加</w:t>
      </w:r>
      <w:r>
        <w:rPr>
          <w:rFonts w:hint="eastAsia" w:ascii="仿宋_GB2312" w:hAnsi="仿宋" w:eastAsia="仿宋_GB2312"/>
          <w:sz w:val="32"/>
          <w:lang w:val="en-US" w:eastAsia="zh-CN"/>
        </w:rPr>
        <w:t>134</w:t>
      </w:r>
      <w:r>
        <w:rPr>
          <w:rFonts w:hint="eastAsia" w:ascii="仿宋_GB2312" w:hAnsi="仿宋" w:eastAsia="仿宋_GB2312"/>
          <w:sz w:val="32"/>
        </w:rPr>
        <w:t>万元，</w:t>
      </w:r>
      <w:r>
        <w:rPr>
          <w:rFonts w:hint="eastAsia" w:ascii="仿宋_GB2312" w:hAnsi="仿宋" w:eastAsia="仿宋_GB2312"/>
          <w:sz w:val="32"/>
          <w:lang w:eastAsia="zh-CN"/>
        </w:rPr>
        <w:t>增加</w:t>
      </w:r>
      <w:r>
        <w:rPr>
          <w:rFonts w:hint="eastAsia" w:ascii="仿宋_GB2312" w:hAnsi="仿宋" w:eastAsia="仿宋_GB2312"/>
          <w:sz w:val="32"/>
          <w:lang w:val="en-US" w:eastAsia="zh-CN"/>
        </w:rPr>
        <w:t>64.73</w:t>
      </w:r>
      <w:r>
        <w:rPr>
          <w:rFonts w:hint="eastAsia" w:ascii="仿宋_GB2312" w:hAnsi="仿宋" w:eastAsia="仿宋_GB2312"/>
          <w:sz w:val="32"/>
        </w:rPr>
        <w:t>%，主要是项目调整因素;</w:t>
      </w:r>
    </w:p>
    <w:p w14:paraId="5B7673F0">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6. 文化旅游体育与传媒支出</w:t>
      </w:r>
      <w:r>
        <w:rPr>
          <w:rFonts w:hint="eastAsia" w:ascii="仿宋_GB2312" w:hAnsi="仿宋" w:eastAsia="仿宋_GB2312"/>
          <w:sz w:val="32"/>
          <w:lang w:val="en-US" w:eastAsia="zh-CN"/>
        </w:rPr>
        <w:t>2254万元</w:t>
      </w:r>
      <w:r>
        <w:rPr>
          <w:rFonts w:hint="eastAsia" w:ascii="仿宋_GB2312" w:hAnsi="仿宋" w:eastAsia="仿宋_GB2312"/>
          <w:sz w:val="32"/>
        </w:rPr>
        <w:t>，比上年</w:t>
      </w:r>
      <w:r>
        <w:rPr>
          <w:rFonts w:hint="eastAsia" w:ascii="仿宋_GB2312" w:hAnsi="仿宋" w:eastAsia="仿宋_GB2312"/>
          <w:sz w:val="32"/>
          <w:lang w:eastAsia="zh-CN"/>
        </w:rPr>
        <w:t>增加</w:t>
      </w:r>
      <w:r>
        <w:rPr>
          <w:rFonts w:hint="eastAsia" w:ascii="仿宋_GB2312" w:hAnsi="仿宋" w:eastAsia="仿宋_GB2312"/>
          <w:sz w:val="32"/>
          <w:lang w:val="en-US" w:eastAsia="zh-CN"/>
        </w:rPr>
        <w:t>1795</w:t>
      </w:r>
      <w:r>
        <w:rPr>
          <w:rFonts w:hint="eastAsia" w:ascii="仿宋_GB2312" w:hAnsi="仿宋" w:eastAsia="仿宋_GB2312"/>
          <w:sz w:val="32"/>
        </w:rPr>
        <w:t>万元，</w:t>
      </w:r>
      <w:r>
        <w:rPr>
          <w:rFonts w:hint="eastAsia" w:ascii="仿宋_GB2312" w:hAnsi="仿宋" w:eastAsia="仿宋_GB2312"/>
          <w:sz w:val="32"/>
          <w:lang w:eastAsia="zh-CN"/>
        </w:rPr>
        <w:t>增加</w:t>
      </w:r>
      <w:r>
        <w:rPr>
          <w:rFonts w:hint="eastAsia" w:ascii="仿宋_GB2312" w:hAnsi="仿宋" w:eastAsia="仿宋_GB2312"/>
          <w:sz w:val="32"/>
          <w:lang w:val="en-US" w:eastAsia="zh-CN"/>
        </w:rPr>
        <w:t>391.1</w:t>
      </w:r>
      <w:r>
        <w:rPr>
          <w:rFonts w:hint="eastAsia" w:ascii="仿宋_GB2312" w:hAnsi="仿宋" w:eastAsia="仿宋_GB2312"/>
          <w:sz w:val="32"/>
        </w:rPr>
        <w:t>%，主要是项目调整因素;</w:t>
      </w:r>
    </w:p>
    <w:p w14:paraId="383B9255">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7.社会保障和就业支出</w:t>
      </w:r>
      <w:r>
        <w:rPr>
          <w:rFonts w:hint="eastAsia" w:ascii="仿宋_GB2312" w:hAnsi="仿宋" w:eastAsia="仿宋_GB2312"/>
          <w:sz w:val="32"/>
          <w:lang w:val="en-US" w:eastAsia="zh-CN"/>
        </w:rPr>
        <w:t>547万元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391</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41.68</w:t>
      </w:r>
      <w:r>
        <w:rPr>
          <w:rFonts w:hint="eastAsia" w:ascii="仿宋_GB2312" w:hAnsi="仿宋" w:eastAsia="仿宋_GB2312"/>
          <w:sz w:val="32"/>
        </w:rPr>
        <w:t>%，主要是项目调整因素;</w:t>
      </w:r>
    </w:p>
    <w:p w14:paraId="71B4C7F4">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8.卫生健康支出</w:t>
      </w:r>
      <w:r>
        <w:rPr>
          <w:rFonts w:hint="eastAsia" w:ascii="仿宋_GB2312" w:hAnsi="仿宋" w:eastAsia="仿宋_GB2312"/>
          <w:sz w:val="32"/>
          <w:lang w:val="en-US" w:eastAsia="zh-CN"/>
        </w:rPr>
        <w:t>1683万元</w:t>
      </w:r>
      <w:r>
        <w:rPr>
          <w:rFonts w:hint="eastAsia" w:ascii="仿宋_GB2312" w:hAnsi="仿宋" w:eastAsia="仿宋_GB2312"/>
          <w:sz w:val="32"/>
        </w:rPr>
        <w:t>，比上年</w:t>
      </w:r>
      <w:r>
        <w:rPr>
          <w:rFonts w:hint="eastAsia" w:ascii="仿宋_GB2312" w:hAnsi="仿宋" w:eastAsia="仿宋_GB2312"/>
          <w:sz w:val="32"/>
          <w:lang w:eastAsia="zh-CN"/>
        </w:rPr>
        <w:t>增加</w:t>
      </w:r>
      <w:r>
        <w:rPr>
          <w:rFonts w:hint="eastAsia" w:ascii="仿宋_GB2312" w:hAnsi="仿宋" w:eastAsia="仿宋_GB2312"/>
          <w:sz w:val="32"/>
          <w:lang w:val="en-US" w:eastAsia="zh-CN"/>
        </w:rPr>
        <w:t>447</w:t>
      </w:r>
      <w:r>
        <w:rPr>
          <w:rFonts w:hint="eastAsia" w:ascii="仿宋_GB2312" w:hAnsi="仿宋" w:eastAsia="仿宋_GB2312"/>
          <w:sz w:val="32"/>
        </w:rPr>
        <w:t>万元，</w:t>
      </w:r>
      <w:r>
        <w:rPr>
          <w:rFonts w:hint="eastAsia" w:ascii="仿宋_GB2312" w:hAnsi="仿宋" w:eastAsia="仿宋_GB2312"/>
          <w:sz w:val="32"/>
          <w:lang w:eastAsia="zh-CN"/>
        </w:rPr>
        <w:t>增加</w:t>
      </w:r>
      <w:r>
        <w:rPr>
          <w:rFonts w:hint="eastAsia" w:ascii="仿宋_GB2312" w:hAnsi="仿宋" w:eastAsia="仿宋_GB2312"/>
          <w:sz w:val="32"/>
          <w:lang w:val="en-US" w:eastAsia="zh-CN"/>
        </w:rPr>
        <w:t>36.16</w:t>
      </w:r>
      <w:r>
        <w:rPr>
          <w:rFonts w:hint="eastAsia" w:ascii="仿宋_GB2312" w:hAnsi="仿宋" w:eastAsia="仿宋_GB2312"/>
          <w:sz w:val="32"/>
        </w:rPr>
        <w:t>%，主要是项目调整因素;</w:t>
      </w:r>
    </w:p>
    <w:p w14:paraId="6430C645">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9.节能环保支出</w:t>
      </w:r>
      <w:r>
        <w:rPr>
          <w:rFonts w:hint="eastAsia" w:ascii="仿宋_GB2312" w:hAnsi="仿宋" w:eastAsia="仿宋_GB2312"/>
          <w:sz w:val="32"/>
          <w:lang w:val="en-US" w:eastAsia="zh-CN"/>
        </w:rPr>
        <w:t>8578万元</w:t>
      </w:r>
      <w:r>
        <w:rPr>
          <w:rFonts w:hint="eastAsia" w:ascii="仿宋_GB2312" w:hAnsi="仿宋" w:eastAsia="仿宋_GB2312"/>
          <w:sz w:val="32"/>
        </w:rPr>
        <w:t>，比上年增加</w:t>
      </w:r>
      <w:r>
        <w:rPr>
          <w:rFonts w:hint="eastAsia" w:ascii="仿宋_GB2312" w:hAnsi="仿宋" w:eastAsia="仿宋_GB2312"/>
          <w:sz w:val="32"/>
          <w:lang w:val="en-US" w:eastAsia="zh-CN"/>
        </w:rPr>
        <w:t>1219</w:t>
      </w:r>
      <w:r>
        <w:rPr>
          <w:rFonts w:hint="eastAsia" w:ascii="仿宋_GB2312" w:hAnsi="仿宋" w:eastAsia="仿宋_GB2312"/>
          <w:sz w:val="32"/>
        </w:rPr>
        <w:t>万元，增长</w:t>
      </w:r>
      <w:r>
        <w:rPr>
          <w:rFonts w:hint="eastAsia" w:ascii="仿宋_GB2312" w:hAnsi="仿宋" w:eastAsia="仿宋_GB2312"/>
          <w:sz w:val="32"/>
          <w:lang w:val="en-US" w:eastAsia="zh-CN"/>
        </w:rPr>
        <w:t>16.56</w:t>
      </w:r>
      <w:r>
        <w:rPr>
          <w:rFonts w:hint="eastAsia" w:ascii="仿宋_GB2312" w:hAnsi="仿宋" w:eastAsia="仿宋_GB2312"/>
          <w:sz w:val="32"/>
        </w:rPr>
        <w:t>%，主要是项目调整因素;</w:t>
      </w:r>
    </w:p>
    <w:p w14:paraId="627069FA">
      <w:pPr>
        <w:widowControl/>
        <w:pBdr>
          <w:bottom w:val="single" w:color="FFFFFF" w:sz="4" w:space="31"/>
        </w:pBdr>
        <w:spacing w:line="560" w:lineRule="exact"/>
        <w:ind w:firstLine="640" w:firstLineChars="200"/>
        <w:rPr>
          <w:rFonts w:hint="eastAsia" w:ascii="仿宋_GB2312" w:hAnsi="仿宋" w:eastAsia="仿宋_GB2312"/>
          <w:sz w:val="32"/>
        </w:rPr>
      </w:pPr>
      <w:r>
        <w:rPr>
          <w:rFonts w:hint="eastAsia" w:ascii="仿宋_GB2312" w:hAnsi="仿宋" w:eastAsia="仿宋_GB2312"/>
          <w:sz w:val="32"/>
        </w:rPr>
        <w:t>10.城乡社区支出</w:t>
      </w:r>
      <w:r>
        <w:rPr>
          <w:rFonts w:hint="eastAsia" w:ascii="仿宋_GB2312" w:hAnsi="仿宋" w:eastAsia="仿宋_GB2312"/>
          <w:sz w:val="32"/>
          <w:lang w:val="en-US" w:eastAsia="zh-CN"/>
        </w:rPr>
        <w:t>92万元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1550</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94.4</w:t>
      </w:r>
      <w:r>
        <w:rPr>
          <w:rFonts w:hint="eastAsia" w:ascii="仿宋_GB2312" w:hAnsi="仿宋" w:eastAsia="仿宋_GB2312"/>
          <w:sz w:val="32"/>
        </w:rPr>
        <w:t>%，主要是项目调整因素;</w:t>
      </w:r>
    </w:p>
    <w:p w14:paraId="5F902CAC">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11.农林水支出</w:t>
      </w:r>
      <w:r>
        <w:rPr>
          <w:rFonts w:hint="eastAsia" w:ascii="仿宋_GB2312" w:hAnsi="仿宋" w:eastAsia="仿宋_GB2312"/>
          <w:sz w:val="32"/>
          <w:lang w:val="en-US" w:eastAsia="zh-CN"/>
        </w:rPr>
        <w:t>11182万元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2088</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15.73</w:t>
      </w:r>
      <w:r>
        <w:rPr>
          <w:rFonts w:hint="eastAsia" w:ascii="仿宋_GB2312" w:hAnsi="仿宋" w:eastAsia="仿宋_GB2312"/>
          <w:sz w:val="32"/>
        </w:rPr>
        <w:t>%，主要是项目调整因素;</w:t>
      </w:r>
    </w:p>
    <w:p w14:paraId="1A69EE2D">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12.交通运输支出</w:t>
      </w:r>
      <w:r>
        <w:rPr>
          <w:rFonts w:hint="eastAsia" w:ascii="仿宋_GB2312" w:hAnsi="仿宋" w:eastAsia="仿宋_GB2312"/>
          <w:sz w:val="32"/>
          <w:lang w:val="en-US" w:eastAsia="zh-CN"/>
        </w:rPr>
        <w:t>1066万元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585</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35.43</w:t>
      </w:r>
      <w:r>
        <w:rPr>
          <w:rFonts w:hint="eastAsia" w:ascii="仿宋_GB2312" w:hAnsi="仿宋" w:eastAsia="仿宋_GB2312"/>
          <w:sz w:val="32"/>
        </w:rPr>
        <w:t>%，主要是项目调整因素;</w:t>
      </w:r>
    </w:p>
    <w:p w14:paraId="4E411688">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13. 资源勘探工业信息等支出</w:t>
      </w:r>
      <w:r>
        <w:rPr>
          <w:rFonts w:hint="eastAsia" w:ascii="仿宋_GB2312" w:hAnsi="仿宋" w:eastAsia="仿宋_GB2312"/>
          <w:sz w:val="32"/>
          <w:lang w:val="en-US" w:eastAsia="zh-CN"/>
        </w:rPr>
        <w:t>561万元</w:t>
      </w:r>
      <w:r>
        <w:rPr>
          <w:rFonts w:hint="eastAsia" w:ascii="仿宋_GB2312" w:hAnsi="仿宋" w:eastAsia="仿宋_GB2312"/>
          <w:sz w:val="32"/>
        </w:rPr>
        <w:t>，比上年</w:t>
      </w:r>
      <w:r>
        <w:rPr>
          <w:rFonts w:hint="eastAsia" w:ascii="仿宋_GB2312" w:hAnsi="仿宋" w:eastAsia="仿宋_GB2312"/>
          <w:sz w:val="32"/>
          <w:lang w:eastAsia="zh-CN"/>
        </w:rPr>
        <w:t>增加</w:t>
      </w:r>
      <w:r>
        <w:rPr>
          <w:rFonts w:hint="eastAsia" w:ascii="仿宋_GB2312" w:hAnsi="仿宋" w:eastAsia="仿宋_GB2312"/>
          <w:sz w:val="32"/>
          <w:lang w:val="en-US" w:eastAsia="zh-CN"/>
        </w:rPr>
        <w:t>129</w:t>
      </w:r>
      <w:r>
        <w:rPr>
          <w:rFonts w:hint="eastAsia" w:ascii="仿宋_GB2312" w:hAnsi="仿宋" w:eastAsia="仿宋_GB2312"/>
          <w:sz w:val="32"/>
        </w:rPr>
        <w:t>万元，</w:t>
      </w:r>
      <w:r>
        <w:rPr>
          <w:rFonts w:hint="eastAsia" w:ascii="仿宋_GB2312" w:hAnsi="仿宋" w:eastAsia="仿宋_GB2312"/>
          <w:sz w:val="32"/>
          <w:lang w:eastAsia="zh-CN"/>
        </w:rPr>
        <w:t>增加</w:t>
      </w:r>
      <w:r>
        <w:rPr>
          <w:rFonts w:hint="eastAsia" w:ascii="仿宋_GB2312" w:hAnsi="仿宋" w:eastAsia="仿宋_GB2312"/>
          <w:sz w:val="32"/>
          <w:lang w:val="en-US" w:eastAsia="zh-CN"/>
        </w:rPr>
        <w:t>29.86</w:t>
      </w:r>
      <w:r>
        <w:rPr>
          <w:rFonts w:hint="eastAsia" w:ascii="仿宋_GB2312" w:hAnsi="仿宋" w:eastAsia="仿宋_GB2312"/>
          <w:sz w:val="32"/>
        </w:rPr>
        <w:t>%，主要是项目调整因素;</w:t>
      </w:r>
    </w:p>
    <w:p w14:paraId="743AA856">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14. 商业服务业等支出</w:t>
      </w:r>
      <w:r>
        <w:rPr>
          <w:rFonts w:hint="eastAsia" w:ascii="仿宋_GB2312" w:hAnsi="仿宋" w:eastAsia="仿宋_GB2312"/>
          <w:sz w:val="32"/>
          <w:lang w:val="en-US" w:eastAsia="zh-CN"/>
        </w:rPr>
        <w:t>696万元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411</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37.13</w:t>
      </w:r>
      <w:r>
        <w:rPr>
          <w:rFonts w:hint="eastAsia" w:ascii="仿宋_GB2312" w:hAnsi="仿宋" w:eastAsia="仿宋_GB2312"/>
          <w:sz w:val="32"/>
        </w:rPr>
        <w:t>%，主要是项目调整因素;</w:t>
      </w:r>
    </w:p>
    <w:p w14:paraId="66B020AA">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15.金融支出</w:t>
      </w:r>
      <w:r>
        <w:rPr>
          <w:rFonts w:hint="eastAsia" w:ascii="仿宋_GB2312" w:hAnsi="仿宋" w:eastAsia="仿宋_GB2312"/>
          <w:sz w:val="32"/>
          <w:lang w:val="en-US" w:eastAsia="zh-CN"/>
        </w:rPr>
        <w:t>50万元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43</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46.24</w:t>
      </w:r>
      <w:r>
        <w:rPr>
          <w:rFonts w:hint="eastAsia" w:ascii="仿宋_GB2312" w:hAnsi="仿宋" w:eastAsia="仿宋_GB2312"/>
          <w:sz w:val="32"/>
        </w:rPr>
        <w:t>%，主要是项目调整因素;</w:t>
      </w:r>
    </w:p>
    <w:p w14:paraId="59315770">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16. 自然资源海洋气象等支出</w:t>
      </w:r>
      <w:r>
        <w:rPr>
          <w:rFonts w:hint="eastAsia" w:ascii="仿宋_GB2312" w:hAnsi="仿宋" w:eastAsia="仿宋_GB2312"/>
          <w:sz w:val="32"/>
          <w:lang w:val="en-US" w:eastAsia="zh-CN"/>
        </w:rPr>
        <w:t>379万元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436</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53.5</w:t>
      </w:r>
      <w:r>
        <w:rPr>
          <w:rFonts w:hint="eastAsia" w:ascii="仿宋_GB2312" w:hAnsi="仿宋" w:eastAsia="仿宋_GB2312"/>
          <w:sz w:val="32"/>
        </w:rPr>
        <w:t>%，主要是项目调整因素;</w:t>
      </w:r>
    </w:p>
    <w:p w14:paraId="3B7D4BB7">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17.住房保障支出</w:t>
      </w:r>
      <w:r>
        <w:rPr>
          <w:rFonts w:hint="eastAsia" w:ascii="仿宋_GB2312" w:hAnsi="仿宋" w:eastAsia="仿宋_GB2312"/>
          <w:sz w:val="32"/>
          <w:lang w:val="en-US" w:eastAsia="zh-CN"/>
        </w:rPr>
        <w:t>3276万元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2516</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43.4</w:t>
      </w:r>
      <w:r>
        <w:rPr>
          <w:rFonts w:hint="eastAsia" w:ascii="仿宋_GB2312" w:hAnsi="仿宋" w:eastAsia="仿宋_GB2312"/>
          <w:sz w:val="32"/>
        </w:rPr>
        <w:t>%，主要是项目调整因素;</w:t>
      </w:r>
    </w:p>
    <w:p w14:paraId="0F8D5577">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18. 粮油物资储备支出</w:t>
      </w:r>
      <w:r>
        <w:rPr>
          <w:rFonts w:hint="eastAsia" w:ascii="仿宋_GB2312" w:hAnsi="仿宋" w:eastAsia="仿宋_GB2312"/>
          <w:sz w:val="32"/>
          <w:lang w:val="en-US" w:eastAsia="zh-CN"/>
        </w:rPr>
        <w:t>32万元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904</w:t>
      </w:r>
      <w:r>
        <w:rPr>
          <w:rFonts w:hint="eastAsia" w:ascii="仿宋_GB2312" w:hAnsi="仿宋" w:eastAsia="仿宋_GB2312"/>
          <w:sz w:val="32"/>
        </w:rPr>
        <w:t>万元，</w:t>
      </w:r>
      <w:r>
        <w:rPr>
          <w:rFonts w:hint="eastAsia" w:ascii="仿宋_GB2312" w:hAnsi="仿宋" w:eastAsia="仿宋_GB2312"/>
          <w:sz w:val="32"/>
          <w:lang w:eastAsia="zh-CN"/>
        </w:rPr>
        <w:t>减少</w:t>
      </w:r>
      <w:r>
        <w:rPr>
          <w:rFonts w:hint="eastAsia" w:ascii="仿宋_GB2312" w:hAnsi="仿宋" w:eastAsia="仿宋_GB2312"/>
          <w:sz w:val="32"/>
          <w:lang w:val="en-US" w:eastAsia="zh-CN"/>
        </w:rPr>
        <w:t>96.6</w:t>
      </w:r>
      <w:r>
        <w:rPr>
          <w:rFonts w:hint="eastAsia" w:ascii="仿宋_GB2312" w:hAnsi="仿宋" w:eastAsia="仿宋_GB2312"/>
          <w:sz w:val="32"/>
        </w:rPr>
        <w:t>%，主要是项目调整因素;</w:t>
      </w:r>
    </w:p>
    <w:p w14:paraId="12B5C07E">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19. 灾害防治及应急管理支出</w:t>
      </w:r>
      <w:r>
        <w:rPr>
          <w:rFonts w:hint="eastAsia" w:ascii="仿宋_GB2312" w:hAnsi="仿宋" w:eastAsia="仿宋_GB2312"/>
          <w:sz w:val="32"/>
          <w:lang w:val="en-US" w:eastAsia="zh-CN"/>
        </w:rPr>
        <w:t>542万元</w:t>
      </w:r>
      <w:r>
        <w:rPr>
          <w:rFonts w:hint="eastAsia" w:ascii="仿宋_GB2312" w:hAnsi="仿宋" w:eastAsia="仿宋_GB2312"/>
          <w:sz w:val="32"/>
        </w:rPr>
        <w:t>，比上年</w:t>
      </w:r>
      <w:r>
        <w:rPr>
          <w:rFonts w:hint="eastAsia" w:ascii="仿宋_GB2312" w:hAnsi="仿宋" w:eastAsia="仿宋_GB2312"/>
          <w:sz w:val="32"/>
          <w:lang w:eastAsia="zh-CN"/>
        </w:rPr>
        <w:t>增加</w:t>
      </w:r>
      <w:r>
        <w:rPr>
          <w:rFonts w:hint="eastAsia" w:ascii="仿宋_GB2312" w:hAnsi="仿宋" w:eastAsia="仿宋_GB2312"/>
          <w:sz w:val="32"/>
          <w:lang w:val="en-US" w:eastAsia="zh-CN"/>
        </w:rPr>
        <w:t>291</w:t>
      </w:r>
      <w:r>
        <w:rPr>
          <w:rFonts w:hint="eastAsia" w:ascii="仿宋_GB2312" w:hAnsi="仿宋" w:eastAsia="仿宋_GB2312"/>
          <w:sz w:val="32"/>
        </w:rPr>
        <w:t>万元，</w:t>
      </w:r>
      <w:r>
        <w:rPr>
          <w:rFonts w:hint="eastAsia" w:ascii="仿宋_GB2312" w:hAnsi="仿宋" w:eastAsia="仿宋_GB2312"/>
          <w:sz w:val="32"/>
          <w:lang w:eastAsia="zh-CN"/>
        </w:rPr>
        <w:t>增加</w:t>
      </w:r>
      <w:r>
        <w:rPr>
          <w:rFonts w:hint="eastAsia" w:ascii="仿宋_GB2312" w:hAnsi="仿宋" w:eastAsia="仿宋_GB2312"/>
          <w:sz w:val="32"/>
          <w:lang w:val="en-US" w:eastAsia="zh-CN"/>
        </w:rPr>
        <w:t>115.9</w:t>
      </w:r>
      <w:r>
        <w:rPr>
          <w:rFonts w:hint="eastAsia" w:ascii="仿宋_GB2312" w:hAnsi="仿宋" w:eastAsia="仿宋_GB2312"/>
          <w:sz w:val="32"/>
        </w:rPr>
        <w:t>%，主要是项目调整因素;</w:t>
      </w:r>
    </w:p>
    <w:p w14:paraId="332F1F3B">
      <w:pPr>
        <w:widowControl/>
        <w:pBdr>
          <w:bottom w:val="single" w:color="FFFFFF" w:sz="4" w:space="31"/>
        </w:pBdr>
        <w:spacing w:line="560" w:lineRule="exact"/>
        <w:ind w:firstLine="640" w:firstLineChars="200"/>
        <w:rPr>
          <w:rFonts w:ascii="仿宋_GB2312" w:hAnsi="仿宋" w:eastAsia="仿宋_GB2312"/>
          <w:sz w:val="32"/>
        </w:rPr>
      </w:pPr>
      <w:r>
        <w:rPr>
          <w:rFonts w:hint="eastAsia" w:ascii="仿宋_GB2312" w:hAnsi="仿宋" w:eastAsia="仿宋_GB2312"/>
          <w:sz w:val="32"/>
        </w:rPr>
        <w:t>20.其他收入支出</w:t>
      </w:r>
      <w:r>
        <w:rPr>
          <w:rFonts w:hint="eastAsia" w:ascii="仿宋_GB2312" w:hAnsi="仿宋" w:eastAsia="仿宋_GB2312"/>
          <w:sz w:val="32"/>
          <w:lang w:val="en-US" w:eastAsia="zh-CN"/>
        </w:rPr>
        <w:t>104万元</w:t>
      </w:r>
      <w:r>
        <w:rPr>
          <w:rFonts w:hint="eastAsia" w:ascii="仿宋_GB2312" w:hAnsi="仿宋" w:eastAsia="仿宋_GB2312"/>
          <w:sz w:val="32"/>
        </w:rPr>
        <w:t>，比上年</w:t>
      </w:r>
      <w:r>
        <w:rPr>
          <w:rFonts w:hint="eastAsia" w:ascii="仿宋_GB2312" w:hAnsi="仿宋" w:eastAsia="仿宋_GB2312"/>
          <w:sz w:val="32"/>
          <w:lang w:eastAsia="zh-CN"/>
        </w:rPr>
        <w:t>减少</w:t>
      </w:r>
      <w:r>
        <w:rPr>
          <w:rFonts w:hint="eastAsia" w:ascii="仿宋_GB2312" w:hAnsi="仿宋" w:eastAsia="仿宋_GB2312"/>
          <w:sz w:val="32"/>
          <w:lang w:val="en-US" w:eastAsia="zh-CN"/>
        </w:rPr>
        <w:t>6053</w:t>
      </w:r>
      <w:r>
        <w:rPr>
          <w:rFonts w:hint="eastAsia" w:ascii="仿宋_GB2312" w:hAnsi="仿宋" w:eastAsia="仿宋_GB2312"/>
          <w:sz w:val="32"/>
        </w:rPr>
        <w:t>万元，增长</w:t>
      </w:r>
      <w:r>
        <w:rPr>
          <w:rFonts w:hint="eastAsia" w:ascii="仿宋_GB2312" w:hAnsi="仿宋" w:eastAsia="仿宋_GB2312"/>
          <w:sz w:val="32"/>
          <w:lang w:val="en-US" w:eastAsia="zh-CN"/>
        </w:rPr>
        <w:t>98.3</w:t>
      </w:r>
      <w:r>
        <w:rPr>
          <w:rFonts w:hint="eastAsia" w:ascii="仿宋_GB2312" w:hAnsi="仿宋" w:eastAsia="仿宋_GB2312"/>
          <w:sz w:val="32"/>
        </w:rPr>
        <w:t>%，主要是项目调整因素;</w:t>
      </w:r>
    </w:p>
    <w:p w14:paraId="132711E7">
      <w:pPr>
        <w:widowControl/>
        <w:pBdr>
          <w:bottom w:val="single" w:color="FFFFFF" w:sz="4" w:space="31"/>
        </w:pBdr>
        <w:spacing w:line="560" w:lineRule="exact"/>
        <w:ind w:firstLine="640" w:firstLineChars="200"/>
        <w:rPr>
          <w:rFonts w:ascii="仿宋_GB2312" w:hAnsi="仿宋" w:eastAsia="仿宋_GB2312"/>
          <w:sz w:val="32"/>
        </w:rPr>
      </w:pPr>
    </w:p>
    <w:p w14:paraId="07470ADF">
      <w:pPr>
        <w:widowControl/>
        <w:numPr>
          <w:ilvl w:val="0"/>
          <w:numId w:val="0"/>
        </w:numPr>
        <w:pBdr>
          <w:bottom w:val="single" w:color="FFFFFF" w:sz="4" w:space="31"/>
        </w:pBdr>
        <w:spacing w:line="560" w:lineRule="exact"/>
        <w:ind w:firstLine="643" w:firstLineChars="200"/>
        <w:rPr>
          <w:rFonts w:hint="eastAsia" w:ascii="仿宋_GB2312" w:hAnsi="华文楷体" w:eastAsia="仿宋_GB2312" w:cs="楷体"/>
          <w:b/>
          <w:bCs/>
          <w:sz w:val="32"/>
          <w:szCs w:val="32"/>
        </w:rPr>
      </w:pPr>
      <w:r>
        <w:rPr>
          <w:rFonts w:hint="eastAsia" w:ascii="仿宋_GB2312" w:hAnsi="华文楷体" w:eastAsia="仿宋_GB2312" w:cs="楷体"/>
          <w:b/>
          <w:bCs/>
          <w:sz w:val="32"/>
          <w:szCs w:val="32"/>
          <w:lang w:eastAsia="zh-CN"/>
        </w:rPr>
        <w:t>二、</w:t>
      </w:r>
      <w:r>
        <w:rPr>
          <w:rFonts w:hint="eastAsia" w:ascii="仿宋_GB2312" w:hAnsi="华文楷体" w:eastAsia="仿宋_GB2312" w:cs="楷体"/>
          <w:b/>
          <w:bCs/>
          <w:sz w:val="32"/>
          <w:szCs w:val="32"/>
        </w:rPr>
        <w:t>隆回县202</w:t>
      </w:r>
      <w:r>
        <w:rPr>
          <w:rFonts w:hint="eastAsia" w:ascii="仿宋_GB2312" w:hAnsi="华文楷体" w:eastAsia="仿宋_GB2312" w:cs="楷体"/>
          <w:b/>
          <w:bCs/>
          <w:sz w:val="32"/>
          <w:szCs w:val="32"/>
          <w:lang w:val="en-US" w:eastAsia="zh-CN"/>
        </w:rPr>
        <w:t>3</w:t>
      </w:r>
      <w:r>
        <w:rPr>
          <w:rFonts w:hint="eastAsia" w:ascii="仿宋_GB2312" w:hAnsi="华文楷体" w:eastAsia="仿宋_GB2312" w:cs="楷体"/>
          <w:b/>
          <w:bCs/>
          <w:sz w:val="32"/>
          <w:szCs w:val="32"/>
        </w:rPr>
        <w:t>年“三公”经费支出情况的说明</w:t>
      </w:r>
    </w:p>
    <w:p w14:paraId="7C0B283B">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default" w:ascii="仿宋_GB2312" w:hAnsi="仿宋" w:eastAsia="仿宋_GB2312"/>
          <w:sz w:val="32"/>
          <w:lang w:val="en-US" w:eastAsia="zh-CN"/>
        </w:rPr>
        <w:t>202</w:t>
      </w:r>
      <w:r>
        <w:rPr>
          <w:rFonts w:hint="eastAsia" w:ascii="仿宋_GB2312" w:hAnsi="仿宋" w:eastAsia="仿宋_GB2312"/>
          <w:sz w:val="32"/>
          <w:lang w:val="en-US" w:eastAsia="zh-CN"/>
        </w:rPr>
        <w:t>3年，隆回县一般公共预算安排的行政事业单位“三公” 经费预算数1988万元，全年实际支出</w:t>
      </w:r>
      <w:r>
        <w:rPr>
          <w:rFonts w:hint="default" w:ascii="仿宋_GB2312" w:hAnsi="仿宋" w:eastAsia="仿宋_GB2312"/>
          <w:sz w:val="32"/>
          <w:lang w:val="en-US" w:eastAsia="zh-CN"/>
        </w:rPr>
        <w:t>22</w:t>
      </w:r>
      <w:r>
        <w:rPr>
          <w:rFonts w:hint="eastAsia" w:ascii="仿宋_GB2312" w:hAnsi="仿宋" w:eastAsia="仿宋_GB2312"/>
          <w:sz w:val="32"/>
          <w:lang w:val="en-US" w:eastAsia="zh-CN"/>
        </w:rPr>
        <w:t>23万元，完成全年预算的111.8%;同比</w:t>
      </w:r>
      <w:r>
        <w:rPr>
          <w:rFonts w:hint="default" w:ascii="仿宋_GB2312" w:hAnsi="仿宋" w:eastAsia="仿宋_GB2312"/>
          <w:sz w:val="32"/>
          <w:lang w:val="en-US" w:eastAsia="zh-CN"/>
        </w:rPr>
        <w:t>202</w:t>
      </w:r>
      <w:r>
        <w:rPr>
          <w:rFonts w:hint="eastAsia" w:ascii="仿宋_GB2312" w:hAnsi="仿宋" w:eastAsia="仿宋_GB2312"/>
          <w:sz w:val="32"/>
          <w:lang w:val="en-US" w:eastAsia="zh-CN"/>
        </w:rPr>
        <w:t>2年减少8.46万元，减少0.38%。其中：</w:t>
      </w:r>
    </w:p>
    <w:p w14:paraId="201735A2">
      <w:pPr>
        <w:widowControl/>
        <w:pBdr>
          <w:bottom w:val="single" w:color="FFFFFF" w:sz="4" w:space="31"/>
        </w:pBdr>
        <w:spacing w:line="560" w:lineRule="exact"/>
        <w:ind w:firstLine="640" w:firstLineChars="200"/>
        <w:rPr>
          <w:rFonts w:hint="eastAsia" w:ascii="仿宋_GB2312" w:hAnsi="仿宋" w:eastAsia="仿宋_GB2312"/>
          <w:sz w:val="32"/>
        </w:rPr>
      </w:pPr>
      <w:r>
        <w:rPr>
          <w:rFonts w:hint="eastAsia" w:ascii="仿宋_GB2312" w:hAnsi="仿宋" w:eastAsia="仿宋_GB2312"/>
          <w:sz w:val="32"/>
          <w:lang w:val="en-US" w:eastAsia="zh-CN"/>
        </w:rPr>
        <w:t>因公出国（境）经费年初预算为</w:t>
      </w:r>
      <w:r>
        <w:rPr>
          <w:rFonts w:hint="default" w:ascii="仿宋_GB2312" w:hAnsi="仿宋" w:eastAsia="仿宋_GB2312"/>
          <w:sz w:val="32"/>
          <w:lang w:val="en-US" w:eastAsia="zh-CN"/>
        </w:rPr>
        <w:t>0</w:t>
      </w:r>
      <w:r>
        <w:rPr>
          <w:rFonts w:hint="eastAsia" w:ascii="仿宋_GB2312" w:hAnsi="仿宋" w:eastAsia="仿宋_GB2312"/>
          <w:sz w:val="32"/>
          <w:lang w:val="en-US" w:eastAsia="zh-CN"/>
        </w:rPr>
        <w:t>万元，支出决算为</w:t>
      </w:r>
      <w:r>
        <w:rPr>
          <w:rFonts w:hint="default" w:ascii="仿宋_GB2312" w:hAnsi="仿宋" w:eastAsia="仿宋_GB2312"/>
          <w:sz w:val="32"/>
          <w:lang w:val="en-US" w:eastAsia="zh-CN"/>
        </w:rPr>
        <w:t>0</w:t>
      </w:r>
      <w:r>
        <w:rPr>
          <w:rFonts w:hint="eastAsia" w:ascii="仿宋_GB2312" w:hAnsi="仿宋" w:eastAsia="仿宋_GB2312"/>
          <w:sz w:val="32"/>
          <w:lang w:val="en-US" w:eastAsia="zh-CN"/>
        </w:rPr>
        <w:t>万元，完成全年预算的</w:t>
      </w:r>
      <w:r>
        <w:rPr>
          <w:rFonts w:hint="default" w:ascii="仿宋_GB2312" w:hAnsi="仿宋" w:eastAsia="仿宋_GB2312"/>
          <w:sz w:val="32"/>
          <w:lang w:val="en-US" w:eastAsia="zh-CN"/>
        </w:rPr>
        <w:t>0% </w:t>
      </w:r>
      <w:r>
        <w:rPr>
          <w:rFonts w:hint="eastAsia" w:ascii="仿宋_GB2312" w:hAnsi="仿宋" w:eastAsia="仿宋_GB2312"/>
          <w:sz w:val="32"/>
          <w:lang w:val="en-US" w:eastAsia="zh-CN"/>
        </w:rPr>
        <w:t>，同比</w:t>
      </w:r>
      <w:r>
        <w:rPr>
          <w:rFonts w:hint="default" w:ascii="仿宋_GB2312" w:hAnsi="仿宋" w:eastAsia="仿宋_GB2312"/>
          <w:sz w:val="32"/>
          <w:lang w:val="en-US" w:eastAsia="zh-CN"/>
        </w:rPr>
        <w:t>202</w:t>
      </w:r>
      <w:r>
        <w:rPr>
          <w:rFonts w:hint="eastAsia" w:ascii="仿宋_GB2312" w:hAnsi="仿宋" w:eastAsia="仿宋_GB2312"/>
          <w:sz w:val="32"/>
          <w:lang w:val="en-US" w:eastAsia="zh-CN"/>
        </w:rPr>
        <w:t>2年减少</w:t>
      </w:r>
      <w:r>
        <w:rPr>
          <w:rFonts w:hint="default" w:ascii="仿宋_GB2312" w:hAnsi="仿宋" w:eastAsia="仿宋_GB2312"/>
          <w:sz w:val="32"/>
          <w:lang w:val="en-US" w:eastAsia="zh-CN"/>
        </w:rPr>
        <w:t>0</w:t>
      </w:r>
      <w:r>
        <w:rPr>
          <w:rFonts w:hint="eastAsia" w:ascii="仿宋_GB2312" w:hAnsi="仿宋" w:eastAsia="仿宋_GB2312"/>
          <w:sz w:val="32"/>
          <w:lang w:val="en-US" w:eastAsia="zh-CN"/>
        </w:rPr>
        <w:t>万元</w:t>
      </w:r>
      <w:r>
        <w:rPr>
          <w:rFonts w:hint="default" w:ascii="仿宋_GB2312" w:hAnsi="仿宋" w:eastAsia="仿宋_GB2312"/>
          <w:sz w:val="32"/>
          <w:lang w:val="en-US" w:eastAsia="zh-CN"/>
        </w:rPr>
        <w:t>,</w:t>
      </w:r>
      <w:r>
        <w:rPr>
          <w:rFonts w:hint="eastAsia" w:ascii="仿宋_GB2312" w:hAnsi="仿宋" w:eastAsia="仿宋_GB2312"/>
          <w:sz w:val="32"/>
          <w:lang w:val="en-US" w:eastAsia="zh-CN"/>
        </w:rPr>
        <w:t>原因是本年度无此项支出；</w:t>
      </w:r>
    </w:p>
    <w:p w14:paraId="0A1D95EB">
      <w:pPr>
        <w:widowControl/>
        <w:pBdr>
          <w:bottom w:val="single" w:color="FFFFFF" w:sz="4" w:space="31"/>
        </w:pBdr>
        <w:spacing w:line="560" w:lineRule="exact"/>
        <w:ind w:firstLine="640" w:firstLineChars="200"/>
        <w:rPr>
          <w:rFonts w:hint="eastAsia" w:ascii="仿宋_GB2312" w:hAnsi="仿宋" w:eastAsia="仿宋_GB2312"/>
          <w:sz w:val="32"/>
        </w:rPr>
      </w:pPr>
      <w:r>
        <w:rPr>
          <w:rFonts w:hint="eastAsia" w:ascii="仿宋_GB2312" w:hAnsi="仿宋" w:eastAsia="仿宋_GB2312"/>
          <w:sz w:val="32"/>
          <w:lang w:val="en-US" w:eastAsia="zh-CN"/>
        </w:rPr>
        <w:t>公务用车购置及运行费年初预算为1290万元，支出决算为1846万元，完成全年预算的143.1%，同比2022年增加152.8万元,增加9.02%；其中：公务用车购置费年初预算为0万元，支出决算为680万元，完成全年预算的100%，决算数大于年初预算数及同比增加的主要原因是：执法执勤车辆按上级统一部署正常轮换，增加购置费680万元；公务用车运行费年初预算为1290万元，支出决算为1166万元，完成全年预算的91.07%，同比2022年减少13.33万元,减少1.13%，减少的原因是从严从紧编实财政预算，严控相关开支；</w:t>
      </w:r>
    </w:p>
    <w:p w14:paraId="0870FB6B">
      <w:pPr>
        <w:widowControl/>
        <w:pBdr>
          <w:bottom w:val="single" w:color="FFFFFF" w:sz="4" w:space="31"/>
        </w:pBdr>
        <w:spacing w:line="560" w:lineRule="exact"/>
        <w:ind w:firstLine="640" w:firstLineChars="200"/>
        <w:rPr>
          <w:rFonts w:hint="eastAsia" w:ascii="仿宋_GB2312" w:hAnsi="仿宋" w:eastAsia="仿宋_GB2312"/>
          <w:sz w:val="32"/>
        </w:rPr>
      </w:pPr>
      <w:r>
        <w:rPr>
          <w:rFonts w:hint="eastAsia" w:ascii="仿宋_GB2312" w:hAnsi="仿宋" w:eastAsia="仿宋_GB2312"/>
          <w:sz w:val="32"/>
          <w:lang w:val="en-US" w:eastAsia="zh-CN"/>
        </w:rPr>
        <w:t>公务接待费年初预算为698万元，支出决算为377万元，完成全年预算的54.01%，同比2022年减少161.26万元,减少29.96%，决算数小于年初预算数及同比减少的主要原因是严格落实中央八项规定，核减公务接待经费，全年共计接待10231批次，共计42154人。</w:t>
      </w:r>
    </w:p>
    <w:p w14:paraId="26829D32">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lang w:val="en-US" w:eastAsia="zh-CN"/>
        </w:rPr>
        <w:t>全县“三公”经费增加主要是根据省厅文件部分执法单位年中新增执法用车；公务接待费有所下降，主要是各部门按照中央和省厉行节约各项规定以及八项规定实施细则要求，从严从紧编实财政预算，严控相关开支，公务接待经费大幅减少。</w:t>
      </w:r>
    </w:p>
    <w:p w14:paraId="523F1FB3">
      <w:pPr>
        <w:widowControl/>
        <w:pBdr>
          <w:bottom w:val="single" w:color="FFFFFF" w:sz="4" w:space="31"/>
        </w:pBdr>
        <w:spacing w:line="560" w:lineRule="exact"/>
        <w:ind w:firstLine="640" w:firstLineChars="200"/>
        <w:rPr>
          <w:rFonts w:hint="eastAsia" w:ascii="仿宋_GB2312" w:hAnsi="仿宋" w:eastAsia="仿宋_GB2312"/>
          <w:sz w:val="32"/>
          <w:lang w:val="en-US" w:eastAsia="zh-CN"/>
        </w:rPr>
      </w:pPr>
    </w:p>
    <w:p w14:paraId="1E7EF108">
      <w:pPr>
        <w:widowControl/>
        <w:numPr>
          <w:ilvl w:val="0"/>
          <w:numId w:val="1"/>
        </w:numPr>
        <w:pBdr>
          <w:bottom w:val="single" w:color="FFFFFF" w:sz="4" w:space="31"/>
        </w:pBdr>
        <w:spacing w:line="560" w:lineRule="exact"/>
        <w:ind w:left="0" w:leftChars="0" w:firstLine="643" w:firstLineChars="200"/>
        <w:rPr>
          <w:rFonts w:hint="eastAsia" w:ascii="仿宋_GB2312" w:hAnsi="华文楷体" w:eastAsia="仿宋_GB2312" w:cs="楷体"/>
          <w:b/>
          <w:bCs/>
          <w:sz w:val="32"/>
          <w:szCs w:val="32"/>
        </w:rPr>
      </w:pPr>
      <w:r>
        <w:rPr>
          <w:rFonts w:hint="eastAsia" w:ascii="仿宋_GB2312" w:hAnsi="华文楷体" w:eastAsia="仿宋_GB2312" w:cs="楷体"/>
          <w:b/>
          <w:bCs/>
          <w:sz w:val="32"/>
          <w:szCs w:val="32"/>
        </w:rPr>
        <w:t>预算绩效管理工作开展情况</w:t>
      </w:r>
    </w:p>
    <w:p w14:paraId="60555752">
      <w:pPr>
        <w:widowControl/>
        <w:numPr>
          <w:ilvl w:val="0"/>
          <w:numId w:val="0"/>
        </w:numPr>
        <w:pBdr>
          <w:bottom w:val="single" w:color="FFFFFF" w:sz="4" w:space="31"/>
        </w:pBd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全面实施预算绩效管理是推进国家治理体系和治理能力现代化的内在要求，是深化财税体制改革、优化财政资源配置、提高资金使用效益、提升公共服务质量的重要举措。2023</w:t>
      </w:r>
      <w:r>
        <w:rPr>
          <w:rFonts w:hint="eastAsia" w:ascii="仿宋_GB2312" w:eastAsia="仿宋_GB2312"/>
          <w:color w:val="000000"/>
          <w:sz w:val="32"/>
          <w:szCs w:val="32"/>
        </w:rPr>
        <w:t>年，我县</w:t>
      </w:r>
      <w:r>
        <w:rPr>
          <w:rFonts w:hint="eastAsia" w:ascii="仿宋_GB2312" w:eastAsia="仿宋_GB2312"/>
          <w:color w:val="000000"/>
          <w:sz w:val="32"/>
          <w:szCs w:val="32"/>
          <w:lang w:eastAsia="zh-CN"/>
        </w:rPr>
        <w:t>预算绩效管理</w:t>
      </w:r>
      <w:r>
        <w:rPr>
          <w:rFonts w:hint="eastAsia" w:ascii="仿宋_GB2312" w:eastAsia="仿宋_GB2312"/>
          <w:color w:val="000000"/>
          <w:sz w:val="32"/>
          <w:szCs w:val="32"/>
        </w:rPr>
        <w:t>以党的</w:t>
      </w:r>
      <w:r>
        <w:rPr>
          <w:rFonts w:hint="eastAsia" w:ascii="仿宋_GB2312" w:eastAsia="仿宋_GB2312"/>
          <w:color w:val="000000"/>
          <w:sz w:val="32"/>
          <w:szCs w:val="32"/>
          <w:lang w:eastAsia="zh-CN"/>
        </w:rPr>
        <w:t>二十</w:t>
      </w:r>
      <w:r>
        <w:rPr>
          <w:rFonts w:hint="eastAsia" w:ascii="仿宋_GB2312" w:eastAsia="仿宋_GB2312"/>
          <w:color w:val="000000"/>
          <w:sz w:val="32"/>
          <w:szCs w:val="32"/>
        </w:rPr>
        <w:t>大精神为指导，</w:t>
      </w:r>
      <w:r>
        <w:rPr>
          <w:rFonts w:ascii="仿宋_GB2312" w:eastAsia="仿宋_GB2312"/>
          <w:color w:val="000000"/>
          <w:sz w:val="32"/>
          <w:szCs w:val="32"/>
        </w:rPr>
        <w:t>认真贯彻</w:t>
      </w:r>
      <w:r>
        <w:rPr>
          <w:rFonts w:hint="eastAsia" w:ascii="仿宋_GB2312" w:eastAsia="仿宋_GB2312"/>
          <w:color w:val="000000"/>
          <w:sz w:val="32"/>
          <w:szCs w:val="32"/>
        </w:rPr>
        <w:t>中央、省市对</w:t>
      </w:r>
      <w:r>
        <w:rPr>
          <w:rFonts w:ascii="仿宋_GB2312" w:eastAsia="仿宋_GB2312"/>
          <w:color w:val="000000"/>
          <w:sz w:val="32"/>
          <w:szCs w:val="32"/>
        </w:rPr>
        <w:t>预算绩效管理工作</w:t>
      </w:r>
      <w:r>
        <w:rPr>
          <w:rFonts w:hint="eastAsia" w:ascii="仿宋_GB2312" w:eastAsia="仿宋_GB2312"/>
          <w:color w:val="000000"/>
          <w:sz w:val="32"/>
          <w:szCs w:val="32"/>
          <w:lang w:eastAsia="zh-CN"/>
        </w:rPr>
        <w:t>的</w:t>
      </w:r>
      <w:r>
        <w:rPr>
          <w:rFonts w:ascii="仿宋_GB2312" w:eastAsia="仿宋_GB2312"/>
          <w:color w:val="000000"/>
          <w:sz w:val="32"/>
          <w:szCs w:val="32"/>
        </w:rPr>
        <w:t>要求，</w:t>
      </w:r>
      <w:r>
        <w:rPr>
          <w:rFonts w:hint="eastAsia" w:ascii="仿宋_GB2312" w:eastAsia="仿宋_GB2312"/>
          <w:color w:val="000000"/>
          <w:sz w:val="32"/>
          <w:szCs w:val="32"/>
          <w:lang w:eastAsia="zh-CN"/>
        </w:rPr>
        <w:t>加快全方位、全过程、全覆盖的预算绩效管理体系建设，预算绩效管理</w:t>
      </w:r>
      <w:r>
        <w:rPr>
          <w:rFonts w:ascii="仿宋_GB2312" w:eastAsia="仿宋_GB2312"/>
          <w:color w:val="000000"/>
          <w:sz w:val="32"/>
          <w:szCs w:val="32"/>
        </w:rPr>
        <w:t>工作基础逐步夯实，</w:t>
      </w:r>
      <w:r>
        <w:rPr>
          <w:rFonts w:hint="eastAsia" w:ascii="仿宋_GB2312" w:eastAsia="仿宋_GB2312"/>
          <w:color w:val="000000"/>
          <w:sz w:val="32"/>
          <w:szCs w:val="32"/>
          <w:lang w:eastAsia="zh-CN"/>
        </w:rPr>
        <w:t>评价</w:t>
      </w:r>
      <w:r>
        <w:rPr>
          <w:rFonts w:ascii="仿宋_GB2312" w:eastAsia="仿宋_GB2312"/>
          <w:color w:val="000000"/>
          <w:sz w:val="32"/>
          <w:szCs w:val="32"/>
        </w:rPr>
        <w:t>范围稳步拓展，</w:t>
      </w:r>
      <w:r>
        <w:rPr>
          <w:rFonts w:hint="eastAsia" w:ascii="仿宋_GB2312" w:eastAsia="仿宋_GB2312"/>
          <w:color w:val="000000"/>
          <w:sz w:val="32"/>
          <w:szCs w:val="32"/>
          <w:lang w:eastAsia="zh-CN"/>
        </w:rPr>
        <w:t>评价结果有效应用、不断</w:t>
      </w:r>
      <w:r>
        <w:rPr>
          <w:rFonts w:ascii="仿宋_GB2312" w:eastAsia="仿宋_GB2312"/>
          <w:color w:val="000000"/>
          <w:sz w:val="32"/>
          <w:szCs w:val="32"/>
        </w:rPr>
        <w:t>推动</w:t>
      </w:r>
      <w:r>
        <w:rPr>
          <w:rFonts w:hint="eastAsia" w:ascii="仿宋_GB2312" w:eastAsia="仿宋_GB2312"/>
          <w:color w:val="000000"/>
          <w:sz w:val="32"/>
          <w:szCs w:val="32"/>
          <w:lang w:eastAsia="zh-CN"/>
        </w:rPr>
        <w:t>我县</w:t>
      </w:r>
      <w:r>
        <w:rPr>
          <w:rFonts w:ascii="仿宋_GB2312" w:eastAsia="仿宋_GB2312"/>
          <w:color w:val="000000"/>
          <w:sz w:val="32"/>
          <w:szCs w:val="32"/>
        </w:rPr>
        <w:t>预算绩效管理</w:t>
      </w:r>
      <w:r>
        <w:rPr>
          <w:rFonts w:hint="eastAsia" w:ascii="仿宋_GB2312" w:eastAsia="仿宋_GB2312"/>
          <w:color w:val="000000"/>
          <w:sz w:val="32"/>
          <w:szCs w:val="32"/>
          <w:lang w:eastAsia="zh-CN"/>
        </w:rPr>
        <w:t>改革</w:t>
      </w:r>
      <w:r>
        <w:rPr>
          <w:rFonts w:ascii="仿宋_GB2312" w:eastAsia="仿宋_GB2312"/>
          <w:color w:val="000000"/>
          <w:sz w:val="32"/>
          <w:szCs w:val="32"/>
        </w:rPr>
        <w:t>向纵深发展。</w:t>
      </w:r>
      <w:r>
        <w:rPr>
          <w:rFonts w:hint="eastAsia" w:ascii="仿宋_GB2312" w:eastAsia="仿宋_GB2312"/>
          <w:color w:val="000000"/>
          <w:sz w:val="32"/>
          <w:szCs w:val="32"/>
          <w:lang w:val="en-US" w:eastAsia="zh-CN"/>
        </w:rPr>
        <w:t>2017-2021年，我县预算绩效管理连续5年被省财政厅评为市县财政预算绩效管理工作先进单位。</w:t>
      </w:r>
    </w:p>
    <w:p w14:paraId="6E221C0C">
      <w:pPr>
        <w:keepNext w:val="0"/>
        <w:keepLines w:val="0"/>
        <w:pageBreakBefore w:val="0"/>
        <w:widowControl w:val="0"/>
        <w:shd w:val="clear" w:color="auto" w:fill="FFFFFF"/>
        <w:kinsoku/>
        <w:wordWrap/>
        <w:overflowPunct/>
        <w:topLinePunct w:val="0"/>
        <w:autoSpaceDE w:val="0"/>
        <w:autoSpaceDN/>
        <w:bidi w:val="0"/>
        <w:adjustRightInd/>
        <w:snapToGrid/>
        <w:spacing w:line="560" w:lineRule="exact"/>
        <w:ind w:firstLine="627" w:firstLineChars="196"/>
        <w:textAlignment w:val="auto"/>
        <w:rPr>
          <w:rFonts w:hint="eastAsia" w:ascii="黑体" w:hAnsi="黑体" w:eastAsia="黑体" w:cs="Arial"/>
          <w:bCs/>
          <w:color w:val="000000"/>
          <w:sz w:val="32"/>
          <w:szCs w:val="32"/>
        </w:rPr>
      </w:pPr>
      <w:r>
        <w:rPr>
          <w:rFonts w:hint="eastAsia" w:ascii="黑体" w:hAnsi="黑体" w:eastAsia="黑体" w:cs="Arial"/>
          <w:bCs/>
          <w:color w:val="000000"/>
          <w:sz w:val="32"/>
          <w:szCs w:val="32"/>
        </w:rPr>
        <w:t>一、工作开展主要情况</w:t>
      </w:r>
    </w:p>
    <w:p w14:paraId="27E5838D">
      <w:pPr>
        <w:keepNext w:val="0"/>
        <w:keepLines w:val="0"/>
        <w:pageBreakBefore w:val="0"/>
        <w:widowControl w:val="0"/>
        <w:kinsoku/>
        <w:wordWrap/>
        <w:overflowPunct/>
        <w:topLinePunct w:val="0"/>
        <w:autoSpaceDN/>
        <w:bidi w:val="0"/>
        <w:adjustRightInd/>
        <w:snapToGrid/>
        <w:spacing w:line="560" w:lineRule="exact"/>
        <w:ind w:firstLine="472" w:firstLineChars="147"/>
        <w:textAlignment w:val="auto"/>
        <w:rPr>
          <w:rFonts w:hint="eastAsia" w:ascii="仿宋_GB2312" w:hAnsi="宋体" w:eastAsia="仿宋_GB2312"/>
          <w:sz w:val="32"/>
          <w:szCs w:val="32"/>
        </w:rPr>
      </w:pPr>
      <w:r>
        <w:rPr>
          <w:rFonts w:hint="eastAsia" w:ascii="楷体_GB2312" w:hAnsi="黑体" w:eastAsia="楷体_GB2312"/>
          <w:b/>
          <w:color w:val="000000"/>
          <w:sz w:val="32"/>
          <w:szCs w:val="32"/>
        </w:rPr>
        <w:t>（一）加强组织领导，健全队伍力量。</w:t>
      </w:r>
      <w:r>
        <w:rPr>
          <w:rFonts w:hint="eastAsia" w:ascii="仿宋_GB2312" w:hAnsi="宋体" w:eastAsia="仿宋_GB2312"/>
          <w:sz w:val="32"/>
          <w:szCs w:val="32"/>
        </w:rPr>
        <w:t>为保证预算绩效管理工作的推进，</w:t>
      </w:r>
      <w:r>
        <w:rPr>
          <w:rFonts w:hint="eastAsia" w:ascii="仿宋_GB2312" w:eastAsia="仿宋_GB2312"/>
          <w:sz w:val="32"/>
          <w:szCs w:val="32"/>
        </w:rPr>
        <w:t>我县</w:t>
      </w:r>
      <w:r>
        <w:rPr>
          <w:rFonts w:hint="eastAsia" w:ascii="仿宋_GB2312" w:hAnsi="宋体" w:eastAsia="仿宋_GB2312"/>
          <w:sz w:val="32"/>
          <w:szCs w:val="32"/>
        </w:rPr>
        <w:t>切实加强组织领导，建立县政府负责、县财政局牵头、各预算单位具体执行、第三方共同参与的预算绩效管理组织体系。一是成立县预算绩效管理工作领导小组。县委、县政府加强对预算绩效管理工作的领导，成立了高规格的县预算绩效管理工作领导小组，县长担任组长、常务副县长及县人大、县政协分管财政工作的副主任（主席）为副组长，所有政府组成局主要负责人担任成员，在县财政局设办公室负责日常事务，县财政局长兼任办公室主任，分管局长兼任副主任；二是健全预算绩效管理组织机构。县财政局为确保认真履行职责，加强对预算绩效管理的组织、指导、协调和监督，设立预算绩效管理股，加强了人员配置。为形成全局“一盘棋”的工作格局，成立了县财政局预算绩效领导小组，财政局内部各股室密切配合，加强工作协调，共同做好预算绩效管理工作；三是建立单位联络员制度。充分发挥单位预算绩效管理的主体作用，要求各单位按照县委、政府的统一部署，</w:t>
      </w:r>
      <w:r>
        <w:rPr>
          <w:rFonts w:ascii="仿宋_GB2312" w:hAnsi="宋体" w:eastAsia="仿宋_GB2312"/>
          <w:sz w:val="32"/>
          <w:szCs w:val="32"/>
        </w:rPr>
        <w:t>建立绩效管理内部协调机制，明确</w:t>
      </w:r>
      <w:r>
        <w:rPr>
          <w:rFonts w:hint="eastAsia" w:ascii="仿宋_GB2312" w:hAnsi="宋体" w:eastAsia="仿宋_GB2312"/>
          <w:sz w:val="32"/>
          <w:szCs w:val="32"/>
        </w:rPr>
        <w:t>单位财务部门为</w:t>
      </w:r>
      <w:r>
        <w:rPr>
          <w:rFonts w:ascii="仿宋_GB2312" w:hAnsi="宋体" w:eastAsia="仿宋_GB2312"/>
          <w:sz w:val="32"/>
          <w:szCs w:val="32"/>
        </w:rPr>
        <w:t>牵头机构</w:t>
      </w:r>
      <w:r>
        <w:rPr>
          <w:rFonts w:hint="eastAsia" w:ascii="仿宋_GB2312" w:hAnsi="宋体" w:eastAsia="仿宋_GB2312"/>
          <w:sz w:val="32"/>
          <w:szCs w:val="32"/>
        </w:rPr>
        <w:t>，财务部门负责人为联络人，负责本单位预算绩效管理工作；四是建立绩效评价项目指导组。加强专项资金支出绩效评价，在绩效评价中由局绩效管理股与局相关业务股室和项目主管部门共同成立绩效评价指导组，负责绩效评价的业务指导和审核。</w:t>
      </w:r>
    </w:p>
    <w:p w14:paraId="670CB113">
      <w:pPr>
        <w:keepNext w:val="0"/>
        <w:keepLines w:val="0"/>
        <w:pageBreakBefore w:val="0"/>
        <w:widowControl w:val="0"/>
        <w:kinsoku/>
        <w:wordWrap/>
        <w:overflowPunct/>
        <w:topLinePunct w:val="0"/>
        <w:autoSpaceDN/>
        <w:bidi w:val="0"/>
        <w:adjustRightInd/>
        <w:snapToGrid/>
        <w:spacing w:line="560" w:lineRule="exact"/>
        <w:ind w:firstLine="472" w:firstLineChars="147"/>
        <w:textAlignment w:val="auto"/>
        <w:rPr>
          <w:rFonts w:hint="eastAsia" w:ascii="仿宋_GB2312" w:hAnsi="宋体" w:eastAsia="仿宋_GB2312" w:cs="宋体"/>
          <w:color w:val="000000"/>
          <w:kern w:val="0"/>
          <w:sz w:val="32"/>
          <w:szCs w:val="32"/>
        </w:rPr>
      </w:pPr>
      <w:r>
        <w:rPr>
          <w:rFonts w:hint="eastAsia" w:eastAsia="仿宋_GB2312"/>
          <w:b/>
          <w:sz w:val="32"/>
          <w:szCs w:val="32"/>
        </w:rPr>
        <w:t>（二）</w:t>
      </w:r>
      <w:r>
        <w:rPr>
          <w:rFonts w:hint="eastAsia" w:ascii="仿宋_GB2312" w:eastAsia="仿宋_GB2312"/>
          <w:b/>
          <w:sz w:val="32"/>
          <w:szCs w:val="32"/>
        </w:rPr>
        <w:t>加强制度建设，建立管理体系</w:t>
      </w:r>
      <w:r>
        <w:rPr>
          <w:rFonts w:hint="eastAsia" w:eastAsia="仿宋_GB2312"/>
          <w:b/>
          <w:sz w:val="32"/>
          <w:szCs w:val="32"/>
        </w:rPr>
        <w:t>。</w:t>
      </w:r>
      <w:r>
        <w:rPr>
          <w:rFonts w:hint="eastAsia" w:eastAsia="仿宋_GB2312"/>
          <w:b w:val="0"/>
          <w:bCs/>
          <w:sz w:val="32"/>
          <w:szCs w:val="32"/>
          <w:lang w:eastAsia="zh-CN"/>
        </w:rPr>
        <w:t>根据上级文件要求，</w:t>
      </w:r>
      <w:r>
        <w:rPr>
          <w:rFonts w:hint="eastAsia" w:eastAsia="仿宋_GB2312"/>
          <w:b w:val="0"/>
          <w:bCs/>
          <w:sz w:val="32"/>
          <w:szCs w:val="32"/>
        </w:rPr>
        <w:t>着手</w:t>
      </w:r>
      <w:r>
        <w:rPr>
          <w:rFonts w:hint="eastAsia" w:ascii="仿宋_GB2312" w:hAnsi="宋体" w:eastAsia="仿宋_GB2312"/>
          <w:b w:val="0"/>
          <w:bCs/>
          <w:sz w:val="32"/>
          <w:szCs w:val="32"/>
        </w:rPr>
        <w:t>建立符合我县实际、科学规范、便于操作的预算绩</w:t>
      </w:r>
      <w:r>
        <w:rPr>
          <w:rFonts w:hint="eastAsia" w:ascii="仿宋_GB2312" w:hAnsi="宋体" w:eastAsia="仿宋_GB2312"/>
          <w:sz w:val="32"/>
          <w:szCs w:val="32"/>
        </w:rPr>
        <w:t>效管理制度体系，健全预算绩效管理运行机制，</w:t>
      </w:r>
      <w:r>
        <w:rPr>
          <w:rFonts w:hint="eastAsia" w:ascii="仿宋_GB2312" w:hAnsi="宋体" w:eastAsia="仿宋_GB2312" w:cs="宋体"/>
          <w:color w:val="000000"/>
          <w:kern w:val="0"/>
          <w:sz w:val="32"/>
          <w:szCs w:val="32"/>
        </w:rPr>
        <w:t>建立规范的预算绩效管理工作流程，努力做到分工合理、职责明确、责权对等、简便易行、规范高效。一是“顶层设计”预算绩效管理规划。县政府印发了《关于全面推进预算绩效管理的意见》。《意见》明确了我县预算绩效管理的总体目标，设定了主要任务，强化了保障措施，是指导我县预算绩效管理的重要纲领性文件；二是建立健全预算绩效管理制度。相继出台《隆回县预算绩效管理</w:t>
      </w:r>
      <w:r>
        <w:rPr>
          <w:rFonts w:hint="eastAsia" w:ascii="仿宋_GB2312" w:hAnsi="宋体" w:eastAsia="仿宋_GB2312" w:cs="宋体"/>
          <w:color w:val="000000"/>
          <w:kern w:val="0"/>
          <w:sz w:val="32"/>
          <w:szCs w:val="32"/>
          <w:lang w:eastAsia="zh-CN"/>
        </w:rPr>
        <w:t>暂行办法</w:t>
      </w:r>
      <w:r>
        <w:rPr>
          <w:rFonts w:hint="eastAsia" w:ascii="仿宋_GB2312" w:hAnsi="宋体" w:eastAsia="仿宋_GB2312" w:cs="宋体"/>
          <w:color w:val="000000"/>
          <w:kern w:val="0"/>
          <w:sz w:val="32"/>
          <w:szCs w:val="32"/>
        </w:rPr>
        <w:t>》、《隆回县预算绩效目标管理办法》</w:t>
      </w:r>
      <w:r>
        <w:rPr>
          <w:rFonts w:hint="eastAsia" w:ascii="仿宋_GB2312" w:hAnsi="宋体" w:eastAsia="仿宋_GB2312" w:cs="宋体"/>
          <w:color w:val="000000"/>
          <w:kern w:val="0"/>
          <w:sz w:val="32"/>
          <w:szCs w:val="32"/>
          <w:lang w:eastAsia="zh-CN"/>
        </w:rPr>
        <w:t>、《隆回县县级预算支出绩效评价结果应用管理办法》、</w:t>
      </w:r>
      <w:r>
        <w:rPr>
          <w:rFonts w:hint="eastAsia" w:ascii="仿宋_GB2312" w:hAnsi="宋体" w:eastAsia="仿宋_GB2312" w:cs="宋体"/>
          <w:color w:val="000000"/>
          <w:kern w:val="0"/>
          <w:sz w:val="32"/>
          <w:szCs w:val="32"/>
        </w:rPr>
        <w:t>《隆回县乡镇财政支出绩效评价办法》、《隆回县乡镇财政支出绩效评价实施细则》</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在制度上保证预算绩效管理措施有力，工作程序规范、部门职责明确。</w:t>
      </w:r>
    </w:p>
    <w:p w14:paraId="143B28A9">
      <w:pPr>
        <w:keepNext w:val="0"/>
        <w:keepLines w:val="0"/>
        <w:pageBreakBefore w:val="0"/>
        <w:widowControl w:val="0"/>
        <w:kinsoku/>
        <w:wordWrap/>
        <w:overflowPunct/>
        <w:topLinePunct w:val="0"/>
        <w:autoSpaceDN/>
        <w:bidi w:val="0"/>
        <w:adjustRightInd/>
        <w:snapToGrid/>
        <w:spacing w:line="560" w:lineRule="exact"/>
        <w:ind w:firstLine="630" w:firstLineChars="196"/>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（三）加强</w:t>
      </w:r>
      <w:r>
        <w:rPr>
          <w:rFonts w:hint="eastAsia" w:ascii="仿宋_GB2312" w:eastAsia="仿宋_GB2312"/>
          <w:b/>
          <w:sz w:val="32"/>
          <w:szCs w:val="32"/>
        </w:rPr>
        <w:t>工作宣传、提高绩效意识</w:t>
      </w:r>
      <w:r>
        <w:rPr>
          <w:rFonts w:hint="eastAsia" w:ascii="仿宋_GB2312" w:hAnsi="宋体" w:eastAsia="仿宋_GB2312" w:cs="宋体"/>
          <w:b/>
          <w:color w:val="000000"/>
          <w:kern w:val="0"/>
          <w:sz w:val="32"/>
          <w:szCs w:val="32"/>
        </w:rPr>
        <w:t>。</w:t>
      </w:r>
      <w:r>
        <w:rPr>
          <w:rFonts w:hint="eastAsia" w:ascii="仿宋_GB2312" w:hAnsi="宋体" w:eastAsia="仿宋_GB2312"/>
          <w:sz w:val="32"/>
          <w:szCs w:val="32"/>
        </w:rPr>
        <w:t>大力倡导预算绩效理念，强化预算绩效管理意识，</w:t>
      </w:r>
      <w:r>
        <w:rPr>
          <w:rFonts w:hint="eastAsia" w:ascii="仿宋_GB2312" w:hAnsi="宋体" w:eastAsia="仿宋_GB2312"/>
          <w:sz w:val="32"/>
          <w:szCs w:val="32"/>
          <w:shd w:val="clear" w:color="auto" w:fill="FFFFFF"/>
        </w:rPr>
        <w:t>营造良好的绩效管理思想基础和舆论环境，</w:t>
      </w:r>
      <w:r>
        <w:rPr>
          <w:rFonts w:hint="eastAsia" w:ascii="仿宋_GB2312" w:eastAsia="仿宋_GB2312"/>
          <w:sz w:val="32"/>
          <w:szCs w:val="32"/>
        </w:rPr>
        <w:t>制定培训计划并组织开展培训，不断提升财政部门和预算单位绩效管理的工作水平。</w:t>
      </w:r>
      <w:r>
        <w:rPr>
          <w:rFonts w:hint="eastAsia" w:ascii="仿宋_GB2312" w:hAnsi="宋体" w:eastAsia="仿宋_GB2312" w:cs="宋体"/>
          <w:color w:val="000000"/>
          <w:kern w:val="0"/>
          <w:sz w:val="32"/>
          <w:szCs w:val="32"/>
        </w:rPr>
        <w:t>一是主动汇报。</w:t>
      </w:r>
      <w:r>
        <w:rPr>
          <w:rFonts w:hint="eastAsia" w:ascii="仿宋_GB2312" w:hAnsi="宋体" w:eastAsia="仿宋_GB2312" w:cs="宋体"/>
          <w:color w:val="000000"/>
          <w:kern w:val="0"/>
          <w:sz w:val="32"/>
          <w:szCs w:val="32"/>
          <w:lang w:eastAsia="zh-CN"/>
        </w:rPr>
        <w:t>定期向政府和人大领导汇报绩效管理工作的开展情况</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取得</w:t>
      </w:r>
      <w:r>
        <w:rPr>
          <w:rFonts w:hint="eastAsia" w:ascii="仿宋_GB2312" w:hAnsi="宋体" w:eastAsia="仿宋_GB2312" w:cs="宋体"/>
          <w:color w:val="000000"/>
          <w:kern w:val="0"/>
          <w:sz w:val="32"/>
          <w:szCs w:val="32"/>
        </w:rPr>
        <w:t>县委、政府</w:t>
      </w:r>
      <w:r>
        <w:rPr>
          <w:rFonts w:hint="eastAsia" w:ascii="仿宋_GB2312" w:hAnsi="宋体" w:eastAsia="仿宋_GB2312" w:cs="宋体"/>
          <w:color w:val="000000"/>
          <w:kern w:val="0"/>
          <w:sz w:val="32"/>
          <w:szCs w:val="32"/>
          <w:lang w:eastAsia="zh-CN"/>
        </w:rPr>
        <w:t>和人大</w:t>
      </w:r>
      <w:r>
        <w:rPr>
          <w:rFonts w:hint="eastAsia" w:ascii="仿宋_GB2312" w:hAnsi="宋体" w:eastAsia="仿宋_GB2312" w:cs="宋体"/>
          <w:color w:val="000000"/>
          <w:kern w:val="0"/>
          <w:sz w:val="32"/>
          <w:szCs w:val="32"/>
        </w:rPr>
        <w:t>主要领导的重视；二是积极宣传。充分利用各种新闻媒体、政府网站平台，广泛宣传预算绩效管理的目的、意义，及时向省市报送反映我县预算绩效管理工作动态和总结计划；三是组织培训。首先是加强自身预算绩效管理专业知识培训，增强素质，提高水平，其次是组织了各预算单位人员的培训，提高他们的业务水平。</w:t>
      </w:r>
    </w:p>
    <w:p w14:paraId="04F13869">
      <w:pPr>
        <w:keepNext w:val="0"/>
        <w:keepLines w:val="0"/>
        <w:pageBreakBefore w:val="0"/>
        <w:widowControl w:val="0"/>
        <w:kinsoku/>
        <w:wordWrap/>
        <w:overflowPunct/>
        <w:topLinePunct w:val="0"/>
        <w:autoSpaceDN/>
        <w:bidi w:val="0"/>
        <w:adjustRightInd/>
        <w:snapToGrid/>
        <w:spacing w:line="560" w:lineRule="exact"/>
        <w:ind w:firstLine="630" w:firstLineChars="196"/>
        <w:textAlignment w:val="auto"/>
        <w:rPr>
          <w:rFonts w:hint="eastAsia" w:ascii="仿宋_GB2312" w:hAnsi="仿宋" w:eastAsia="仿宋_GB2312"/>
          <w:color w:val="333333"/>
          <w:sz w:val="32"/>
          <w:szCs w:val="32"/>
        </w:rPr>
      </w:pPr>
      <w:r>
        <w:rPr>
          <w:rFonts w:hint="eastAsia" w:ascii="仿宋_GB2312" w:eastAsia="仿宋_GB2312"/>
          <w:b/>
          <w:sz w:val="32"/>
          <w:szCs w:val="32"/>
        </w:rPr>
        <w:t>（四）认真开展预算绩效目标管理工作。</w:t>
      </w:r>
      <w:r>
        <w:rPr>
          <w:rFonts w:hint="eastAsia" w:ascii="仿宋_GB2312" w:hAnsi="仿宋" w:eastAsia="仿宋_GB2312"/>
          <w:color w:val="333333"/>
          <w:sz w:val="32"/>
          <w:szCs w:val="32"/>
        </w:rPr>
        <w:t>绩效目标是绩效管理工作的重要内容，是绩效评价和绩效结果应用的基础。</w:t>
      </w:r>
      <w:r>
        <w:rPr>
          <w:rFonts w:hint="eastAsia" w:ascii="仿宋_GB2312" w:hAnsi="仿宋" w:eastAsia="仿宋_GB2312"/>
          <w:color w:val="333333"/>
          <w:sz w:val="32"/>
          <w:szCs w:val="32"/>
          <w:lang w:eastAsia="zh-CN"/>
        </w:rPr>
        <w:t>为</w:t>
      </w:r>
      <w:r>
        <w:rPr>
          <w:rFonts w:hint="eastAsia" w:ascii="仿宋_GB2312" w:hAnsi="仿宋" w:eastAsia="仿宋_GB2312"/>
          <w:color w:val="333333"/>
          <w:sz w:val="32"/>
          <w:szCs w:val="32"/>
        </w:rPr>
        <w:t>规范绩效目标填报，提高绩效目标编制质量，</w:t>
      </w:r>
      <w:r>
        <w:rPr>
          <w:rFonts w:hint="eastAsia" w:ascii="仿宋_GB2312" w:hAnsi="仿宋" w:eastAsia="仿宋_GB2312"/>
          <w:color w:val="333333"/>
          <w:sz w:val="32"/>
          <w:szCs w:val="32"/>
          <w:lang w:eastAsia="zh-CN"/>
        </w:rPr>
        <w:t>将绩效目标填报与预算编制紧密结合</w:t>
      </w:r>
      <w:r>
        <w:rPr>
          <w:rFonts w:hint="eastAsia" w:ascii="仿宋_GB2312" w:hAnsi="仿宋" w:eastAsia="仿宋_GB2312"/>
          <w:color w:val="333333"/>
          <w:sz w:val="32"/>
          <w:szCs w:val="32"/>
        </w:rPr>
        <w:t>。一是绩效目标</w:t>
      </w:r>
      <w:r>
        <w:rPr>
          <w:rFonts w:hint="eastAsia" w:ascii="仿宋_GB2312" w:hAnsi="仿宋" w:eastAsia="仿宋_GB2312"/>
          <w:color w:val="333333"/>
          <w:sz w:val="32"/>
          <w:szCs w:val="32"/>
          <w:lang w:eastAsia="zh-CN"/>
        </w:rPr>
        <w:t>填报</w:t>
      </w:r>
      <w:r>
        <w:rPr>
          <w:rFonts w:hint="eastAsia" w:ascii="仿宋_GB2312" w:hAnsi="仿宋" w:eastAsia="仿宋_GB2312"/>
          <w:color w:val="333333"/>
          <w:sz w:val="32"/>
          <w:szCs w:val="32"/>
        </w:rPr>
        <w:t>与</w:t>
      </w:r>
      <w:r>
        <w:rPr>
          <w:rFonts w:hint="eastAsia" w:ascii="仿宋_GB2312" w:hAnsi="仿宋" w:eastAsia="仿宋_GB2312"/>
          <w:color w:val="333333"/>
          <w:sz w:val="32"/>
          <w:szCs w:val="32"/>
          <w:lang w:val="en-US" w:eastAsia="zh-CN"/>
        </w:rPr>
        <w:t>2023</w:t>
      </w:r>
      <w:r>
        <w:rPr>
          <w:rFonts w:hint="eastAsia" w:ascii="仿宋_GB2312" w:hAnsi="仿宋" w:eastAsia="仿宋_GB2312"/>
          <w:color w:val="333333"/>
          <w:sz w:val="32"/>
          <w:szCs w:val="32"/>
        </w:rPr>
        <w:t>年预算</w:t>
      </w:r>
      <w:r>
        <w:rPr>
          <w:rFonts w:hint="eastAsia" w:ascii="仿宋_GB2312" w:hAnsi="仿宋" w:eastAsia="仿宋_GB2312"/>
          <w:color w:val="333333"/>
          <w:sz w:val="32"/>
          <w:szCs w:val="32"/>
          <w:lang w:eastAsia="zh-CN"/>
        </w:rPr>
        <w:t>编制</w:t>
      </w:r>
      <w:r>
        <w:rPr>
          <w:rFonts w:hint="eastAsia" w:ascii="仿宋_GB2312" w:hAnsi="仿宋" w:eastAsia="仿宋_GB2312"/>
          <w:color w:val="333333"/>
          <w:sz w:val="32"/>
          <w:szCs w:val="32"/>
        </w:rPr>
        <w:t>实行“同申报、同审核、同批复”，绩效目标未申报和审核没通过的不得纳入项目库和安排预算；二是拓宽绩效目标管理的覆盖面，</w:t>
      </w:r>
      <w:r>
        <w:rPr>
          <w:rFonts w:hint="eastAsia" w:ascii="仿宋_GB2312" w:hAnsi="仿宋" w:eastAsia="仿宋_GB2312"/>
          <w:color w:val="333333"/>
          <w:sz w:val="32"/>
          <w:szCs w:val="32"/>
          <w:lang w:val="en-US" w:eastAsia="zh-CN"/>
        </w:rPr>
        <w:t>2023年全县</w:t>
      </w:r>
      <w:r>
        <w:rPr>
          <w:rFonts w:hint="eastAsia" w:ascii="仿宋_GB2312" w:hAnsi="仿宋" w:eastAsia="仿宋_GB2312"/>
          <w:color w:val="333333"/>
          <w:sz w:val="32"/>
          <w:szCs w:val="32"/>
          <w:lang w:eastAsia="zh-CN"/>
        </w:rPr>
        <w:t>所有行政事业预算单位</w:t>
      </w:r>
      <w:r>
        <w:rPr>
          <w:rFonts w:hint="eastAsia" w:ascii="仿宋_GB2312" w:hAnsi="仿宋" w:eastAsia="仿宋_GB2312"/>
          <w:color w:val="333333"/>
          <w:sz w:val="32"/>
          <w:szCs w:val="32"/>
        </w:rPr>
        <w:t>的部门整体支出</w:t>
      </w:r>
      <w:r>
        <w:rPr>
          <w:rFonts w:hint="eastAsia" w:ascii="仿宋_GB2312" w:hAnsi="仿宋" w:eastAsia="仿宋_GB2312"/>
          <w:color w:val="333333"/>
          <w:sz w:val="32"/>
          <w:szCs w:val="32"/>
          <w:lang w:eastAsia="zh-CN"/>
        </w:rPr>
        <w:t>、</w:t>
      </w:r>
      <w:r>
        <w:rPr>
          <w:rFonts w:hint="eastAsia" w:ascii="仿宋_GB2312" w:hAnsi="仿宋" w:eastAsia="仿宋_GB2312"/>
          <w:color w:val="333333"/>
          <w:sz w:val="32"/>
          <w:szCs w:val="32"/>
        </w:rPr>
        <w:t>县本级安排的专项资金</w:t>
      </w:r>
      <w:r>
        <w:rPr>
          <w:rFonts w:hint="eastAsia" w:ascii="仿宋_GB2312" w:hAnsi="仿宋" w:eastAsia="仿宋_GB2312"/>
          <w:color w:val="333333"/>
          <w:sz w:val="32"/>
          <w:szCs w:val="32"/>
          <w:lang w:val="en-US" w:eastAsia="zh-CN"/>
        </w:rPr>
        <w:t>以及统筹整合安排的乡村振兴补助资金</w:t>
      </w:r>
      <w:r>
        <w:rPr>
          <w:rFonts w:hint="eastAsia" w:ascii="仿宋_GB2312" w:hAnsi="仿宋" w:eastAsia="仿宋_GB2312"/>
          <w:color w:val="333333"/>
          <w:sz w:val="32"/>
          <w:szCs w:val="32"/>
        </w:rPr>
        <w:t>全部</w:t>
      </w:r>
      <w:r>
        <w:rPr>
          <w:rFonts w:hint="eastAsia" w:ascii="仿宋_GB2312" w:hAnsi="仿宋" w:eastAsia="仿宋_GB2312"/>
          <w:color w:val="333333"/>
          <w:sz w:val="32"/>
          <w:szCs w:val="32"/>
          <w:lang w:eastAsia="zh-CN"/>
        </w:rPr>
        <w:t>按要求</w:t>
      </w:r>
      <w:r>
        <w:rPr>
          <w:rFonts w:hint="eastAsia" w:ascii="仿宋_GB2312" w:hAnsi="仿宋" w:eastAsia="仿宋_GB2312"/>
          <w:color w:val="333333"/>
          <w:sz w:val="32"/>
          <w:szCs w:val="32"/>
        </w:rPr>
        <w:t>申报绩效目标</w:t>
      </w:r>
      <w:r>
        <w:rPr>
          <w:rFonts w:hint="eastAsia" w:ascii="仿宋_GB2312" w:hAnsi="仿宋" w:eastAsia="仿宋_GB2312"/>
          <w:color w:val="333333"/>
          <w:sz w:val="32"/>
          <w:szCs w:val="32"/>
          <w:lang w:eastAsia="zh-CN"/>
        </w:rPr>
        <w:t>，做到县级一般预算公共支出及政府性基金全覆盖</w:t>
      </w:r>
      <w:r>
        <w:rPr>
          <w:rFonts w:hint="eastAsia" w:ascii="仿宋_GB2312" w:hAnsi="仿宋" w:eastAsia="仿宋_GB2312"/>
          <w:color w:val="333333"/>
          <w:sz w:val="32"/>
          <w:szCs w:val="32"/>
        </w:rPr>
        <w:t>;三是认真分解细化各项工作要求，结合单位和部门实际情况，科学合理设置各项指标，从产出、成本，经济效益、社会效益、生态效益、可持续影响和服务对象满意度等方面开展绩效目标填报。四是加强绩效目标的审核，对各单位申报的绩效目标进行认真审核和评比，绩效目标管理好的单位，从项目安排和资金方面给予支持和奖励。绩效目标管理不符合要求的项目支出，不予安排预算。</w:t>
      </w:r>
    </w:p>
    <w:p w14:paraId="4690DF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4" w:firstLineChars="300"/>
        <w:textAlignment w:val="auto"/>
        <w:rPr>
          <w:rFonts w:ascii="仿宋" w:hAnsi="仿宋" w:eastAsia="仿宋" w:cs="仿宋"/>
          <w:sz w:val="32"/>
          <w:szCs w:val="32"/>
        </w:rPr>
      </w:pPr>
      <w:r>
        <w:rPr>
          <w:rFonts w:hint="eastAsia" w:ascii="仿宋_GB2312" w:eastAsia="仿宋_GB2312"/>
          <w:b/>
          <w:sz w:val="32"/>
          <w:szCs w:val="32"/>
        </w:rPr>
        <w:t>（五）</w:t>
      </w:r>
      <w:r>
        <w:rPr>
          <w:rFonts w:hint="eastAsia" w:ascii="仿宋_GB2312" w:eastAsia="仿宋_GB2312"/>
          <w:b/>
          <w:sz w:val="32"/>
          <w:szCs w:val="32"/>
          <w:lang w:eastAsia="zh-CN"/>
        </w:rPr>
        <w:t>持续</w:t>
      </w:r>
      <w:r>
        <w:rPr>
          <w:rFonts w:hint="eastAsia" w:ascii="仿宋_GB2312" w:eastAsia="仿宋_GB2312"/>
          <w:b/>
          <w:sz w:val="32"/>
          <w:szCs w:val="32"/>
        </w:rPr>
        <w:t>开展绩效运行跟踪监控管理</w:t>
      </w:r>
      <w:r>
        <w:rPr>
          <w:rFonts w:hint="eastAsia" w:ascii="仿宋_GB2312" w:hAnsi="仿宋" w:eastAsia="仿宋_GB2312"/>
          <w:b/>
          <w:sz w:val="32"/>
          <w:szCs w:val="32"/>
        </w:rPr>
        <w:t>。</w:t>
      </w:r>
      <w:r>
        <w:rPr>
          <w:rFonts w:hint="eastAsia" w:ascii="仿宋_GB2312" w:hAnsi="仿宋" w:eastAsia="仿宋_GB2312"/>
          <w:sz w:val="32"/>
          <w:szCs w:val="32"/>
          <w:lang w:eastAsia="zh-CN"/>
        </w:rPr>
        <w:t>一</w:t>
      </w:r>
      <w:r>
        <w:rPr>
          <w:rFonts w:hint="eastAsia" w:ascii="仿宋_GB2312" w:hAnsi="仿宋" w:eastAsia="仿宋_GB2312"/>
          <w:sz w:val="32"/>
          <w:szCs w:val="32"/>
        </w:rPr>
        <w:t>是开展日常督查。</w:t>
      </w:r>
      <w:r>
        <w:rPr>
          <w:rFonts w:hint="eastAsia" w:ascii="仿宋_GB2312" w:hAnsi="仿宋" w:eastAsia="仿宋_GB2312"/>
          <w:sz w:val="32"/>
          <w:szCs w:val="32"/>
          <w:lang w:eastAsia="zh-CN"/>
        </w:rPr>
        <w:t>预算</w:t>
      </w:r>
      <w:r>
        <w:rPr>
          <w:rFonts w:hint="eastAsia" w:ascii="仿宋_GB2312" w:hAnsi="仿宋" w:eastAsia="仿宋_GB2312"/>
          <w:sz w:val="32"/>
          <w:szCs w:val="32"/>
        </w:rPr>
        <w:t>、国库</w:t>
      </w:r>
      <w:r>
        <w:rPr>
          <w:rFonts w:hint="eastAsia" w:ascii="仿宋_GB2312" w:hAnsi="仿宋" w:eastAsia="仿宋_GB2312"/>
          <w:sz w:val="32"/>
          <w:szCs w:val="32"/>
          <w:lang w:eastAsia="zh-CN"/>
        </w:rPr>
        <w:t>、绩效</w:t>
      </w:r>
      <w:r>
        <w:rPr>
          <w:rFonts w:hint="eastAsia" w:ascii="仿宋_GB2312" w:hAnsi="仿宋" w:eastAsia="仿宋_GB2312"/>
          <w:sz w:val="32"/>
          <w:szCs w:val="32"/>
        </w:rPr>
        <w:t>和归口专业股室等以预防为主、不断改进资金安全运行督查机制，定期不定期地对各乡镇财政和县直部门单位支出状况进行跟踪监督，发现问题及时提出整改意见，并责成整改到位。</w:t>
      </w:r>
      <w:r>
        <w:rPr>
          <w:rFonts w:hint="eastAsia" w:ascii="仿宋_GB2312" w:hAnsi="仿宋" w:eastAsia="仿宋_GB2312"/>
          <w:sz w:val="32"/>
          <w:szCs w:val="32"/>
          <w:lang w:eastAsia="zh-CN"/>
        </w:rPr>
        <w:t>二</w:t>
      </w:r>
      <w:r>
        <w:rPr>
          <w:rFonts w:hint="eastAsia" w:ascii="仿宋_GB2312" w:hAnsi="仿宋" w:eastAsia="仿宋_GB2312"/>
          <w:sz w:val="32"/>
          <w:szCs w:val="32"/>
        </w:rPr>
        <w:t>是引入</w:t>
      </w:r>
      <w:r>
        <w:rPr>
          <w:rFonts w:hint="eastAsia" w:ascii="仿宋_GB2312" w:hAnsi="仿宋" w:eastAsia="仿宋_GB2312" w:cs="Arial"/>
          <w:sz w:val="32"/>
          <w:szCs w:val="32"/>
        </w:rPr>
        <w:t>社会监督。引入社会监督机制</w:t>
      </w:r>
      <w:r>
        <w:rPr>
          <w:rFonts w:hint="eastAsia" w:ascii="仿宋_GB2312" w:hAnsi="仿宋" w:eastAsia="仿宋_GB2312"/>
          <w:sz w:val="32"/>
          <w:szCs w:val="32"/>
        </w:rPr>
        <w:t>,将财务公开，项目资金公示。及时将项目立项、资金来源、金额及项目的实施范围、责任人、受益人等情况进行公示，对公示中有异议的，予以一一核查，避免暗箱操作。</w:t>
      </w:r>
      <w:r>
        <w:rPr>
          <w:rFonts w:hint="eastAsia" w:ascii="仿宋_GB2312" w:hAnsi="仿宋" w:eastAsia="仿宋_GB2312"/>
          <w:sz w:val="32"/>
          <w:szCs w:val="32"/>
          <w:lang w:eastAsia="zh-CN"/>
        </w:rPr>
        <w:t>四是搞好乡村振兴资金的专项监督检查，</w:t>
      </w:r>
      <w:r>
        <w:rPr>
          <w:rFonts w:hint="eastAsia" w:ascii="仿宋" w:hAnsi="仿宋" w:eastAsia="仿宋" w:cs="仿宋"/>
          <w:sz w:val="32"/>
          <w:szCs w:val="32"/>
        </w:rPr>
        <w:t>严格落实项目资金“一月一报表、一月一督查、一月一通报、一月一讲评</w:t>
      </w:r>
      <w:r>
        <w:rPr>
          <w:rFonts w:ascii="仿宋" w:hAnsi="仿宋" w:eastAsia="仿宋" w:cs="仿宋"/>
          <w:sz w:val="32"/>
          <w:szCs w:val="32"/>
        </w:rPr>
        <w:t>”</w:t>
      </w:r>
      <w:r>
        <w:rPr>
          <w:rFonts w:hint="eastAsia" w:ascii="仿宋" w:hAnsi="仿宋" w:eastAsia="仿宋" w:cs="仿宋"/>
          <w:sz w:val="32"/>
          <w:szCs w:val="32"/>
        </w:rPr>
        <w:t>的制度要求，从财政、审计、乡村振兴抽调干部成立资金项目核查工作小组，每月对项目单位资金支付进度和项目完成情况进行检查排名并通报全县，对每次检查排名靠后的由联点县级领导找单位一把手、分管领导等相关责任人约谈，并扣减绩效考核分数；对累计两次以上排位后三名的单位，由纪委对相关责任人进行戒免谈话；对不能完成阶段性支出任务的相关负责人，由县委给予组织和纪律处分，直至免职。</w:t>
      </w:r>
    </w:p>
    <w:p w14:paraId="4C07A2D3">
      <w:pPr>
        <w:spacing w:line="360" w:lineRule="auto"/>
        <w:ind w:firstLine="659" w:firstLineChars="205"/>
        <w:rPr>
          <w:rFonts w:hint="eastAsia" w:ascii="仿宋_GB2312" w:hAnsi="仿宋_GB2312" w:eastAsia="仿宋_GB2312" w:cs="仿宋_GB2312"/>
          <w:color w:val="222222"/>
          <w:kern w:val="0"/>
          <w:sz w:val="32"/>
          <w:szCs w:val="32"/>
        </w:rPr>
      </w:pPr>
      <w:r>
        <w:rPr>
          <w:rFonts w:hint="eastAsia" w:ascii="仿宋_GB2312" w:hAnsi="仿宋" w:eastAsia="仿宋_GB2312"/>
          <w:b/>
          <w:sz w:val="32"/>
          <w:szCs w:val="32"/>
        </w:rPr>
        <w:t>（六）</w:t>
      </w:r>
      <w:r>
        <w:rPr>
          <w:rFonts w:hint="eastAsia" w:ascii="仿宋_GB2312" w:eastAsia="仿宋_GB2312"/>
          <w:b/>
          <w:sz w:val="32"/>
          <w:szCs w:val="32"/>
        </w:rPr>
        <w:t>积极组织实施预算绩效评价工作。</w:t>
      </w:r>
    </w:p>
    <w:p w14:paraId="27C83393">
      <w:pPr>
        <w:keepNext w:val="0"/>
        <w:keepLines w:val="0"/>
        <w:pageBreakBefore w:val="0"/>
        <w:widowControl w:val="0"/>
        <w:kinsoku/>
        <w:wordWrap/>
        <w:overflowPunct/>
        <w:topLinePunct w:val="0"/>
        <w:autoSpaceDN/>
        <w:bidi w:val="0"/>
        <w:adjustRightInd/>
        <w:snapToGrid/>
        <w:spacing w:line="560" w:lineRule="exact"/>
        <w:ind w:firstLine="470" w:firstLineChars="147"/>
        <w:textAlignment w:val="auto"/>
        <w:rPr>
          <w:rFonts w:hint="eastAsia" w:ascii="仿宋_GB2312" w:hAnsi="仿宋_GB2312" w:eastAsia="仿宋_GB2312" w:cs="宋体"/>
          <w:color w:val="222222"/>
          <w:kern w:val="0"/>
          <w:sz w:val="32"/>
          <w:szCs w:val="28"/>
        </w:rPr>
      </w:pPr>
      <w:r>
        <w:rPr>
          <w:rFonts w:hint="eastAsia" w:ascii="仿宋_GB2312" w:hAnsi="仿宋_GB2312" w:eastAsia="仿宋_GB2312" w:cs="宋体"/>
          <w:color w:val="222222"/>
          <w:kern w:val="0"/>
          <w:sz w:val="32"/>
          <w:szCs w:val="28"/>
          <w:lang w:eastAsia="zh-CN"/>
        </w:rPr>
        <w:t>一</w:t>
      </w:r>
      <w:r>
        <w:rPr>
          <w:rFonts w:hint="eastAsia" w:ascii="仿宋_GB2312" w:hAnsi="仿宋_GB2312" w:eastAsia="仿宋_GB2312" w:cs="宋体"/>
          <w:color w:val="222222"/>
          <w:kern w:val="0"/>
          <w:sz w:val="32"/>
          <w:szCs w:val="28"/>
        </w:rPr>
        <w:t>是开展</w:t>
      </w:r>
      <w:r>
        <w:rPr>
          <w:rFonts w:hint="eastAsia" w:ascii="仿宋_GB2312" w:hAnsi="仿宋_GB2312" w:eastAsia="仿宋_GB2312" w:cs="宋体"/>
          <w:color w:val="222222"/>
          <w:kern w:val="0"/>
          <w:sz w:val="32"/>
          <w:szCs w:val="28"/>
          <w:lang w:eastAsia="zh-CN"/>
        </w:rPr>
        <w:t>乡村振兴补助资金和县本级安排</w:t>
      </w:r>
      <w:r>
        <w:rPr>
          <w:rFonts w:hint="eastAsia" w:ascii="仿宋_GB2312" w:hAnsi="仿宋_GB2312" w:eastAsia="仿宋_GB2312" w:cs="宋体"/>
          <w:color w:val="222222"/>
          <w:kern w:val="0"/>
          <w:sz w:val="32"/>
          <w:szCs w:val="28"/>
        </w:rPr>
        <w:t>专项资金</w:t>
      </w:r>
      <w:r>
        <w:rPr>
          <w:rFonts w:hint="eastAsia" w:ascii="仿宋_GB2312" w:hAnsi="仿宋_GB2312" w:eastAsia="仿宋_GB2312" w:cs="宋体"/>
          <w:color w:val="222222"/>
          <w:kern w:val="0"/>
          <w:sz w:val="32"/>
          <w:szCs w:val="28"/>
          <w:lang w:eastAsia="zh-CN"/>
        </w:rPr>
        <w:t>的</w:t>
      </w:r>
      <w:r>
        <w:rPr>
          <w:rFonts w:hint="eastAsia" w:ascii="仿宋_GB2312" w:hAnsi="仿宋_GB2312" w:eastAsia="仿宋_GB2312" w:cs="宋体"/>
          <w:color w:val="222222"/>
          <w:kern w:val="0"/>
          <w:sz w:val="32"/>
          <w:szCs w:val="28"/>
        </w:rPr>
        <w:t>绩效自评。</w:t>
      </w:r>
      <w:r>
        <w:rPr>
          <w:rFonts w:hint="eastAsia" w:ascii="仿宋_GB2312" w:hAnsi="仿宋_GB2312" w:eastAsia="仿宋_GB2312" w:cs="宋体"/>
          <w:color w:val="222222"/>
          <w:kern w:val="0"/>
          <w:sz w:val="32"/>
          <w:szCs w:val="28"/>
          <w:lang w:eastAsia="zh-CN"/>
        </w:rPr>
        <w:t>组织</w:t>
      </w:r>
      <w:r>
        <w:rPr>
          <w:rFonts w:hint="eastAsia" w:ascii="仿宋_GB2312" w:hAnsi="仿宋_GB2312" w:eastAsia="仿宋_GB2312" w:cs="宋体"/>
          <w:color w:val="222222"/>
          <w:kern w:val="0"/>
          <w:sz w:val="32"/>
          <w:szCs w:val="28"/>
        </w:rPr>
        <w:t>管理使用</w:t>
      </w:r>
      <w:r>
        <w:rPr>
          <w:rFonts w:hint="eastAsia" w:ascii="仿宋_GB2312" w:hAnsi="仿宋_GB2312" w:eastAsia="仿宋_GB2312" w:cs="宋体"/>
          <w:color w:val="222222"/>
          <w:kern w:val="0"/>
          <w:sz w:val="32"/>
          <w:szCs w:val="28"/>
          <w:lang w:eastAsia="zh-CN"/>
        </w:rPr>
        <w:t>乡村振兴补助资金和</w:t>
      </w:r>
      <w:r>
        <w:rPr>
          <w:rFonts w:hint="eastAsia" w:ascii="仿宋_GB2312" w:hAnsi="仿宋_GB2312" w:eastAsia="仿宋_GB2312" w:cs="宋体"/>
          <w:color w:val="222222"/>
          <w:kern w:val="0"/>
          <w:sz w:val="32"/>
          <w:szCs w:val="28"/>
        </w:rPr>
        <w:t>专项资金的单位部门</w:t>
      </w:r>
      <w:r>
        <w:rPr>
          <w:rFonts w:hint="eastAsia" w:ascii="仿宋_GB2312" w:hAnsi="仿宋" w:eastAsia="仿宋_GB2312"/>
          <w:sz w:val="32"/>
          <w:szCs w:val="32"/>
        </w:rPr>
        <w:t>开展绩效自评，并及时报送财政支出绩效评价自评报告，重点对绩效状况、支出项目、支出项目数据波动等情况进行绩效评估分析。</w:t>
      </w:r>
      <w:r>
        <w:rPr>
          <w:rFonts w:hint="eastAsia" w:ascii="仿宋_GB2312" w:hAnsi="仿宋" w:eastAsia="仿宋_GB2312"/>
          <w:sz w:val="32"/>
          <w:szCs w:val="32"/>
          <w:lang w:eastAsia="zh-CN"/>
        </w:rPr>
        <w:t>二</w:t>
      </w:r>
      <w:r>
        <w:rPr>
          <w:rFonts w:hint="eastAsia" w:ascii="仿宋_GB2312" w:hAnsi="仿宋" w:eastAsia="仿宋_GB2312"/>
          <w:sz w:val="32"/>
          <w:szCs w:val="32"/>
        </w:rPr>
        <w:t>是开展单位部门整体支出绩效自评。为综合反映部门单位整体财政资金支出的绩效情况，</w:t>
      </w:r>
      <w:r>
        <w:rPr>
          <w:rFonts w:hint="eastAsia" w:ascii="仿宋_GB2312" w:eastAsia="仿宋_GB2312"/>
          <w:sz w:val="32"/>
          <w:szCs w:val="32"/>
          <w:lang w:eastAsia="zh-CN"/>
        </w:rPr>
        <w:t>所有</w:t>
      </w:r>
      <w:r>
        <w:rPr>
          <w:rFonts w:hint="eastAsia" w:ascii="仿宋_GB2312" w:eastAsia="仿宋_GB2312"/>
          <w:sz w:val="32"/>
          <w:szCs w:val="32"/>
        </w:rPr>
        <w:t>部门单位</w:t>
      </w:r>
      <w:r>
        <w:rPr>
          <w:rFonts w:hint="eastAsia" w:ascii="仿宋_GB2312" w:eastAsia="仿宋_GB2312"/>
          <w:sz w:val="32"/>
          <w:szCs w:val="32"/>
          <w:lang w:eastAsia="zh-CN"/>
        </w:rPr>
        <w:t>均</w:t>
      </w:r>
      <w:r>
        <w:rPr>
          <w:rFonts w:hint="eastAsia" w:ascii="仿宋_GB2312" w:eastAsia="仿宋_GB2312"/>
          <w:sz w:val="32"/>
          <w:szCs w:val="32"/>
        </w:rPr>
        <w:t>对20</w:t>
      </w:r>
      <w:r>
        <w:rPr>
          <w:rFonts w:hint="eastAsia" w:ascii="仿宋_GB2312" w:eastAsia="仿宋_GB2312"/>
          <w:sz w:val="32"/>
          <w:szCs w:val="32"/>
          <w:lang w:val="en-US" w:eastAsia="zh-CN"/>
        </w:rPr>
        <w:t>23</w:t>
      </w:r>
      <w:r>
        <w:rPr>
          <w:rFonts w:hint="eastAsia" w:ascii="仿宋_GB2312" w:eastAsia="仿宋_GB2312"/>
          <w:sz w:val="32"/>
          <w:szCs w:val="32"/>
        </w:rPr>
        <w:t>年度本单位基本支出、三公经费、项目支出和厉行节约情况、单位预算配置、履职效益、预算管理、职责履行、预算执行等方面的执行情况及其效果进行了客观分析评价并提交了自评报告书。</w:t>
      </w:r>
      <w:r>
        <w:rPr>
          <w:rFonts w:hint="eastAsia" w:ascii="仿宋_GB2312" w:hAnsi="仿宋_GB2312" w:eastAsia="仿宋_GB2312" w:cs="宋体"/>
          <w:color w:val="222222"/>
          <w:kern w:val="0"/>
          <w:sz w:val="32"/>
          <w:szCs w:val="28"/>
        </w:rPr>
        <w:t xml:space="preserve"> </w:t>
      </w:r>
    </w:p>
    <w:p w14:paraId="6B03FE3F">
      <w:pPr>
        <w:keepNext w:val="0"/>
        <w:keepLines w:val="0"/>
        <w:pageBreakBefore w:val="0"/>
        <w:widowControl w:val="0"/>
        <w:kinsoku/>
        <w:wordWrap/>
        <w:overflowPunct/>
        <w:topLinePunct w:val="0"/>
        <w:autoSpaceDN/>
        <w:bidi w:val="0"/>
        <w:adjustRightInd/>
        <w:snapToGrid/>
        <w:spacing w:line="560" w:lineRule="exact"/>
        <w:ind w:firstLine="472" w:firstLineChars="147"/>
        <w:textAlignment w:val="auto"/>
        <w:rPr>
          <w:rFonts w:hint="eastAsia" w:ascii="仿宋_GB2312" w:hAnsi="仿宋_GB2312" w:eastAsia="仿宋_GB2312" w:cs="宋体"/>
          <w:color w:val="222222"/>
          <w:kern w:val="0"/>
          <w:sz w:val="32"/>
          <w:szCs w:val="28"/>
        </w:rPr>
      </w:pPr>
      <w:r>
        <w:rPr>
          <w:rFonts w:hint="eastAsia" w:ascii="仿宋_GB2312" w:hAnsi="仿宋" w:eastAsia="仿宋_GB2312"/>
          <w:b/>
          <w:sz w:val="32"/>
          <w:szCs w:val="32"/>
        </w:rPr>
        <w:t>（七）进一步强化绩效评价结果应用。</w:t>
      </w:r>
    </w:p>
    <w:p w14:paraId="14588E3A">
      <w:pPr>
        <w:keepNext w:val="0"/>
        <w:keepLines w:val="0"/>
        <w:pageBreakBefore w:val="0"/>
        <w:widowControl w:val="0"/>
        <w:kinsoku/>
        <w:wordWrap/>
        <w:overflowPunct/>
        <w:topLinePunct w:val="0"/>
        <w:autoSpaceDN/>
        <w:bidi w:val="0"/>
        <w:adjustRightInd/>
        <w:snapToGrid/>
        <w:spacing w:line="560" w:lineRule="exact"/>
        <w:ind w:firstLine="627" w:firstLineChars="196"/>
        <w:textAlignment w:val="auto"/>
        <w:rPr>
          <w:rFonts w:hint="eastAsia" w:ascii="仿宋_GB2312" w:hAnsi="仿宋" w:eastAsia="仿宋_GB2312" w:cs="Arial"/>
          <w:sz w:val="32"/>
          <w:szCs w:val="32"/>
        </w:rPr>
      </w:pPr>
      <w:r>
        <w:rPr>
          <w:rFonts w:hint="eastAsia" w:ascii="仿宋_GB2312" w:hAnsi="仿宋" w:eastAsia="仿宋_GB2312" w:cs="Arial"/>
          <w:sz w:val="32"/>
          <w:szCs w:val="32"/>
        </w:rPr>
        <w:t>一是与专项资金分配相结合</w:t>
      </w:r>
      <w:r>
        <w:rPr>
          <w:rFonts w:hint="eastAsia" w:ascii="仿宋_GB2312" w:hAnsi="仿宋" w:eastAsia="仿宋_GB2312" w:cs="Arial"/>
          <w:b/>
          <w:sz w:val="32"/>
          <w:szCs w:val="32"/>
        </w:rPr>
        <w:t>。</w:t>
      </w:r>
      <w:r>
        <w:rPr>
          <w:rFonts w:hint="eastAsia" w:ascii="仿宋_GB2312" w:hAnsi="仿宋" w:eastAsia="仿宋_GB2312" w:cs="Arial"/>
          <w:sz w:val="32"/>
          <w:szCs w:val="32"/>
        </w:rPr>
        <w:t>建立评价结果与预算安排挂钩制度，将评价结果与预算编制有机结合，把绩效评价结果作为下年度财政专项资金预算安排的重要依据。</w:t>
      </w:r>
      <w:r>
        <w:rPr>
          <w:rFonts w:hint="eastAsia" w:ascii="仿宋_GB2312" w:hAnsi="仿宋_GB2312" w:eastAsia="仿宋_GB2312" w:cs="仿宋_GB2312"/>
          <w:b w:val="0"/>
          <w:bCs w:val="0"/>
          <w:color w:val="auto"/>
          <w:spacing w:val="-8"/>
          <w:sz w:val="32"/>
          <w:szCs w:val="32"/>
          <w:highlight w:val="none"/>
          <w:lang w:val="en-US" w:eastAsia="zh-CN"/>
        </w:rPr>
        <w:t>对绩效评价结果评级为差或较差的，调减项目预算额度甚至取消安排项目预算；对违规违纪及资金使用滞后、结余较多的项目，按比例核减下年度资金分配额，结余资金数额巨大又无法使用的全部收回；对挤占挪用、虚报冒领的项目按违纪违规金额等额核减，并责令限期改正、归还原渠道。</w:t>
      </w:r>
      <w:r>
        <w:rPr>
          <w:rFonts w:hint="eastAsia" w:ascii="仿宋_GB2312" w:hAnsi="仿宋" w:eastAsia="仿宋_GB2312" w:cs="Arial"/>
          <w:sz w:val="32"/>
          <w:szCs w:val="32"/>
        </w:rPr>
        <w:t>二是与</w:t>
      </w:r>
      <w:r>
        <w:rPr>
          <w:rFonts w:hint="eastAsia" w:ascii="仿宋_GB2312" w:hAnsi="仿宋" w:eastAsia="仿宋_GB2312" w:cs="Arial"/>
          <w:sz w:val="32"/>
          <w:szCs w:val="32"/>
          <w:lang w:eastAsia="zh-CN"/>
        </w:rPr>
        <w:t>单位年度考核</w:t>
      </w:r>
      <w:r>
        <w:rPr>
          <w:rFonts w:hint="eastAsia" w:ascii="仿宋_GB2312" w:hAnsi="仿宋" w:eastAsia="仿宋_GB2312" w:cs="Arial"/>
          <w:sz w:val="32"/>
          <w:szCs w:val="32"/>
        </w:rPr>
        <w:t>相结合。</w:t>
      </w:r>
      <w:r>
        <w:rPr>
          <w:rFonts w:hint="eastAsia" w:ascii="仿宋_GB2312" w:eastAsia="仿宋_GB2312"/>
          <w:color w:val="222222"/>
          <w:kern w:val="0"/>
          <w:sz w:val="32"/>
          <w:szCs w:val="32"/>
        </w:rPr>
        <w:t>将预算绩效管理工作纳入各单位绩效文明考核范围，</w:t>
      </w:r>
      <w:r>
        <w:rPr>
          <w:rFonts w:hint="eastAsia" w:ascii="仿宋_GB2312" w:hAnsi="仿宋" w:eastAsia="仿宋_GB2312"/>
          <w:sz w:val="32"/>
          <w:szCs w:val="32"/>
          <w:lang w:eastAsia="zh-CN"/>
        </w:rPr>
        <w:t>与单位年终评先评优挂钩</w:t>
      </w:r>
      <w:r>
        <w:rPr>
          <w:rFonts w:hint="eastAsia" w:ascii="仿宋_GB2312" w:hAnsi="仿宋" w:eastAsia="仿宋_GB2312"/>
          <w:sz w:val="32"/>
          <w:szCs w:val="32"/>
        </w:rPr>
        <w:t>。三是与</w:t>
      </w:r>
      <w:r>
        <w:rPr>
          <w:rFonts w:hint="eastAsia" w:ascii="仿宋_GB2312" w:hAnsi="仿宋" w:eastAsia="仿宋_GB2312" w:cs="Arial"/>
          <w:sz w:val="32"/>
          <w:szCs w:val="32"/>
        </w:rPr>
        <w:t>预算编制和预算执行相结合。</w:t>
      </w:r>
      <w:r>
        <w:rPr>
          <w:rFonts w:hint="eastAsia" w:ascii="仿宋_GB2312" w:hAnsi="仿宋" w:eastAsia="仿宋_GB2312"/>
          <w:sz w:val="32"/>
          <w:szCs w:val="32"/>
        </w:rPr>
        <w:t>及时将支出绩效评价结果报送县乡人大、政府及有关部门作决策参考，查找预算编制中存在的问题，进一步加强和规范部门预算，改进财政预算编制，促进预算编制科学化精细化管理，进一步提高资金使用效益，规范财政收支管理。四是评价结果向社会公开。各单位将</w:t>
      </w:r>
      <w:r>
        <w:rPr>
          <w:rFonts w:hint="eastAsia" w:ascii="仿宋_GB2312" w:hAnsi="仿宋_GB2312" w:eastAsia="仿宋_GB2312" w:cs="宋体"/>
          <w:color w:val="222222"/>
          <w:kern w:val="0"/>
          <w:sz w:val="32"/>
          <w:szCs w:val="28"/>
        </w:rPr>
        <w:t>绩效评价结果在政府网站公开，自觉接受社会监督。</w:t>
      </w:r>
    </w:p>
    <w:p w14:paraId="3BB13302">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黑体" w:hAnsi="黑体" w:eastAsia="黑体" w:cs="黑体"/>
          <w:b/>
          <w:sz w:val="32"/>
          <w:szCs w:val="32"/>
        </w:rPr>
        <w:t>二、存在的主要问题</w:t>
      </w:r>
    </w:p>
    <w:p w14:paraId="2BCC7B03">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eastAsia="仿宋_GB2312"/>
          <w:sz w:val="32"/>
          <w:szCs w:val="32"/>
          <w:lang w:eastAsia="zh-CN"/>
        </w:rPr>
      </w:pPr>
      <w:r>
        <w:rPr>
          <w:rFonts w:hint="eastAsia" w:ascii="楷体_GB2312" w:hAnsi="黑体" w:eastAsia="楷体_GB2312"/>
          <w:b/>
          <w:color w:val="000000"/>
          <w:sz w:val="32"/>
          <w:szCs w:val="32"/>
        </w:rPr>
        <w:t>（一）</w:t>
      </w:r>
      <w:r>
        <w:rPr>
          <w:rFonts w:hint="eastAsia" w:ascii="楷体_GB2312" w:hAnsi="黑体" w:eastAsia="楷体_GB2312"/>
          <w:b w:val="0"/>
          <w:bCs/>
          <w:color w:val="000000"/>
          <w:sz w:val="32"/>
          <w:szCs w:val="32"/>
          <w:lang w:eastAsia="zh-CN"/>
        </w:rPr>
        <w:t>绩效理念还未完全形成。部分单位</w:t>
      </w:r>
      <w:r>
        <w:rPr>
          <w:rFonts w:hint="eastAsia" w:eastAsia="仿宋_GB2312"/>
          <w:sz w:val="32"/>
          <w:szCs w:val="32"/>
        </w:rPr>
        <w:t>绩效管理</w:t>
      </w:r>
      <w:r>
        <w:rPr>
          <w:rFonts w:hint="eastAsia" w:eastAsia="仿宋_GB2312"/>
          <w:sz w:val="32"/>
          <w:szCs w:val="32"/>
          <w:lang w:eastAsia="zh-CN"/>
        </w:rPr>
        <w:t>意识不强，重项目轻管理、重资金轻效益。同时绩效激励约束作用不强，绩效结果与预算安排和政策调整的挂钩机制尚未完全建立。</w:t>
      </w:r>
    </w:p>
    <w:p w14:paraId="789E43C2">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eastAsia="仿宋_GB2312"/>
          <w:b/>
          <w:bCs w:val="0"/>
          <w:sz w:val="32"/>
          <w:szCs w:val="32"/>
          <w:lang w:eastAsia="zh-CN"/>
        </w:rPr>
      </w:pPr>
      <w:r>
        <w:rPr>
          <w:rFonts w:hint="eastAsia" w:eastAsia="仿宋_GB2312"/>
          <w:b/>
          <w:bCs w:val="0"/>
          <w:sz w:val="32"/>
          <w:szCs w:val="32"/>
        </w:rPr>
        <w:t>（二）</w:t>
      </w:r>
      <w:r>
        <w:rPr>
          <w:rFonts w:hint="eastAsia" w:eastAsia="仿宋_GB2312"/>
          <w:b w:val="0"/>
          <w:bCs/>
          <w:sz w:val="32"/>
          <w:szCs w:val="32"/>
          <w:lang w:eastAsia="zh-CN"/>
        </w:rPr>
        <w:t>预算绩效管理的范围有待进一步扩大，特别是重大项目和政策的事前评估工作还刚起步，目前评估的范围还局限于债券资金的申报方面，尚未形成完善和成熟的模式。</w:t>
      </w:r>
    </w:p>
    <w:p w14:paraId="4ADC14D4">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eastAsia="仿宋_GB2312"/>
          <w:sz w:val="32"/>
          <w:szCs w:val="32"/>
        </w:rPr>
      </w:pPr>
      <w:r>
        <w:rPr>
          <w:rFonts w:hint="eastAsia" w:ascii="仿宋_GB2312" w:hAnsi="宋体" w:eastAsia="仿宋_GB2312" w:cs="宋体"/>
          <w:b/>
          <w:bCs w:val="0"/>
          <w:color w:val="000000"/>
          <w:kern w:val="0"/>
          <w:sz w:val="32"/>
          <w:szCs w:val="32"/>
        </w:rPr>
        <w:t>（三）</w:t>
      </w:r>
      <w:r>
        <w:rPr>
          <w:rFonts w:hint="eastAsia" w:eastAsia="仿宋_GB2312"/>
          <w:b w:val="0"/>
          <w:bCs/>
          <w:sz w:val="32"/>
          <w:szCs w:val="32"/>
        </w:rPr>
        <w:t>绩效评价结果</w:t>
      </w:r>
      <w:r>
        <w:rPr>
          <w:rFonts w:hint="eastAsia" w:eastAsia="仿宋_GB2312"/>
          <w:b w:val="0"/>
          <w:bCs/>
          <w:sz w:val="32"/>
          <w:szCs w:val="32"/>
          <w:lang w:eastAsia="zh-CN"/>
        </w:rPr>
        <w:t>应用的程度有待进一步提高</w:t>
      </w:r>
      <w:r>
        <w:rPr>
          <w:rFonts w:hint="eastAsia" w:eastAsia="仿宋_GB2312"/>
          <w:b w:val="0"/>
          <w:bCs/>
          <w:sz w:val="32"/>
          <w:szCs w:val="32"/>
        </w:rPr>
        <w:t>。</w:t>
      </w:r>
      <w:r>
        <w:rPr>
          <w:rFonts w:hint="eastAsia" w:eastAsia="仿宋_GB2312"/>
          <w:b w:val="0"/>
          <w:bCs/>
          <w:sz w:val="32"/>
          <w:szCs w:val="32"/>
          <w:lang w:eastAsia="zh-CN"/>
        </w:rPr>
        <w:t>尚未形成各类预算业务与绩效互为促进的有效融合机制，仍需探索建立将绩效因素在各项体制机制和具体预算管理流程完善过程中有效嵌入的工作机制。</w:t>
      </w:r>
    </w:p>
    <w:p w14:paraId="0A1BAE83">
      <w:pPr>
        <w:keepNext w:val="0"/>
        <w:keepLines w:val="0"/>
        <w:pageBreakBefore w:val="0"/>
        <w:widowControl w:val="0"/>
        <w:kinsoku/>
        <w:wordWrap/>
        <w:overflowPunct/>
        <w:topLinePunct w:val="0"/>
        <w:autoSpaceDN/>
        <w:bidi w:val="0"/>
        <w:adjustRightInd/>
        <w:snapToGrid/>
        <w:spacing w:line="560" w:lineRule="exact"/>
        <w:ind w:firstLine="675" w:firstLineChars="210"/>
        <w:jc w:val="left"/>
        <w:textAlignment w:val="auto"/>
        <w:rPr>
          <w:rFonts w:hint="eastAsia" w:ascii="黑体" w:hAnsi="黑体" w:eastAsia="黑体" w:cs="黑体"/>
          <w:b/>
          <w:bCs w:val="0"/>
          <w:color w:val="333333"/>
          <w:sz w:val="32"/>
          <w:szCs w:val="32"/>
        </w:rPr>
      </w:pPr>
      <w:r>
        <w:rPr>
          <w:rFonts w:hint="eastAsia" w:ascii="黑体" w:hAnsi="黑体" w:eastAsia="黑体" w:cs="黑体"/>
          <w:b/>
          <w:bCs w:val="0"/>
          <w:color w:val="333333"/>
          <w:sz w:val="32"/>
          <w:szCs w:val="32"/>
          <w:lang w:eastAsia="zh-CN"/>
        </w:rPr>
        <w:t>三</w:t>
      </w:r>
      <w:r>
        <w:rPr>
          <w:rFonts w:hint="eastAsia" w:ascii="黑体" w:hAnsi="黑体" w:eastAsia="黑体" w:cs="黑体"/>
          <w:b/>
          <w:bCs w:val="0"/>
          <w:color w:val="333333"/>
          <w:sz w:val="32"/>
          <w:szCs w:val="32"/>
        </w:rPr>
        <w:t>、下一步工作打算</w:t>
      </w:r>
    </w:p>
    <w:p w14:paraId="7C19AE62">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eastAsia="仿宋_GB2312"/>
          <w:sz w:val="32"/>
          <w:szCs w:val="32"/>
        </w:rPr>
      </w:pPr>
      <w:r>
        <w:rPr>
          <w:rFonts w:hint="eastAsia" w:ascii="仿宋_GB2312" w:eastAsia="仿宋_GB2312"/>
          <w:b/>
          <w:sz w:val="32"/>
          <w:szCs w:val="32"/>
        </w:rPr>
        <w:t>（一）</w:t>
      </w:r>
      <w:r>
        <w:rPr>
          <w:rFonts w:hint="eastAsia" w:ascii="仿宋_GB2312" w:eastAsia="仿宋_GB2312"/>
          <w:b w:val="0"/>
          <w:bCs/>
          <w:sz w:val="32"/>
          <w:szCs w:val="32"/>
        </w:rPr>
        <w:t>完善制度体系。一是</w:t>
      </w:r>
      <w:r>
        <w:rPr>
          <w:rFonts w:hint="eastAsia" w:ascii="仿宋_GB2312" w:eastAsia="仿宋_GB2312"/>
          <w:b w:val="0"/>
          <w:bCs/>
          <w:sz w:val="32"/>
          <w:szCs w:val="32"/>
          <w:lang w:eastAsia="zh-CN"/>
        </w:rPr>
        <w:t>进一步完善预算绩效管理的相关制度，</w:t>
      </w:r>
      <w:r>
        <w:rPr>
          <w:rFonts w:hint="eastAsia" w:eastAsia="仿宋_GB2312"/>
          <w:b w:val="0"/>
          <w:bCs/>
          <w:sz w:val="32"/>
          <w:szCs w:val="32"/>
        </w:rPr>
        <w:t>建立健全绩效问责机制，将其</w:t>
      </w:r>
      <w:r>
        <w:rPr>
          <w:rFonts w:eastAsia="仿宋_GB2312"/>
          <w:b w:val="0"/>
          <w:bCs/>
          <w:sz w:val="32"/>
          <w:szCs w:val="32"/>
        </w:rPr>
        <w:t>作为实施行政问责的重要依据，充分体现财政资金使用主体责任，形成“谁干事谁花钱，谁花钱谁担责”的权责机制</w:t>
      </w:r>
      <w:r>
        <w:rPr>
          <w:rFonts w:hint="eastAsia" w:eastAsia="仿宋_GB2312"/>
          <w:b w:val="0"/>
          <w:bCs/>
          <w:sz w:val="32"/>
          <w:szCs w:val="32"/>
        </w:rPr>
        <w:t>。二是进一步</w:t>
      </w:r>
      <w:r>
        <w:rPr>
          <w:rFonts w:hint="eastAsia" w:ascii="仿宋_GB2312" w:eastAsia="仿宋_GB2312"/>
          <w:b w:val="0"/>
          <w:bCs/>
          <w:sz w:val="32"/>
          <w:szCs w:val="32"/>
        </w:rPr>
        <w:t>完善指标体系。</w:t>
      </w:r>
      <w:r>
        <w:rPr>
          <w:rFonts w:hint="eastAsia" w:ascii="仿宋_GB2312" w:eastAsia="仿宋_GB2312"/>
          <w:sz w:val="32"/>
          <w:szCs w:val="32"/>
        </w:rPr>
        <w:t>建立和完善多层次、切实可行的绩效评价指标体系，</w:t>
      </w:r>
      <w:r>
        <w:rPr>
          <w:rFonts w:eastAsia="仿宋_GB2312"/>
          <w:sz w:val="32"/>
          <w:szCs w:val="32"/>
        </w:rPr>
        <w:t>加快绩效指标研究设计，尽快形成突出绩效特色，细化、量化的绩效指标</w:t>
      </w:r>
      <w:r>
        <w:rPr>
          <w:rFonts w:hint="eastAsia" w:eastAsia="仿宋_GB2312"/>
          <w:sz w:val="32"/>
          <w:szCs w:val="32"/>
        </w:rPr>
        <w:t>。</w:t>
      </w:r>
    </w:p>
    <w:p w14:paraId="544779E3">
      <w:pPr>
        <w:keepNext w:val="0"/>
        <w:keepLines w:val="0"/>
        <w:pageBreakBefore w:val="0"/>
        <w:widowControl w:val="0"/>
        <w:kinsoku/>
        <w:wordWrap/>
        <w:overflowPunct/>
        <w:topLinePunct w:val="0"/>
        <w:autoSpaceDN/>
        <w:bidi w:val="0"/>
        <w:adjustRightInd/>
        <w:snapToGrid/>
        <w:spacing w:line="560" w:lineRule="exact"/>
        <w:ind w:firstLine="472" w:firstLineChars="147"/>
        <w:textAlignment w:val="auto"/>
        <w:rPr>
          <w:rFonts w:hint="eastAsia" w:ascii="仿宋_GB2312" w:eastAsia="仿宋_GB2312"/>
          <w:b w:val="0"/>
          <w:bCs/>
          <w:sz w:val="32"/>
          <w:szCs w:val="32"/>
          <w:shd w:val="clear" w:color="auto" w:fill="FFFFFF"/>
        </w:rPr>
      </w:pPr>
      <w:r>
        <w:rPr>
          <w:rFonts w:hint="eastAsia" w:ascii="仿宋_GB2312" w:eastAsia="仿宋_GB2312"/>
          <w:b/>
          <w:sz w:val="32"/>
          <w:szCs w:val="32"/>
        </w:rPr>
        <w:t>（二）</w:t>
      </w:r>
      <w:r>
        <w:rPr>
          <w:rFonts w:hint="eastAsia" w:ascii="仿宋_GB2312" w:eastAsia="仿宋_GB2312"/>
          <w:b w:val="0"/>
          <w:bCs/>
          <w:sz w:val="32"/>
          <w:szCs w:val="32"/>
        </w:rPr>
        <w:t>扩大绩效</w:t>
      </w:r>
      <w:r>
        <w:rPr>
          <w:rFonts w:hint="eastAsia" w:ascii="仿宋_GB2312" w:eastAsia="仿宋_GB2312"/>
          <w:b w:val="0"/>
          <w:bCs/>
          <w:sz w:val="32"/>
          <w:szCs w:val="32"/>
          <w:lang w:eastAsia="zh-CN"/>
        </w:rPr>
        <w:t>管理覆盖面</w:t>
      </w:r>
      <w:r>
        <w:rPr>
          <w:rFonts w:hint="eastAsia" w:ascii="仿宋_GB2312" w:eastAsia="仿宋_GB2312"/>
          <w:b w:val="0"/>
          <w:bCs/>
          <w:sz w:val="32"/>
          <w:szCs w:val="32"/>
        </w:rPr>
        <w:t>。</w:t>
      </w:r>
      <w:r>
        <w:rPr>
          <w:rFonts w:hint="eastAsia" w:ascii="仿宋_GB2312" w:eastAsia="仿宋_GB2312"/>
          <w:b w:val="0"/>
          <w:bCs/>
          <w:sz w:val="32"/>
          <w:szCs w:val="32"/>
          <w:lang w:eastAsia="zh-CN"/>
        </w:rPr>
        <w:t>着眼短板，探索开展重大项目事前绩效评估工作，将事前评估结果做为预算资金分配、项目立项和政策出台参考依据和必要条件。全面总结一般预算、基金预算和社保基金预算绩效管理经验，</w:t>
      </w:r>
      <w:r>
        <w:rPr>
          <w:rFonts w:hint="eastAsia" w:ascii="仿宋_GB2312" w:eastAsia="仿宋_GB2312"/>
          <w:b w:val="0"/>
          <w:bCs/>
          <w:sz w:val="32"/>
          <w:szCs w:val="32"/>
          <w:shd w:val="clear" w:color="auto" w:fill="FFFFFF"/>
        </w:rPr>
        <w:t>将</w:t>
      </w:r>
      <w:r>
        <w:rPr>
          <w:rFonts w:hint="eastAsia" w:ascii="仿宋_GB2312" w:eastAsia="仿宋_GB2312"/>
          <w:b w:val="0"/>
          <w:bCs/>
          <w:sz w:val="32"/>
          <w:szCs w:val="32"/>
          <w:shd w:val="clear" w:color="auto" w:fill="FFFFFF"/>
          <w:lang w:eastAsia="zh-CN"/>
        </w:rPr>
        <w:t>直达资金、其他</w:t>
      </w:r>
      <w:r>
        <w:rPr>
          <w:rFonts w:hint="eastAsia" w:ascii="仿宋_GB2312" w:eastAsia="仿宋_GB2312"/>
          <w:b w:val="0"/>
          <w:bCs/>
          <w:sz w:val="32"/>
          <w:szCs w:val="32"/>
          <w:shd w:val="clear" w:color="auto" w:fill="FFFFFF"/>
        </w:rPr>
        <w:t>重大支出项目以及上级对下级转移支付项目全部纳入财政重点评价范围。</w:t>
      </w:r>
    </w:p>
    <w:p w14:paraId="6BE37030">
      <w:pPr>
        <w:keepNext w:val="0"/>
        <w:keepLines w:val="0"/>
        <w:pageBreakBefore w:val="0"/>
        <w:widowControl w:val="0"/>
        <w:kinsoku/>
        <w:wordWrap/>
        <w:overflowPunct/>
        <w:topLinePunct w:val="0"/>
        <w:autoSpaceDN/>
        <w:bidi w:val="0"/>
        <w:adjustRightInd/>
        <w:snapToGrid/>
        <w:spacing w:line="560" w:lineRule="exact"/>
        <w:ind w:firstLine="472" w:firstLineChars="147"/>
        <w:textAlignment w:val="auto"/>
        <w:rPr>
          <w:rFonts w:eastAsia="仿宋_GB2312"/>
          <w:sz w:val="32"/>
          <w:szCs w:val="32"/>
        </w:rPr>
      </w:pPr>
      <w:r>
        <w:rPr>
          <w:rFonts w:hint="eastAsia" w:ascii="仿宋_GB2312" w:eastAsia="仿宋_GB2312"/>
          <w:b/>
          <w:sz w:val="32"/>
          <w:szCs w:val="32"/>
        </w:rPr>
        <w:t>（三）</w:t>
      </w:r>
      <w:r>
        <w:rPr>
          <w:rFonts w:hint="eastAsia" w:ascii="楷体_GB2312" w:hAnsi="宋体" w:eastAsia="楷体_GB2312"/>
          <w:b w:val="0"/>
          <w:bCs/>
          <w:sz w:val="32"/>
          <w:szCs w:val="32"/>
        </w:rPr>
        <w:t>强化结果应用。</w:t>
      </w:r>
      <w:r>
        <w:rPr>
          <w:rFonts w:hint="eastAsia" w:eastAsia="仿宋_GB2312"/>
          <w:sz w:val="32"/>
          <w:szCs w:val="32"/>
        </w:rPr>
        <w:t>一是</w:t>
      </w:r>
      <w:r>
        <w:rPr>
          <w:rFonts w:eastAsia="仿宋_GB2312"/>
          <w:sz w:val="32"/>
          <w:szCs w:val="32"/>
        </w:rPr>
        <w:t>将绩效评价结果及时反馈给预算单位</w:t>
      </w:r>
      <w:r>
        <w:rPr>
          <w:rFonts w:hint="eastAsia" w:eastAsia="仿宋_GB2312"/>
          <w:sz w:val="32"/>
          <w:szCs w:val="32"/>
        </w:rPr>
        <w:t>，预算单位</w:t>
      </w:r>
      <w:r>
        <w:rPr>
          <w:rFonts w:eastAsia="仿宋_GB2312"/>
          <w:sz w:val="32"/>
          <w:szCs w:val="32"/>
        </w:rPr>
        <w:t>要根据绩效评价</w:t>
      </w:r>
      <w:r>
        <w:rPr>
          <w:rFonts w:hint="eastAsia" w:eastAsia="仿宋_GB2312"/>
          <w:sz w:val="32"/>
          <w:szCs w:val="32"/>
        </w:rPr>
        <w:t>结果所反映的问题，进一步</w:t>
      </w:r>
      <w:r>
        <w:rPr>
          <w:rFonts w:eastAsia="仿宋_GB2312"/>
          <w:sz w:val="32"/>
          <w:szCs w:val="32"/>
        </w:rPr>
        <w:t>完善管理制度，改进管理措施，提高管理水平</w:t>
      </w:r>
      <w:r>
        <w:rPr>
          <w:rFonts w:hint="eastAsia" w:eastAsia="仿宋_GB2312"/>
          <w:sz w:val="32"/>
          <w:szCs w:val="32"/>
        </w:rPr>
        <w:t>。二是增强评价结果与</w:t>
      </w:r>
      <w:r>
        <w:rPr>
          <w:rFonts w:eastAsia="仿宋_GB2312"/>
          <w:sz w:val="32"/>
          <w:szCs w:val="32"/>
        </w:rPr>
        <w:t>预算编制</w:t>
      </w:r>
      <w:r>
        <w:rPr>
          <w:rFonts w:hint="eastAsia" w:eastAsia="仿宋_GB2312"/>
          <w:sz w:val="32"/>
          <w:szCs w:val="32"/>
        </w:rPr>
        <w:t>结合的力度。财政部门要建立强硬的机制和措施将</w:t>
      </w:r>
      <w:r>
        <w:rPr>
          <w:rFonts w:eastAsia="仿宋_GB2312"/>
          <w:sz w:val="32"/>
          <w:szCs w:val="32"/>
        </w:rPr>
        <w:t>绩效评价结果</w:t>
      </w:r>
      <w:r>
        <w:rPr>
          <w:rFonts w:hint="eastAsia" w:eastAsia="仿宋_GB2312"/>
          <w:sz w:val="32"/>
          <w:szCs w:val="32"/>
        </w:rPr>
        <w:t>和</w:t>
      </w:r>
      <w:r>
        <w:rPr>
          <w:rFonts w:eastAsia="仿宋_GB2312"/>
          <w:sz w:val="32"/>
          <w:szCs w:val="32"/>
        </w:rPr>
        <w:t>以后年度预算</w:t>
      </w:r>
      <w:r>
        <w:rPr>
          <w:rFonts w:hint="eastAsia" w:eastAsia="仿宋_GB2312"/>
          <w:sz w:val="32"/>
          <w:szCs w:val="32"/>
        </w:rPr>
        <w:t>安排挂钩。三是建立绩效报告机制</w:t>
      </w:r>
      <w:r>
        <w:rPr>
          <w:rFonts w:hint="eastAsia" w:eastAsia="仿宋_GB2312"/>
          <w:b/>
          <w:sz w:val="32"/>
          <w:szCs w:val="32"/>
        </w:rPr>
        <w:t>。</w:t>
      </w:r>
      <w:r>
        <w:rPr>
          <w:rFonts w:hint="eastAsia" w:eastAsia="仿宋_GB2312"/>
          <w:sz w:val="32"/>
          <w:szCs w:val="32"/>
        </w:rPr>
        <w:t>乡镇财政所和县直预算单位定期向县财政部门提交预算绩效报告，说明预算绩效管理工作情况、财政支出绩效情况、存在的问题、纠正措施和下一步工作重点；县乡财政部门每年要向同级政府提交预算绩效报告，报告本级政府预算绩效管理综合情况、重点项目绩效目标完成情况，为政府决策提供参考。四是</w:t>
      </w:r>
      <w:r>
        <w:rPr>
          <w:rFonts w:eastAsia="仿宋_GB2312"/>
          <w:sz w:val="32"/>
          <w:szCs w:val="32"/>
        </w:rPr>
        <w:t>将绩效评价结果，尤其是一些社会关注度高、影响力大的民生项目和重点项目支出绩效情况，依法向社会公开，接受社会监督。</w:t>
      </w:r>
    </w:p>
    <w:p w14:paraId="450804D7">
      <w:pPr>
        <w:keepNext w:val="0"/>
        <w:keepLines w:val="0"/>
        <w:pageBreakBefore w:val="0"/>
        <w:widowControl w:val="0"/>
        <w:kinsoku/>
        <w:wordWrap/>
        <w:overflowPunct/>
        <w:topLinePunct w:val="0"/>
        <w:autoSpaceDN/>
        <w:bidi w:val="0"/>
        <w:adjustRightInd/>
        <w:snapToGrid/>
        <w:spacing w:line="560" w:lineRule="exact"/>
        <w:ind w:firstLine="470" w:firstLineChars="147"/>
        <w:textAlignment w:val="auto"/>
        <w:rPr>
          <w:rFonts w:hint="eastAsia" w:eastAsia="仿宋_GB2312"/>
          <w:sz w:val="32"/>
          <w:szCs w:val="32"/>
        </w:rPr>
      </w:pPr>
    </w:p>
    <w:p w14:paraId="121AAB3D">
      <w:pPr>
        <w:spacing w:line="600" w:lineRule="exact"/>
        <w:ind w:firstLine="643" w:firstLineChars="200"/>
        <w:rPr>
          <w:rFonts w:ascii="仿宋_GB2312" w:hAnsi="仿宋" w:eastAsia="仿宋_GB2312"/>
          <w:b/>
          <w:color w:val="333333"/>
          <w:sz w:val="32"/>
          <w:szCs w:val="32"/>
        </w:rPr>
      </w:pPr>
      <w:r>
        <w:rPr>
          <w:rFonts w:hint="eastAsia" w:ascii="仿宋_GB2312" w:hAnsi="仿宋" w:eastAsia="仿宋_GB2312"/>
          <w:b/>
          <w:color w:val="333333"/>
          <w:sz w:val="32"/>
          <w:szCs w:val="32"/>
          <w:lang w:eastAsia="zh-CN"/>
        </w:rPr>
        <w:t>四</w:t>
      </w:r>
      <w:r>
        <w:rPr>
          <w:rFonts w:hint="eastAsia" w:ascii="仿宋_GB2312" w:hAnsi="仿宋" w:eastAsia="仿宋_GB2312"/>
          <w:b/>
          <w:color w:val="333333"/>
          <w:sz w:val="32"/>
          <w:szCs w:val="32"/>
        </w:rPr>
        <w:t>、名词解释</w:t>
      </w:r>
    </w:p>
    <w:p w14:paraId="35D0CB6B">
      <w:pPr>
        <w:pStyle w:val="2"/>
        <w:spacing w:line="600" w:lineRule="exact"/>
        <w:ind w:firstLine="643"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1、一般公共预算:</w:t>
      </w:r>
      <w:r>
        <w:rPr>
          <w:rFonts w:hint="eastAsia" w:ascii="仿宋_GB2312" w:hAnsi="仿宋_GB2312" w:eastAsia="仿宋_GB2312" w:cs="仿宋_GB2312"/>
          <w:bCs/>
          <w:kern w:val="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14:paraId="426D7B6B">
      <w:pPr>
        <w:pStyle w:val="2"/>
        <w:spacing w:line="600" w:lineRule="exact"/>
        <w:ind w:firstLine="643"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2、政府性基金预算:</w:t>
      </w:r>
      <w:r>
        <w:rPr>
          <w:rFonts w:hint="eastAsia" w:ascii="仿宋_GB2312" w:hAnsi="仿宋_GB2312" w:eastAsia="仿宋_GB2312" w:cs="仿宋_GB2312"/>
          <w:bCs/>
          <w:kern w:val="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5C0631FC">
      <w:pPr>
        <w:pStyle w:val="2"/>
        <w:spacing w:line="600" w:lineRule="exact"/>
        <w:ind w:firstLine="643"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3、国有资本经营预算:</w:t>
      </w:r>
      <w:r>
        <w:rPr>
          <w:rFonts w:hint="eastAsia" w:ascii="仿宋_GB2312" w:hAnsi="仿宋_GB2312" w:eastAsia="仿宋_GB2312" w:cs="仿宋_GB2312"/>
          <w:bCs/>
          <w:kern w:val="0"/>
          <w:sz w:val="32"/>
          <w:szCs w:val="32"/>
        </w:rPr>
        <w:t>是对国有资本收益作出支出安排的收支预算。应当按照收支平衡的原则编制，不列赤字，并安排资金调入一般公共预算。</w:t>
      </w:r>
    </w:p>
    <w:p w14:paraId="56C3D403">
      <w:pPr>
        <w:pStyle w:val="2"/>
        <w:spacing w:line="600" w:lineRule="exact"/>
        <w:ind w:firstLine="643"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4、社会保险基金预算:</w:t>
      </w:r>
      <w:r>
        <w:rPr>
          <w:rFonts w:hint="eastAsia" w:ascii="仿宋_GB2312" w:hAnsi="仿宋_GB2312" w:eastAsia="仿宋_GB2312" w:cs="仿宋_GB2312"/>
          <w:bCs/>
          <w:kern w:val="0"/>
          <w:sz w:val="32"/>
          <w:szCs w:val="32"/>
        </w:rPr>
        <w:t>是对社会保险缴款、一般公共预算安排和其他方式筹集的资金，专项用于社会保险的收支预算。应当按照统筹层次和社会保险项目分别编制，做到收支平衡。</w:t>
      </w:r>
    </w:p>
    <w:p w14:paraId="36BA0B51">
      <w:r>
        <w:rPr>
          <w:rFonts w:hint="eastAsia" w:ascii="仿宋_GB2312" w:hAnsi="仿宋_GB2312" w:eastAsia="仿宋_GB2312" w:cs="仿宋_GB2312"/>
          <w:b/>
          <w:kern w:val="0"/>
          <w:sz w:val="32"/>
          <w:szCs w:val="32"/>
        </w:rPr>
        <w:t>5、“三公”经费：</w:t>
      </w:r>
      <w:r>
        <w:rPr>
          <w:rFonts w:hint="eastAsia" w:ascii="仿宋_GB2312" w:hAnsi="仿宋_GB2312" w:eastAsia="仿宋_GB2312" w:cs="仿宋_GB2312"/>
          <w:bCs/>
          <w:kern w:val="0"/>
          <w:sz w:val="32"/>
          <w:szCs w:val="32"/>
        </w:rPr>
        <w:t>是指商品和服务支出中的因公出国（境）费用、公务用车购置及运行维护费和公务接待费。</w:t>
      </w:r>
    </w:p>
    <w:sectPr>
      <w:headerReference r:id="rId3" w:type="default"/>
      <w:footerReference r:id="rId4" w:type="default"/>
      <w:footerReference r:id="rId5" w:type="even"/>
      <w:pgSz w:w="11907" w:h="16840"/>
      <w:pgMar w:top="1588" w:right="1418" w:bottom="1418" w:left="1418" w:header="851" w:footer="992" w:gutter="0"/>
      <w:pgNumType w:fmt="numberInDash" w:start="1"/>
      <w:cols w:space="720" w:num="1"/>
      <w:docGrid w:type="lines" w:linePitch="3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DE3DC">
    <w:pPr>
      <w:pStyle w:val="3"/>
      <w:framePr w:wrap="around" w:vAnchor="text" w:hAnchor="margin" w:xAlign="outside" w:y="1"/>
      <w:rPr>
        <w:rStyle w:val="7"/>
        <w:rFonts w:ascii="方正仿宋简体" w:eastAsia="方正仿宋简体"/>
        <w:sz w:val="24"/>
        <w:szCs w:val="24"/>
      </w:rPr>
    </w:pPr>
    <w:r>
      <w:rPr>
        <w:rFonts w:hint="eastAsia" w:ascii="方正仿宋简体" w:eastAsia="方正仿宋简体"/>
        <w:sz w:val="24"/>
        <w:szCs w:val="24"/>
      </w:rPr>
      <w:fldChar w:fldCharType="begin"/>
    </w:r>
    <w:r>
      <w:rPr>
        <w:rStyle w:val="7"/>
        <w:rFonts w:hint="eastAsia" w:ascii="方正仿宋简体" w:eastAsia="方正仿宋简体"/>
        <w:sz w:val="24"/>
        <w:szCs w:val="24"/>
      </w:rPr>
      <w:instrText xml:space="preserve">PAGE  </w:instrText>
    </w:r>
    <w:r>
      <w:rPr>
        <w:rFonts w:hint="eastAsia" w:ascii="方正仿宋简体" w:eastAsia="方正仿宋简体"/>
        <w:sz w:val="24"/>
        <w:szCs w:val="24"/>
      </w:rPr>
      <w:fldChar w:fldCharType="separate"/>
    </w:r>
    <w:r>
      <w:rPr>
        <w:rStyle w:val="7"/>
        <w:rFonts w:ascii="方正仿宋简体" w:eastAsia="方正仿宋简体"/>
        <w:sz w:val="24"/>
        <w:szCs w:val="24"/>
      </w:rPr>
      <w:t>- 2 -</w:t>
    </w:r>
    <w:r>
      <w:rPr>
        <w:rFonts w:hint="eastAsia" w:ascii="方正仿宋简体" w:eastAsia="方正仿宋简体"/>
        <w:sz w:val="24"/>
        <w:szCs w:val="24"/>
      </w:rPr>
      <w:fldChar w:fldCharType="end"/>
    </w:r>
  </w:p>
  <w:p w14:paraId="53B185D3">
    <w:pPr>
      <w:pStyle w:val="3"/>
      <w:ind w:right="360" w:firstLine="360"/>
      <w:rPr>
        <w:rFonts w:ascii="方正仿宋简体" w:eastAsia="方正仿宋简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8B180">
    <w:pPr>
      <w:pStyle w:val="3"/>
      <w:framePr w:wrap="around" w:vAnchor="text" w:hAnchor="margin" w:xAlign="outside" w:y="1"/>
      <w:rPr>
        <w:rStyle w:val="7"/>
      </w:rPr>
    </w:pPr>
    <w:r>
      <w:fldChar w:fldCharType="begin"/>
    </w:r>
    <w:r>
      <w:rPr>
        <w:rStyle w:val="7"/>
      </w:rPr>
      <w:instrText xml:space="preserve">PAGE  </w:instrText>
    </w:r>
    <w:r>
      <w:fldChar w:fldCharType="end"/>
    </w:r>
  </w:p>
  <w:p w14:paraId="2395DFAC">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D2D6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FEADD"/>
    <w:multiLevelType w:val="singleLevel"/>
    <w:tmpl w:val="852FEAD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Mzc2NzJkOTM0NWQ0YmRiNjk2NWY5NjEyY2U5OWMifQ=="/>
  </w:docVars>
  <w:rsids>
    <w:rsidRoot w:val="009D1325"/>
    <w:rsid w:val="00090F7C"/>
    <w:rsid w:val="00116845"/>
    <w:rsid w:val="001475DE"/>
    <w:rsid w:val="001E0080"/>
    <w:rsid w:val="00605C7E"/>
    <w:rsid w:val="00610239"/>
    <w:rsid w:val="006E2DE9"/>
    <w:rsid w:val="009D1325"/>
    <w:rsid w:val="00CE7275"/>
    <w:rsid w:val="020A383C"/>
    <w:rsid w:val="05C24263"/>
    <w:rsid w:val="0BC81E68"/>
    <w:rsid w:val="0C62610B"/>
    <w:rsid w:val="0EEA469E"/>
    <w:rsid w:val="0F0724BA"/>
    <w:rsid w:val="10C37F80"/>
    <w:rsid w:val="127705BC"/>
    <w:rsid w:val="13DE1E96"/>
    <w:rsid w:val="14A32E42"/>
    <w:rsid w:val="16903215"/>
    <w:rsid w:val="17624E7D"/>
    <w:rsid w:val="18053D77"/>
    <w:rsid w:val="18FA52A4"/>
    <w:rsid w:val="192A17B1"/>
    <w:rsid w:val="1BE46BF1"/>
    <w:rsid w:val="1C6326B9"/>
    <w:rsid w:val="1CD60000"/>
    <w:rsid w:val="20F42121"/>
    <w:rsid w:val="25144245"/>
    <w:rsid w:val="25DD7550"/>
    <w:rsid w:val="26795443"/>
    <w:rsid w:val="27064A24"/>
    <w:rsid w:val="288E6ED0"/>
    <w:rsid w:val="28A05E21"/>
    <w:rsid w:val="29A6554C"/>
    <w:rsid w:val="2D9B34F3"/>
    <w:rsid w:val="2EAB7295"/>
    <w:rsid w:val="317403C7"/>
    <w:rsid w:val="326675C8"/>
    <w:rsid w:val="340403EA"/>
    <w:rsid w:val="392A6952"/>
    <w:rsid w:val="395733DC"/>
    <w:rsid w:val="39B56F26"/>
    <w:rsid w:val="3B0446FF"/>
    <w:rsid w:val="3B756230"/>
    <w:rsid w:val="3EF335A2"/>
    <w:rsid w:val="3F31595F"/>
    <w:rsid w:val="3F3214F9"/>
    <w:rsid w:val="45D50799"/>
    <w:rsid w:val="475B5CD6"/>
    <w:rsid w:val="49455B57"/>
    <w:rsid w:val="49780DB1"/>
    <w:rsid w:val="49F7687F"/>
    <w:rsid w:val="4BE77682"/>
    <w:rsid w:val="4C333C88"/>
    <w:rsid w:val="4CD740E1"/>
    <w:rsid w:val="4D0F0055"/>
    <w:rsid w:val="4E93697F"/>
    <w:rsid w:val="51FC1166"/>
    <w:rsid w:val="565242DF"/>
    <w:rsid w:val="56B57101"/>
    <w:rsid w:val="58E46B6B"/>
    <w:rsid w:val="5AA72B65"/>
    <w:rsid w:val="5B21787C"/>
    <w:rsid w:val="5BBC1285"/>
    <w:rsid w:val="5BED5AB9"/>
    <w:rsid w:val="5C0C61DC"/>
    <w:rsid w:val="5F2C537D"/>
    <w:rsid w:val="62136107"/>
    <w:rsid w:val="646A5350"/>
    <w:rsid w:val="64FF5F76"/>
    <w:rsid w:val="658C3EAF"/>
    <w:rsid w:val="660244B5"/>
    <w:rsid w:val="661536A5"/>
    <w:rsid w:val="66B009A4"/>
    <w:rsid w:val="66B93FD0"/>
    <w:rsid w:val="69C2671E"/>
    <w:rsid w:val="69D20350"/>
    <w:rsid w:val="69E26AA1"/>
    <w:rsid w:val="6ACD41EA"/>
    <w:rsid w:val="6BAD5AB7"/>
    <w:rsid w:val="730F2581"/>
    <w:rsid w:val="751A0039"/>
    <w:rsid w:val="761D008A"/>
    <w:rsid w:val="770E7E0B"/>
    <w:rsid w:val="798A7266"/>
    <w:rsid w:val="79F42D9A"/>
    <w:rsid w:val="7A9520B0"/>
    <w:rsid w:val="7BF56DD1"/>
    <w:rsid w:val="7CFA5309"/>
    <w:rsid w:val="7E8B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spacing w:after="120"/>
    </w:pPr>
    <w:rPr>
      <w:szCs w:val="2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页眉 Char"/>
    <w:basedOn w:val="6"/>
    <w:link w:val="4"/>
    <w:qFormat/>
    <w:uiPriority w:val="0"/>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7250</Words>
  <Characters>7940</Characters>
  <Lines>59</Lines>
  <Paragraphs>16</Paragraphs>
  <TotalTime>14</TotalTime>
  <ScaleCrop>false</ScaleCrop>
  <LinksUpToDate>false</LinksUpToDate>
  <CharactersWithSpaces>7974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2022-08-15T03:45:00Z</dcterms:created>
  <dc:creator>User</dc:creator>
  <cp:lastModifiedBy>Administrator</cp:lastModifiedBy>
  <dcterms:modified xsi:type="dcterms:W3CDTF">2026-02-10T01:03:03Z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3CB1592C817E41F89F2AA317704B39A2_13</vt:lpwstr>
  </property>
  <property fmtid="{D5CDD505-2E9C-101B-9397-08002B2CF9AE}" pid="4" name="KSOTemplateDocerSaveRecord">
    <vt:lpwstr>eyJoZGlkIjoiNWI4ZTEyNWIwYTU5MzM4ZDk3MjMyNTU5ODIyYjEwNTgifQ==</vt:lpwstr>
  </property>
</Properties>
</file>