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 w:hAnsi="仿宋" w:eastAsia="仿宋" w:cs="仿宋"/>
          <w:b/>
          <w:sz w:val="44"/>
          <w:szCs w:val="44"/>
        </w:rPr>
      </w:pPr>
    </w:p>
    <w:p>
      <w:pPr>
        <w:jc w:val="center"/>
        <w:rPr>
          <w:rFonts w:hint="eastAsia" w:ascii="仿宋" w:hAnsi="仿宋" w:eastAsia="仿宋" w:cs="仿宋"/>
          <w:b/>
          <w:sz w:val="44"/>
          <w:szCs w:val="44"/>
        </w:rPr>
      </w:pPr>
      <w:r>
        <w:rPr>
          <w:rFonts w:hint="eastAsia" w:ascii="仿宋" w:hAnsi="仿宋" w:eastAsia="仿宋" w:cs="仿宋"/>
          <w:b/>
          <w:sz w:val="44"/>
          <w:szCs w:val="44"/>
        </w:rPr>
        <w:t>隆回县201</w:t>
      </w:r>
      <w:bookmarkStart w:id="0" w:name="_GoBack"/>
      <w:bookmarkEnd w:id="0"/>
      <w:r>
        <w:rPr>
          <w:rFonts w:hint="eastAsia" w:ascii="仿宋" w:hAnsi="仿宋" w:eastAsia="仿宋" w:cs="仿宋"/>
          <w:b/>
          <w:sz w:val="44"/>
          <w:szCs w:val="44"/>
        </w:rPr>
        <w:t>7年预算绩效管理</w:t>
      </w:r>
    </w:p>
    <w:p>
      <w:pPr>
        <w:jc w:val="center"/>
        <w:rPr>
          <w:rFonts w:ascii="仿宋" w:hAnsi="仿宋" w:eastAsia="仿宋" w:cs="仿宋"/>
          <w:b/>
          <w:sz w:val="44"/>
          <w:szCs w:val="44"/>
        </w:rPr>
      </w:pPr>
      <w:r>
        <w:rPr>
          <w:rFonts w:hint="eastAsia" w:ascii="仿宋" w:hAnsi="仿宋" w:eastAsia="仿宋" w:cs="仿宋"/>
          <w:b/>
          <w:sz w:val="44"/>
          <w:szCs w:val="44"/>
        </w:rPr>
        <w:t>工作情况的说明</w:t>
      </w:r>
    </w:p>
    <w:p>
      <w:pPr>
        <w:ind w:firstLine="640" w:firstLineChars="200"/>
        <w:rPr>
          <w:rFonts w:hint="eastAsia" w:ascii="仿宋_GB2312" w:eastAsia="仿宋_GB2312"/>
          <w:color w:val="000000"/>
          <w:sz w:val="32"/>
          <w:szCs w:val="32"/>
        </w:rPr>
      </w:pP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2017年，我县以党的十九大精神为指导，</w:t>
      </w:r>
      <w:r>
        <w:rPr>
          <w:rFonts w:ascii="仿宋_GB2312" w:eastAsia="仿宋_GB2312"/>
          <w:color w:val="000000"/>
          <w:sz w:val="32"/>
          <w:szCs w:val="32"/>
        </w:rPr>
        <w:t>认真贯彻</w:t>
      </w:r>
      <w:r>
        <w:rPr>
          <w:rFonts w:hint="eastAsia" w:ascii="仿宋_GB2312" w:eastAsia="仿宋_GB2312"/>
          <w:color w:val="000000"/>
          <w:sz w:val="32"/>
          <w:szCs w:val="32"/>
        </w:rPr>
        <w:t>中央、省市对</w:t>
      </w:r>
      <w:r>
        <w:rPr>
          <w:rFonts w:ascii="仿宋_GB2312" w:eastAsia="仿宋_GB2312"/>
          <w:color w:val="000000"/>
          <w:sz w:val="32"/>
          <w:szCs w:val="32"/>
        </w:rPr>
        <w:t>财政预算绩效管理工作有关要求，</w:t>
      </w:r>
      <w:r>
        <w:rPr>
          <w:rFonts w:hint="eastAsia" w:ascii="仿宋_GB2312" w:eastAsia="仿宋_GB2312"/>
          <w:color w:val="000000"/>
          <w:sz w:val="32"/>
          <w:szCs w:val="32"/>
        </w:rPr>
        <w:t>牢固树立财政支出“绩效意识”，</w:t>
      </w:r>
      <w:r>
        <w:rPr>
          <w:rFonts w:ascii="仿宋_GB2312" w:eastAsia="仿宋_GB2312"/>
          <w:color w:val="000000"/>
          <w:sz w:val="32"/>
          <w:szCs w:val="32"/>
        </w:rPr>
        <w:t>切实将实施预算绩效管理作为财政科学化、精细化管理的核心内容，进行了积极的探索和实践，工作基础逐步夯实，试点范围稳步拓展，推动预算绩效管理向纵深发展。</w:t>
      </w:r>
    </w:p>
    <w:p>
      <w:pPr>
        <w:ind w:firstLine="627" w:firstLineChars="196"/>
        <w:rPr>
          <w:rFonts w:ascii="仿宋_GB2312" w:hAnsi="仿宋" w:eastAsia="仿宋_GB2312"/>
          <w:bCs/>
          <w:sz w:val="32"/>
          <w:szCs w:val="32"/>
        </w:rPr>
      </w:pPr>
      <w:r>
        <w:rPr>
          <w:rFonts w:hint="eastAsia" w:ascii="仿宋_GB2312" w:eastAsia="仿宋_GB2312"/>
          <w:bCs/>
          <w:sz w:val="32"/>
          <w:szCs w:val="32"/>
        </w:rPr>
        <w:t>认真开展预算绩效目标管理工作。</w:t>
      </w:r>
      <w:r>
        <w:rPr>
          <w:rFonts w:hint="eastAsia" w:ascii="仿宋_GB2312" w:hAnsi="仿宋" w:eastAsia="仿宋_GB2312"/>
          <w:bCs/>
          <w:color w:val="333333"/>
          <w:sz w:val="32"/>
          <w:szCs w:val="32"/>
        </w:rPr>
        <w:t>为充分发挥</w:t>
      </w:r>
      <w:r>
        <w:rPr>
          <w:rFonts w:hint="eastAsia" w:ascii="仿宋_GB2312" w:hAnsi="仿宋" w:eastAsia="仿宋_GB2312"/>
          <w:bCs/>
          <w:sz w:val="32"/>
          <w:szCs w:val="32"/>
        </w:rPr>
        <w:t>财政职能作用，规范预算管理，强化资金监管，提高财政资金使用效益，我县加强财政支出绩效目标管理，要求各县直部门单位结合部门预算做好财政资金绩效目标申报。一是县直各单位对本单位列入2017年度县级部门预算的专项资金申报资金使用绩效目标；二是县直部门单位对本单位列入2017年度县级部门预算的整体支出申报资金使用绩效目标。财政部门对各单位的申报的绩效目标进行审核确认，绩效目标不符合要求的项目支出，预算不予安排。绩效目标部门管理实现了全覆盖。</w:t>
      </w:r>
    </w:p>
    <w:p>
      <w:pPr>
        <w:ind w:firstLine="640" w:firstLineChars="200"/>
        <w:rPr>
          <w:rFonts w:ascii="仿宋_GB2312" w:hAnsi="仿宋_GB2312" w:eastAsia="仿宋_GB2312" w:cs="宋体"/>
          <w:bCs/>
          <w:color w:val="222222"/>
          <w:kern w:val="0"/>
          <w:sz w:val="32"/>
          <w:szCs w:val="28"/>
        </w:rPr>
      </w:pPr>
      <w:r>
        <w:rPr>
          <w:rFonts w:hint="eastAsia" w:ascii="仿宋_GB2312" w:eastAsia="仿宋_GB2312"/>
          <w:bCs/>
          <w:sz w:val="32"/>
          <w:szCs w:val="32"/>
        </w:rPr>
        <w:t>积极组织实施预算绩效评价工作。</w:t>
      </w:r>
      <w:r>
        <w:rPr>
          <w:rFonts w:hint="eastAsia" w:ascii="仿宋_GB2312" w:hAnsi="仿宋" w:eastAsia="仿宋_GB2312"/>
          <w:bCs/>
          <w:sz w:val="32"/>
          <w:szCs w:val="32"/>
        </w:rPr>
        <w:t>一是</w:t>
      </w:r>
      <w:r>
        <w:rPr>
          <w:rFonts w:hint="eastAsia" w:eastAsia="仿宋_GB2312"/>
          <w:bCs/>
          <w:sz w:val="32"/>
          <w:szCs w:val="32"/>
        </w:rPr>
        <w:t>开展县级专项资金重点绩效评价。</w:t>
      </w:r>
      <w:r>
        <w:rPr>
          <w:rFonts w:hint="eastAsia" w:ascii="仿宋_GB2312" w:hAnsi="仿宋_GB2312" w:eastAsia="仿宋_GB2312" w:cs="宋体"/>
          <w:bCs/>
          <w:color w:val="222222"/>
          <w:kern w:val="0"/>
          <w:sz w:val="32"/>
          <w:szCs w:val="28"/>
        </w:rPr>
        <w:t>为进一步规范和加强专项资金管理，提高财政资金使用绩效，我县每年选取一定比例的县重点民生项目开展专项资金财政绩效评价。今年对2014-2016年度县旅游产业开发专项资金和县基本公共卫生服务专项资金的使用情况开展重点绩效评价，涉及资金1689万元。二是开展单位专项资金绩效自评。各管理使用专项资金的单位部门</w:t>
      </w:r>
      <w:r>
        <w:rPr>
          <w:rFonts w:hint="eastAsia" w:ascii="仿宋_GB2312" w:hAnsi="仿宋" w:eastAsia="仿宋_GB2312"/>
          <w:bCs/>
          <w:sz w:val="32"/>
          <w:szCs w:val="32"/>
        </w:rPr>
        <w:t>开展绩效自评，并及时报送财政支出绩效评价自评报告，重点对绩效状况、支出项目、支出项目数据波动等情况进行绩效评估分析。三是开展单位部门整体支出绩效自评。为综合反映部门单位整体财政资金支出的绩效情况，</w:t>
      </w:r>
      <w:r>
        <w:rPr>
          <w:rFonts w:hint="eastAsia" w:ascii="仿宋_GB2312" w:eastAsia="仿宋_GB2312"/>
          <w:bCs/>
          <w:sz w:val="32"/>
          <w:szCs w:val="32"/>
        </w:rPr>
        <w:t>各部门单位对2016年度本单位基本支出、三公经费、项目支出和厉行节约情况、单位预算配置、履职效益、预算管理、职责履行、预算执行等方面的执行情况及其效果进行了客观分析评价并提交了自评报告书。四是</w:t>
      </w:r>
      <w:r>
        <w:rPr>
          <w:rFonts w:hint="eastAsia" w:eastAsia="仿宋_GB2312"/>
          <w:bCs/>
          <w:color w:val="000000"/>
          <w:sz w:val="32"/>
          <w:szCs w:val="32"/>
        </w:rPr>
        <w:t>做好省厅对我县农副产品加工产业重点县专项资金开展绩效评价的迎检工作。</w:t>
      </w:r>
      <w:r>
        <w:rPr>
          <w:rFonts w:hint="eastAsia" w:ascii="仿宋_GB2312" w:hAnsi="仿宋_GB2312" w:eastAsia="仿宋_GB2312" w:cs="宋体"/>
          <w:bCs/>
          <w:color w:val="222222"/>
          <w:kern w:val="0"/>
          <w:sz w:val="32"/>
          <w:szCs w:val="28"/>
        </w:rPr>
        <w:t>省厅今年对全省第二、三轮特色县域经济重点县2016年度专项资金</w:t>
      </w:r>
      <w:r>
        <w:rPr>
          <w:rFonts w:eastAsia="仿宋_GB2312"/>
          <w:bCs/>
          <w:color w:val="000000"/>
          <w:sz w:val="32"/>
          <w:szCs w:val="32"/>
        </w:rPr>
        <w:t>管理使用和项目效益情况</w:t>
      </w:r>
      <w:r>
        <w:rPr>
          <w:rFonts w:hint="eastAsia" w:ascii="仿宋_GB2312" w:hAnsi="仿宋_GB2312" w:eastAsia="仿宋_GB2312" w:cs="宋体"/>
          <w:bCs/>
          <w:color w:val="222222"/>
          <w:kern w:val="0"/>
          <w:sz w:val="32"/>
          <w:szCs w:val="28"/>
        </w:rPr>
        <w:t>实施绩效评价。县财政部门会同县农办组织各项目单位开展绩效自评，进行了自查自纠。</w:t>
      </w:r>
      <w:r>
        <w:rPr>
          <w:rFonts w:hint="eastAsia" w:eastAsia="仿宋_GB2312"/>
          <w:bCs/>
          <w:color w:val="000000"/>
          <w:sz w:val="32"/>
          <w:szCs w:val="32"/>
        </w:rPr>
        <w:t>针对省考评组指出的存在的问题，及时组织相关单位实施整改。</w:t>
      </w:r>
      <w:r>
        <w:rPr>
          <w:rFonts w:hint="eastAsia" w:ascii="仿宋_GB2312" w:hAnsi="仿宋_GB2312" w:eastAsia="仿宋_GB2312" w:cs="宋体"/>
          <w:bCs/>
          <w:color w:val="222222"/>
          <w:kern w:val="0"/>
          <w:sz w:val="32"/>
          <w:szCs w:val="28"/>
        </w:rPr>
        <w:t xml:space="preserve"> </w:t>
      </w:r>
    </w:p>
    <w:p>
      <w:pPr>
        <w:ind w:firstLine="640" w:firstLineChars="200"/>
        <w:rPr>
          <w:rFonts w:ascii="仿宋_GB2312" w:hAnsi="仿宋" w:eastAsia="仿宋_GB2312" w:cs="Arial"/>
          <w:bCs/>
          <w:sz w:val="32"/>
          <w:szCs w:val="32"/>
        </w:rPr>
      </w:pPr>
      <w:r>
        <w:rPr>
          <w:rFonts w:hint="eastAsia" w:ascii="仿宋_GB2312" w:hAnsi="仿宋" w:eastAsia="仿宋_GB2312"/>
          <w:bCs/>
          <w:sz w:val="32"/>
          <w:szCs w:val="32"/>
        </w:rPr>
        <w:t>进一步强化绩效评价结果应用。</w:t>
      </w:r>
      <w:r>
        <w:rPr>
          <w:rFonts w:hint="eastAsia" w:ascii="仿宋_GB2312" w:hAnsi="仿宋" w:eastAsia="仿宋_GB2312" w:cs="Arial"/>
          <w:bCs/>
          <w:sz w:val="32"/>
          <w:szCs w:val="32"/>
        </w:rPr>
        <w:t>一是与专项资金分配相结合。运用评价结果来突出政策导向，以绩效为核心确定财政支持手段、资金投向和数量。</w:t>
      </w:r>
      <w:r>
        <w:rPr>
          <w:rFonts w:hint="eastAsia" w:ascii="仿宋_GB2312" w:hAnsi="仿宋" w:eastAsia="仿宋_GB2312"/>
          <w:bCs/>
          <w:sz w:val="32"/>
          <w:szCs w:val="32"/>
        </w:rPr>
        <w:t>对专项资金使用规范、绩效显著的，在下年度安排预算时给予优先考虑；对专项资金使用不规范、绩效差的，督促改进，在下年度安排预算时从紧掌握，</w:t>
      </w:r>
      <w:r>
        <w:rPr>
          <w:rFonts w:hint="eastAsia" w:ascii="仿宋_GB2312" w:hAnsi="仿宋" w:eastAsia="仿宋_GB2312" w:cs="Arial"/>
          <w:bCs/>
          <w:sz w:val="32"/>
          <w:szCs w:val="32"/>
        </w:rPr>
        <w:t>从而提高了资金分配的科学性</w:t>
      </w:r>
      <w:r>
        <w:rPr>
          <w:rFonts w:hint="eastAsia" w:ascii="仿宋_GB2312" w:hAnsi="仿宋" w:eastAsia="仿宋_GB2312"/>
          <w:bCs/>
          <w:sz w:val="32"/>
          <w:szCs w:val="32"/>
        </w:rPr>
        <w:t>，</w:t>
      </w:r>
      <w:r>
        <w:rPr>
          <w:rFonts w:hint="eastAsia" w:ascii="仿宋_GB2312" w:hAnsi="仿宋" w:eastAsia="仿宋_GB2312" w:cs="Arial"/>
          <w:bCs/>
          <w:sz w:val="32"/>
          <w:szCs w:val="32"/>
        </w:rPr>
        <w:t>调动了单位管好用好财政资金的积极性。二是与干部提拔重用相结合。将乡镇财政绩效评价结果与乡镇履行岗位责任结合起来，</w:t>
      </w:r>
      <w:r>
        <w:rPr>
          <w:rFonts w:hint="eastAsia" w:ascii="仿宋_GB2312" w:hAnsi="仿宋" w:eastAsia="仿宋_GB2312"/>
          <w:bCs/>
          <w:sz w:val="32"/>
          <w:szCs w:val="32"/>
        </w:rPr>
        <w:t>作为衡量乡镇财政管理水平高低的重要依据，并与资金拨付和干部使用直接挂勾，为政府决策提供合理、合规、有效的参考。三是与</w:t>
      </w:r>
      <w:r>
        <w:rPr>
          <w:rFonts w:hint="eastAsia" w:ascii="仿宋_GB2312" w:hAnsi="仿宋" w:eastAsia="仿宋_GB2312" w:cs="Arial"/>
          <w:bCs/>
          <w:sz w:val="32"/>
          <w:szCs w:val="32"/>
        </w:rPr>
        <w:t>预算编制和预算执行相结合。</w:t>
      </w:r>
      <w:r>
        <w:rPr>
          <w:rFonts w:hint="eastAsia" w:ascii="仿宋_GB2312" w:hAnsi="仿宋" w:eastAsia="仿宋_GB2312"/>
          <w:bCs/>
          <w:sz w:val="32"/>
          <w:szCs w:val="32"/>
        </w:rPr>
        <w:t>及时将支出绩效评价结果报送县乡人大、政府及有关部门作决策参考，查找预算编制中存在的问题，进一步加强和规范部门预算，改进财政预算编制，促进预算编制科学化精细化管理，进一步提高资金使用效益，规范财政收支管理。四是评价结果向社会公开。各单位将</w:t>
      </w:r>
      <w:r>
        <w:rPr>
          <w:rFonts w:hint="eastAsia" w:ascii="仿宋_GB2312" w:hAnsi="仿宋_GB2312" w:eastAsia="仿宋_GB2312" w:cs="宋体"/>
          <w:bCs/>
          <w:color w:val="222222"/>
          <w:kern w:val="0"/>
          <w:sz w:val="32"/>
          <w:szCs w:val="28"/>
        </w:rPr>
        <w:t>绩效评价结果在政府网站公开，自觉接受社会监督。</w:t>
      </w:r>
    </w:p>
    <w:p>
      <w:pPr>
        <w:rPr>
          <w:bCs/>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Arial">
    <w:panose1 w:val="020B0604020202020204"/>
    <w:charset w:val="00"/>
    <w:family w:val="swiss"/>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zgyMjZhYWNjMGI5ZWMxZGYyOWIwMzYyNzQ0ZmQ0YTUifQ=="/>
  </w:docVars>
  <w:rsids>
    <w:rsidRoot w:val="6A581B7D"/>
    <w:rsid w:val="006940F3"/>
    <w:rsid w:val="00B515C7"/>
    <w:rsid w:val="00C62D85"/>
    <w:rsid w:val="00DC2B8E"/>
    <w:rsid w:val="0FF358B9"/>
    <w:rsid w:val="27851BB4"/>
    <w:rsid w:val="38944724"/>
    <w:rsid w:val="55DC290C"/>
    <w:rsid w:val="6A581B7D"/>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uiPriority w:val="0"/>
    <w:rPr>
      <w:rFonts w:asciiTheme="minorHAnsi" w:hAnsiTheme="minorHAnsi" w:eastAsiaTheme="minorEastAsia" w:cstheme="minorBidi"/>
      <w:kern w:val="2"/>
      <w:sz w:val="18"/>
      <w:szCs w:val="18"/>
    </w:rPr>
  </w:style>
  <w:style w:type="character" w:customStyle="1" w:styleId="7">
    <w:name w:val="页脚 Char"/>
    <w:basedOn w:val="5"/>
    <w:link w:val="2"/>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AppData\Roaming\Kingsoft\wps\addons\pool\win-i386\knewfileruby_1.0.0.10\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0</Template>
  <Pages>1</Pages>
  <Words>199</Words>
  <Characters>1139</Characters>
  <Lines>9</Lines>
  <Paragraphs>2</Paragraphs>
  <TotalTime>53</TotalTime>
  <ScaleCrop>false</ScaleCrop>
  <LinksUpToDate>false</LinksUpToDate>
  <CharactersWithSpaces>1336</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2018-09-03T05:18:00Z</dcterms:created>
  <dc:creator>颜某某</dc:creator>
  <cp:lastModifiedBy>随风而起</cp:lastModifiedBy>
  <cp:lastPrinted>2018-09-04T02:39:00Z</cp:lastPrinted>
  <dcterms:modified xsi:type="dcterms:W3CDTF">2023-09-28T02:57:52Z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46B9F1E833F848AB938E5441564BAF86_12</vt:lpwstr>
  </property>
</Properties>
</file>