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隆回县大水田乡人民政府2024年度部门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整体支出绩效自评报告</w:t>
      </w:r>
    </w:p>
    <w:p>
      <w:pPr>
        <w:ind w:firstLine="420" w:firstLineChars="200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一、部门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（一）部门基本情况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1、机构设置及人员情况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隆回县大水田乡人民政府设置4个内设机构，内设机构包括：党政综合办公室、基层党建办公室、经济发展办公室、平安法治和应急管理办公室；1个执法机构：行政综合执法大队；3个直属事业单位：生态事务中心、农业综合服务中心、退役军人服务站和财政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隆回县大水田乡人民政府编制人数63人，实际人数56人，离退休12人，遗属补助人数3人。县配消防车1台，下辖村委会10个。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2、部门主要职能职责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宣传和贯彻执行党的路线方针政策和法律法规；落实基层管党治党工作责任制；规范经济管理，组织指导经济发展和经济结构调整；加强社会管理和基础设施建设，创造良好环境；发展公益事业，强化公共服务；加强综合治理，维护社会稳定；按照管理权限，负责机关和事业单位工作人员的教育、培养、选拔和监督工作，协助管理好派驻单位人员；依法依规承担下放的经济社会管理权限和行政执法事项；行使《中华人民共和国地方各级人民代表大会和地方各级人民政府组织法》等法律法规赋予的职权；完成县委、县政府交办的其它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年的重点工作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（1）紧扣经济发展，经济活力持续增强，经济稳中有进，积极培育经营主体，大力发展特色农业。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（2）狠抓耕地保护，农业产业健康发展，抓好耕地保护，抓实种植产业。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（3）聚焦增收致富，乡村振兴取得实效，全力做好防返贫监测与帮扶管理工作，做好各项帮扶工作，不断壮大村级集体经济。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（4）加强基础建设，基础设施持续改善，交通出行更加便利，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水利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设施更有保障，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教育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条件更加完善。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（5）坚持以人为本，民生福祉不断改善，落实困难群众生活救助，提高为民服务效率，安全生产工作稳步推进，加强社会综合治理。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完成县委、县政府交办的其它事项。</w:t>
      </w:r>
    </w:p>
    <w:p>
      <w:pPr>
        <w:pStyle w:val="2"/>
        <w:numPr>
          <w:ilvl w:val="0"/>
          <w:numId w:val="1"/>
        </w:numP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绩效目标设定情况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（1）贯彻执行上级的各项方针政策，确保各项工作目标任务圆满完成。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（2）妥善处理突发性、群体性事件，调节和处理好各种利益矛盾和纠纷。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（3）财务方面严格按照“三公”经费预算管理的规定实施。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（4）贯彻落实社会治安综合治理、安全生产、“乡村振兴”推进工作，人民生活水平不断提高，社会公众满意程度普遍提升。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）部门整体支出情况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年度决算支出为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83.14</w:t>
      </w:r>
      <w:r>
        <w:rPr>
          <w:rFonts w:hint="eastAsia" w:ascii="仿宋" w:hAnsi="仿宋" w:eastAsia="仿宋" w:cs="仿宋"/>
          <w:sz w:val="32"/>
          <w:szCs w:val="32"/>
        </w:rPr>
        <w:t>万元,其中：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基本支出93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0.86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万元，项目支出为352.28万元。</w:t>
      </w:r>
    </w:p>
    <w:p>
      <w:pPr>
        <w:pStyle w:val="14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二、部门整体支出管理及使用情况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（一）基本支出情况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年度决算数为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930.86</w:t>
      </w:r>
      <w:r>
        <w:rPr>
          <w:rFonts w:hint="eastAsia" w:ascii="仿宋" w:hAnsi="仿宋" w:eastAsia="仿宋" w:cs="仿宋"/>
          <w:sz w:val="32"/>
          <w:szCs w:val="32"/>
        </w:rPr>
        <w:t>万元，其中：人员经费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740.01</w:t>
      </w:r>
      <w:r>
        <w:rPr>
          <w:rFonts w:hint="eastAsia" w:ascii="仿宋" w:hAnsi="仿宋" w:eastAsia="仿宋" w:cs="仿宋"/>
          <w:sz w:val="32"/>
          <w:szCs w:val="32"/>
        </w:rPr>
        <w:t>万元，日常公用经费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190.85</w:t>
      </w:r>
      <w:r>
        <w:rPr>
          <w:rFonts w:hint="eastAsia" w:ascii="仿宋" w:hAnsi="仿宋" w:eastAsia="仿宋" w:cs="仿宋"/>
          <w:sz w:val="32"/>
          <w:szCs w:val="32"/>
        </w:rPr>
        <w:t>万元。是指为保障单位机构正常运转、完成日常工作任务而发生的各项支出，包括用于基本工资、津贴补贴等人员经费以及办公费、印刷费、水电费及办公设备购置等日常公用经费。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资金</w:t>
      </w:r>
      <w:r>
        <w:rPr>
          <w:rFonts w:hint="eastAsia" w:ascii="仿宋" w:hAnsi="仿宋" w:eastAsia="仿宋" w:cs="仿宋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年年度决算数为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352.28</w:t>
      </w:r>
      <w:r>
        <w:rPr>
          <w:rFonts w:hint="eastAsia" w:ascii="仿宋" w:hAnsi="仿宋" w:eastAsia="仿宋" w:cs="仿宋"/>
          <w:sz w:val="32"/>
          <w:szCs w:val="32"/>
        </w:rPr>
        <w:t>万元，是指单位为完成选定行政工作或事业发展目标而发生的支出，包括有关事业发展专项、专项业务费、基本建设支出等。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firstLine="320" w:firstLineChars="1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“三公”经费情况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因公出国（境）费用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0万元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公务接待费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5万元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公务用车购置及运行费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5.65万元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三、政府性基金预算支出情况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国有资本经营预算支出情况</w:t>
      </w:r>
    </w:p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无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社会保险基金预算支出情况</w:t>
      </w:r>
    </w:p>
    <w:p>
      <w:pPr>
        <w:numPr>
          <w:ilvl w:val="0"/>
          <w:numId w:val="0"/>
        </w:numPr>
        <w:ind w:leftChars="200"/>
        <w:rPr>
          <w:rFonts w:hint="default" w:ascii="Times New Roman" w:hAnsi="Times New Roman" w:eastAsia="宋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32"/>
          <w:szCs w:val="24"/>
          <w:lang w:val="en-US" w:eastAsia="zh-CN" w:bidi="ar-SA"/>
        </w:rPr>
        <w:t xml:space="preserve">  无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年，我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</w:t>
      </w:r>
      <w:r>
        <w:rPr>
          <w:rFonts w:hint="eastAsia" w:ascii="仿宋" w:hAnsi="仿宋" w:eastAsia="仿宋" w:cs="仿宋"/>
          <w:sz w:val="32"/>
          <w:szCs w:val="32"/>
        </w:rPr>
        <w:t>积极履职，强化管理，较好的完成了年度工作目标。通过加强预算收支管理，不断建立健全内部管理制度，梳理内部管理流程，整体支出管理水平得到提升。主要表现在：1、加强农业经济组织建设。2、加强项目资金、村级财政资金、民生资金的监督管理，严防资金被挤占挪用，确保各项资金的安全和有效落实到项目到户。贯彻落实各项惠农政策，全面落实各项补贴工作，确保群众共享改革发展成果。3、社会保障体系不断完善。4、收支两条线管理，无乱收滥罚，坐收坐支现象。5、抓好教育、医疗、卫生和综合治理工作，打造市“平安”乡镇，为群众生产生活创造良好的环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1、近些年来，县对街道（乡镇）这实行了新的财政体制，对街道（乡镇）的财政投入越来越大，但各项公共事业等工作开支日益增大，而公用经费有限，财政非常困难，保工资保运转的资金压力较大。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2、街道（乡镇）无其他收入来源，基本依靠县财政拨款。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3、各种突发工作增多，却无经费解决。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改进措施及有关建议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规范财政管理，严格执行预算。一是在预算编制上要严格按照“零基预算、部门预算”的编制方法，本着透明、公开的原则进行详细、具体的编制。二是在预算执行过程中，加强管理，严格监督。三是增强支出透明度，实行政务公开。堵塞漏洞，减少支出随意性，发挥财政支出的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2、县财政应加大对乡镇（街道）财力投入，应保尽保。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pStyle w:val="2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pStyle w:val="2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pStyle w:val="2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</w:p>
    <w:p>
      <w:pPr>
        <w:pStyle w:val="2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部门整体支出绩效评价基础数据表</w:t>
      </w:r>
    </w:p>
    <w:tbl>
      <w:tblPr>
        <w:tblStyle w:val="11"/>
        <w:tblpPr w:leftFromText="180" w:rightFromText="180" w:vertAnchor="text" w:tblpX="399" w:tblpY="386"/>
        <w:tblOverlap w:val="never"/>
        <w:tblW w:w="8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950"/>
        <w:gridCol w:w="983"/>
        <w:gridCol w:w="1127"/>
        <w:gridCol w:w="972"/>
        <w:gridCol w:w="1017"/>
        <w:gridCol w:w="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单位名称</w:t>
            </w:r>
          </w:p>
        </w:tc>
        <w:tc>
          <w:tcPr>
            <w:tcW w:w="5870" w:type="dxa"/>
            <w:gridSpan w:val="6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隆回县大水田乡人民政府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财政供养人员情况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编制数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2024年实际在职人数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33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63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56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88.89%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经费控制情况（万元）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2023年决算数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2024年预算数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2024年决算数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300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三公经费：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5.56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11.00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10.65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300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公务用车购置和维护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经费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5.65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6.00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5.65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00" w:type="dxa"/>
            <w:vAlign w:val="center"/>
          </w:tcPr>
          <w:p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其中：公车购置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Align w:val="center"/>
          </w:tcPr>
          <w:p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公车运行维护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5.65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6.00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5.65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2、出国经费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300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3、公务接待费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5.00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300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项目资金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277.35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300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352.28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1、业务工作经费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277.35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300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352.28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2、运行维护经费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300" w:type="dxa"/>
            <w:vAlign w:val="center"/>
          </w:tcPr>
          <w:p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......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300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公用经费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285.26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70.61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190.85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300" w:type="dxa"/>
            <w:vAlign w:val="center"/>
          </w:tcPr>
          <w:p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其中：办公经费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15.00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10.00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53.00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300" w:type="dxa"/>
            <w:vAlign w:val="center"/>
          </w:tcPr>
          <w:p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水费、电费、差旅费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20.73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26.24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会议费、培训费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7.78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7.54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7.54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300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政府采购金额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15.00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15.00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300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部门基本支出预算调整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935.71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592.69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930.86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300" w:type="dxa"/>
            <w:vMerge w:val="restart"/>
            <w:vAlign w:val="center"/>
          </w:tcPr>
          <w:p>
            <w:pPr>
              <w:pStyle w:val="2"/>
              <w:ind w:left="180" w:leftChars="0" w:hanging="180" w:hangingChars="1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楼堂馆所控制情况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2024年完工项目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9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批复规模（㎡）</w:t>
            </w:r>
          </w:p>
        </w:tc>
        <w:tc>
          <w:tcPr>
            <w:tcW w:w="98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实际规模（㎡）</w:t>
            </w:r>
          </w:p>
        </w:tc>
        <w:tc>
          <w:tcPr>
            <w:tcW w:w="112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规模控制率</w:t>
            </w:r>
          </w:p>
        </w:tc>
        <w:tc>
          <w:tcPr>
            <w:tcW w:w="97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预算投资（万元）</w:t>
            </w:r>
          </w:p>
        </w:tc>
        <w:tc>
          <w:tcPr>
            <w:tcW w:w="101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实际投资（万元）</w:t>
            </w:r>
          </w:p>
        </w:tc>
        <w:tc>
          <w:tcPr>
            <w:tcW w:w="821" w:type="dxa"/>
            <w:vAlign w:val="center"/>
          </w:tcPr>
          <w:p>
            <w:pPr>
              <w:bidi w:val="0"/>
              <w:jc w:val="center"/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投资概算控制率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5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83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72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17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3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例行节约保障措施</w:t>
            </w:r>
          </w:p>
        </w:tc>
        <w:tc>
          <w:tcPr>
            <w:tcW w:w="5870" w:type="dxa"/>
            <w:gridSpan w:val="6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lang w:eastAsia="zh-CN"/>
        </w:rPr>
      </w:pPr>
    </w:p>
    <w:p>
      <w:pPr>
        <w:pStyle w:val="2"/>
        <w:ind w:left="0" w:leftChars="0" w:firstLine="480" w:firstLineChars="20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  <w:t>说明：“县级专项资金”需要填报基本支出以外的所有县级专项资金情况，“公用经费”填报基本支出中的一般商品和服务支出。</w:t>
      </w:r>
    </w:p>
    <w:p>
      <w:pPr>
        <w:pStyle w:val="2"/>
        <w:ind w:left="0" w:leftChars="0" w:firstLine="480" w:firstLineChars="20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  <w:t>填表人：王非凡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 xml:space="preserve">   填报日期：2025.04.29  联系电话：18374950528           单位负责人签字：廖昌栋</w:t>
      </w:r>
    </w:p>
    <w:p>
      <w:pP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spacing w:line="64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640" w:lineRule="exact"/>
        <w:ind w:firstLine="8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部门整体支出绩效自评表</w:t>
      </w:r>
    </w:p>
    <w:tbl>
      <w:tblPr>
        <w:tblStyle w:val="10"/>
        <w:tblW w:w="89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69"/>
        <w:gridCol w:w="712"/>
        <w:gridCol w:w="1273"/>
        <w:gridCol w:w="84"/>
        <w:gridCol w:w="1077"/>
        <w:gridCol w:w="1146"/>
        <w:gridCol w:w="636"/>
        <w:gridCol w:w="890"/>
        <w:gridCol w:w="12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预算单位名称</w:t>
            </w:r>
          </w:p>
        </w:tc>
        <w:tc>
          <w:tcPr>
            <w:tcW w:w="801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隆回县大水田乡人民政府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年度预</w:t>
            </w:r>
          </w:p>
          <w:p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算申请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年初预算数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全年预算数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全年执行数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分值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执行率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892.69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1283.14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1283.14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按收入性质分：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1159.04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930.86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720" w:firstLineChars="40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40" w:firstLineChars="3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项目支出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352.28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纳入专户管理的非税收入拨款：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260" w:firstLineChars="7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其他资金：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124.10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1080" w:firstLineChars="60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、围绕农业产业夯实社会发展基础。2、围绕乡村振兴不断提高群众满意度。3、围绕项目建设巩固提升基础设施。4、围绕国土管理守住耕地保护红线。5、围绕社会治理共建和谐美丽家园。6、围绕民生实事落实社会福利保障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　</w:t>
            </w:r>
          </w:p>
        </w:tc>
        <w:tc>
          <w:tcPr>
            <w:tcW w:w="3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、围绕农业产业夯实社会发展基础。2、围绕乡村振兴不断提高群众满意度。3、围绕项目建设巩固提升基础设施。4、围绕国土管理守住耕地保护红线。5、围绕社会治理共建和谐美丽家园。6、围绕民生实事落实社会福利保障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产出指标</w:t>
            </w:r>
          </w:p>
          <w:p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(50分)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乡村振兴大课堂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期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期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0" w:firstLineChars="1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农业技术培训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0" w:firstLineChars="1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≥3次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4次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0" w:firstLineChars="1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改厕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 xml:space="preserve">   15座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20座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0" w:firstLineChars="10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道路建设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 xml:space="preserve">  ≥3条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3条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0" w:firstLineChars="10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耕地抛荒整治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60亩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73.93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0" w:firstLineChars="1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排除道路隐患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处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69个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0" w:firstLineChars="1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各项工作开展评比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全县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居中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全县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居中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0" w:firstLineChars="1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年度考核工作等级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良好及以上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0" w:firstLineChars="1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各项工作开展完成时间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2024年12月31日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年内完成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0" w:firstLineChars="1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全年完成工作及时率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0" w:firstLineChars="1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0" w:firstLineChars="1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经济成本控制率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≤100%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≤100%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0" w:firstLineChars="1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效益指标</w:t>
            </w:r>
          </w:p>
          <w:p>
            <w:pPr>
              <w:spacing w:line="240" w:lineRule="exact"/>
              <w:ind w:firstLine="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提高资金使用率，带来经济系统长期正常发展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保障经济长期正常发展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保障经济长期正常发展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0" w:firstLineChars="1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社会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社会福利保障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100%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0" w:firstLineChars="1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群众生活质量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进一步提高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进一步提高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0" w:firstLineChars="10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社会治安综合治理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明显提高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明显提高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0" w:firstLineChars="1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群众环境保护意识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显著提高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显著提高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0" w:firstLineChars="1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改善人居环境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100%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100%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0" w:firstLineChars="1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可持续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影响指标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民众安全意识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显著提高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显著提高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0" w:firstLineChars="1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0" w:firstLineChars="10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政府履职能力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进一步提高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进一步提高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0" w:firstLineChars="1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满意度指标（10分）</w:t>
            </w: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服务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对象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服务对象满意度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≧90%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≧90%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0" w:firstLineChars="1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600" w:lineRule="exact"/>
        <w:ind w:firstLine="420"/>
        <w:jc w:val="left"/>
        <w:rPr>
          <w:rFonts w:eastAsia="仿宋_GB2312"/>
          <w:kern w:val="0"/>
          <w:sz w:val="21"/>
          <w:szCs w:val="21"/>
        </w:rPr>
      </w:pPr>
      <w:r>
        <w:rPr>
          <w:rFonts w:eastAsia="仿宋_GB2312"/>
          <w:kern w:val="0"/>
          <w:sz w:val="21"/>
          <w:szCs w:val="21"/>
        </w:rPr>
        <w:t>填表人：        填报日期：          联系电话：          单位负责人签字：</w:t>
      </w:r>
    </w:p>
    <w:p>
      <w:pPr>
        <w:spacing w:line="600" w:lineRule="exact"/>
        <w:ind w:firstLine="0" w:firstLineChars="0"/>
        <w:rPr>
          <w:rFonts w:hint="eastAsia" w:ascii="仿宋" w:hAnsi="仿宋" w:eastAsia="仿宋" w:cs="仿宋"/>
          <w:kern w:val="0"/>
        </w:rPr>
      </w:pPr>
    </w:p>
    <w:sectPr>
      <w:headerReference r:id="rId3" w:type="default"/>
      <w:footerReference r:id="rId4" w:type="default"/>
      <w:footerReference r:id="rId5" w:type="even"/>
      <w:pgSz w:w="11905" w:h="16837"/>
      <w:pgMar w:top="1440" w:right="1800" w:bottom="1440" w:left="1800" w:header="720" w:footer="1701" w:gutter="0"/>
      <w:pgNumType w:fmt="numberInDash" w:start="1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epSeek-CJK-patch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方正书宋_GBK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方正小标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fldChar w:fldCharType="end"/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4"/>
      <w:numFmt w:val="decimal"/>
      <w:suff w:val="nothing"/>
      <w:lvlText w:val="%1、"/>
      <w:lvlJc w:val="left"/>
    </w:lvl>
  </w:abstractNum>
  <w:abstractNum w:abstractNumId="2">
    <w:nsid w:val="00000002"/>
    <w:multiLevelType w:val="singleLevel"/>
    <w:tmpl w:val="0000000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0000003"/>
    <w:multiLevelType w:val="singleLevel"/>
    <w:tmpl w:val="00000003"/>
    <w:lvl w:ilvl="0" w:tentative="0">
      <w:start w:val="8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47361"/>
    <w:rsid w:val="3F8FBA8C"/>
    <w:rsid w:val="BF7B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sz w:val="32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toa heading"/>
    <w:basedOn w:val="1"/>
    <w:next w:val="1"/>
    <w:qFormat/>
    <w:uiPriority w:val="0"/>
    <w:pPr>
      <w:spacing w:before="120" w:after="200" w:line="276" w:lineRule="auto"/>
    </w:pPr>
    <w:rPr>
      <w:rFonts w:ascii="Arial" w:hAnsi="Arial" w:eastAsia="宋体"/>
      <w:sz w:val="24"/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3021</Words>
  <Characters>3352</Characters>
  <Paragraphs>487</Paragraphs>
  <TotalTime>8</TotalTime>
  <ScaleCrop>false</ScaleCrop>
  <LinksUpToDate>false</LinksUpToDate>
  <CharactersWithSpaces>3484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2021-04-19T23:48:00Z</dcterms:created>
  <dc:creator>彭礼孝</dc:creator>
  <cp:lastModifiedBy>欣</cp:lastModifiedBy>
  <cp:lastPrinted>2024-05-29T18:08:00Z</cp:lastPrinted>
  <dcterms:modified xsi:type="dcterms:W3CDTF">2025-09-30T13:21:40Z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AB810C59E2894EE691622EC438F15754_13</vt:lpwstr>
  </property>
</Properties>
</file>