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sz w:val="32"/>
          <w:szCs w:val="32"/>
        </w:rPr>
      </w:pPr>
      <w:r>
        <w:rPr>
          <w:rFonts w:hint="eastAsia" w:ascii="黑体" w:hAnsi="黑体" w:eastAsia="黑体" w:cs="黑体"/>
          <w:sz w:val="32"/>
          <w:szCs w:val="32"/>
        </w:rPr>
        <w:t>隆回县发展和改革局部门整体支出绩效自评报告</w:t>
      </w:r>
    </w:p>
    <w:p>
      <w:pPr>
        <w:spacing w:line="600" w:lineRule="exact"/>
        <w:rPr>
          <w:sz w:val="32"/>
          <w:szCs w:val="32"/>
        </w:rPr>
      </w:pPr>
    </w:p>
    <w:p>
      <w:pPr>
        <w:spacing w:line="600" w:lineRule="exact"/>
        <w:ind w:firstLine="960" w:firstLineChars="300"/>
        <w:rPr>
          <w:rFonts w:ascii="黑体" w:hAnsi="黑体" w:eastAsia="黑体" w:cs="黑体"/>
          <w:sz w:val="32"/>
          <w:szCs w:val="32"/>
        </w:rPr>
      </w:pPr>
      <w:r>
        <w:rPr>
          <w:rFonts w:hint="eastAsia" w:ascii="黑体" w:hAnsi="黑体" w:eastAsia="黑体" w:cs="黑体"/>
          <w:sz w:val="32"/>
          <w:szCs w:val="32"/>
        </w:rPr>
        <w:t>一、部门概况</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（一）部门基本情况</w:t>
      </w:r>
    </w:p>
    <w:p>
      <w:pPr>
        <w:shd w:val="clear" w:color="auto" w:fill="FFFFFF"/>
        <w:spacing w:line="400" w:lineRule="atLeast"/>
        <w:ind w:firstLine="640" w:firstLineChars="200"/>
        <w:rPr>
          <w:rFonts w:ascii="仿宋_GB2312" w:hAnsi="宋体" w:eastAsia="仿宋_GB2312" w:cs="宋体"/>
          <w:color w:val="030301"/>
          <w:kern w:val="0"/>
          <w:sz w:val="32"/>
          <w:szCs w:val="32"/>
        </w:rPr>
      </w:pPr>
      <w:r>
        <w:rPr>
          <w:rFonts w:ascii="仿宋" w:hAnsi="仿宋" w:eastAsia="仿宋_GB2312" w:cs="仿宋"/>
          <w:sz w:val="32"/>
          <w:szCs w:val="32"/>
        </w:rPr>
        <w:t>1.</w:t>
      </w:r>
      <w:r>
        <w:rPr>
          <w:rFonts w:hint="eastAsia" w:ascii="仿宋" w:hAnsi="仿宋" w:eastAsia="仿宋_GB2312" w:cs="仿宋"/>
          <w:sz w:val="32"/>
          <w:szCs w:val="32"/>
        </w:rPr>
        <w:t>部门职责：</w:t>
      </w:r>
      <w:r>
        <w:rPr>
          <w:rFonts w:hint="eastAsia" w:ascii="仿宋_GB2312" w:eastAsia="仿宋_GB2312"/>
          <w:sz w:val="32"/>
          <w:szCs w:val="32"/>
        </w:rPr>
        <w:t>隆回县发展和改革局主要承担拟订全县经济社会发展战略，提出全县国民经济发展和优化重大经济结构的目标、政策；加强和改善宏观调控，研究全县宏观经济运行、总量平衡、经济安全和总体产业安全等重要问题并提出宏观调控政策建议；综合协调各项政策</w:t>
      </w:r>
      <w:r>
        <w:rPr>
          <w:rFonts w:ascii="仿宋_GB2312" w:eastAsia="仿宋_GB2312"/>
          <w:sz w:val="32"/>
          <w:szCs w:val="32"/>
        </w:rPr>
        <w:t>;</w:t>
      </w:r>
      <w:r>
        <w:rPr>
          <w:rFonts w:hint="eastAsia" w:ascii="仿宋_GB2312" w:eastAsia="仿宋_GB2312"/>
          <w:sz w:val="32"/>
          <w:szCs w:val="32"/>
        </w:rPr>
        <w:t>推进经济体制改革，组织拟订综合性经济体制改革方案；引导和监督固定资产投资；推进产业结构战略调整和升级；促进区域协调发展；引导和调控市场，承担重要商品总量平衡和宏观调控；促进经济社会协调发展；推进可持续发展，负责节能减排的综合协调工作，组织拟订发展循环经济、全县资源节约和综合利用规划及政策措施并协调实施；编制并组织实施全县国民经济动员和装备动员规划、计划；起草国民经济和社会发展、经济体制改革和对外开放有关规范性文件，参与有关规范性文件的实施等职能；</w:t>
      </w:r>
      <w:r>
        <w:rPr>
          <w:rFonts w:hint="eastAsia" w:ascii="仿宋_GB2312" w:hAnsi="仿宋" w:eastAsia="仿宋_GB2312" w:cs="仿宋"/>
          <w:sz w:val="32"/>
          <w:szCs w:val="32"/>
        </w:rPr>
        <w:t>贯彻执行国家价格法及相关政策和法规，履行引导、规范市场经济条件下市场主体的价格行为和政府调控管理价格的职能；加强市场监管，依法查处全区范围内各种违反价格收费法规和政策的行为，指导行业组织价格自律工作；完成农产品成本调查工作，为政府价格决策提供可靠的依据；负责全县市场价格监测、分析、预测和预警，掌握市场物价运行状况；承担全县涉案物价格鉴证等工作；</w:t>
      </w:r>
      <w:r>
        <w:rPr>
          <w:rFonts w:hint="eastAsia" w:ascii="仿宋_GB2312" w:hAnsi="宋体" w:eastAsia="仿宋_GB2312" w:cs="宋体"/>
          <w:color w:val="030301"/>
          <w:kern w:val="0"/>
          <w:sz w:val="32"/>
          <w:szCs w:val="32"/>
        </w:rPr>
        <w:t>贯彻执行国家和省、市、县有关粮食流通和粮油储备的方针、政策和法规；拟定全县粮食流通行业中长期发展规划和年度计划；研究提出全县粮油流通产业政策、产业结构和布局的建议；按照国家有关政策和省、市、县政府的统一部署，抓好粮食流通体制改革执行及各项工作的落实；负责全县粮食总量平衡，搞好粮食数量和品种的余缺调剂；组织和落实上级下达的粮食购销、县内外调运和进出口任务，保持全县粮食市场稳定；负责组织、协调国家粮食定购任务的落实，完成国家粮食收购任务；按照县政府有关规定搞好城乡粮油供应和销售；做好灾区、库区移民和缺粮贫困地区的粮食供应；安排以工代赈和国家重点建设项目的粮食供应；做好全县军粮供应与管理工作。指导全县粮食流通的行业管理；组织全县粮食系统的教育和培训、科研活动及科技成果鉴定；指导并推动全行业的技术改造和新技术推广；负责全行业的对外交流与合作；承担行业统计工作；组织做好粮油购、销、储的质检工作；协同县质量技术监督局做好粮食质量标准的管理工作；负责全县粮食系统仓政管理，管理区域内粮油调拨运输，监督检查全县粮油库存、质量和安全；制定全县粮油仓储的布局规划并组织实施；指导全县粮食储备工作，负责国家和省级专储粮的管理工作，研究提出全县对国家、省、市、县</w:t>
      </w:r>
      <w:r>
        <w:rPr>
          <w:rFonts w:ascii="仿宋_GB2312" w:hAnsi="宋体" w:eastAsia="仿宋_GB2312" w:cs="宋体"/>
          <w:color w:val="030301"/>
          <w:kern w:val="0"/>
          <w:sz w:val="32"/>
          <w:szCs w:val="32"/>
        </w:rPr>
        <w:t>(</w:t>
      </w:r>
      <w:r>
        <w:rPr>
          <w:rFonts w:hint="eastAsia" w:ascii="仿宋_GB2312" w:hAnsi="宋体" w:eastAsia="仿宋_GB2312" w:cs="宋体"/>
          <w:color w:val="030301"/>
          <w:kern w:val="0"/>
          <w:sz w:val="32"/>
          <w:szCs w:val="32"/>
        </w:rPr>
        <w:t>区</w:t>
      </w:r>
      <w:r>
        <w:rPr>
          <w:rFonts w:ascii="仿宋_GB2312" w:hAnsi="宋体" w:eastAsia="仿宋_GB2312" w:cs="宋体"/>
          <w:color w:val="030301"/>
          <w:kern w:val="0"/>
          <w:sz w:val="32"/>
          <w:szCs w:val="32"/>
        </w:rPr>
        <w:t>)</w:t>
      </w:r>
      <w:r>
        <w:rPr>
          <w:rFonts w:hint="eastAsia" w:ascii="仿宋_GB2312" w:hAnsi="宋体" w:eastAsia="仿宋_GB2312" w:cs="宋体"/>
          <w:color w:val="030301"/>
          <w:kern w:val="0"/>
          <w:sz w:val="32"/>
          <w:szCs w:val="32"/>
        </w:rPr>
        <w:t>级储备粮的规模、总体布局的收购、销售、动用计划，并负责督促实施；指导粮食批发交易市场体系建设；根据有关政策法规，对从事粮食收购、批发经营业务的经营资格进行初步审查；加强市场预测、分析和管理，促进粮食有序流通；承办县委、政府交办的其他工作。</w:t>
      </w:r>
      <w:r>
        <w:rPr>
          <w:rFonts w:ascii="仿宋_GB2312" w:hAnsi="宋体" w:eastAsia="仿宋_GB2312" w:cs="宋体"/>
          <w:color w:val="030301"/>
          <w:kern w:val="0"/>
          <w:sz w:val="32"/>
          <w:szCs w:val="32"/>
        </w:rPr>
        <w:t xml:space="preserve"> </w:t>
      </w:r>
    </w:p>
    <w:p>
      <w:pPr>
        <w:widowControl/>
        <w:shd w:val="clear" w:color="auto" w:fill="FFFFFF"/>
        <w:spacing w:before="100" w:beforeAutospacing="1" w:after="100" w:afterAutospacing="1" w:line="270" w:lineRule="atLeast"/>
        <w:jc w:val="left"/>
        <w:rPr>
          <w:rFonts w:ascii="宋体" w:eastAsia="仿宋_GB2312" w:cs="宋体"/>
          <w:color w:val="030301"/>
          <w:kern w:val="0"/>
          <w:sz w:val="32"/>
          <w:szCs w:val="32"/>
        </w:rPr>
      </w:pPr>
      <w:r>
        <w:rPr>
          <w:rFonts w:ascii="宋体" w:eastAsia="仿宋_GB2312" w:cs="宋体"/>
          <w:color w:val="030301"/>
          <w:kern w:val="0"/>
          <w:sz w:val="18"/>
          <w:szCs w:val="18"/>
        </w:rPr>
        <w:t xml:space="preserve">     </w:t>
      </w:r>
      <w:r>
        <w:rPr>
          <w:rFonts w:ascii="仿宋" w:hAnsi="仿宋" w:eastAsia="仿宋_GB2312" w:cs="仿宋"/>
          <w:sz w:val="32"/>
          <w:szCs w:val="32"/>
        </w:rPr>
        <w:t xml:space="preserve"> 2.</w:t>
      </w:r>
      <w:r>
        <w:rPr>
          <w:rFonts w:hint="eastAsia" w:ascii="仿宋" w:hAnsi="仿宋" w:eastAsia="仿宋_GB2312" w:cs="仿宋"/>
          <w:sz w:val="32"/>
          <w:szCs w:val="32"/>
        </w:rPr>
        <w:t>机构设置：我局内设</w:t>
      </w:r>
      <w:r>
        <w:rPr>
          <w:rFonts w:hint="eastAsia" w:ascii="仿宋" w:hAnsi="仿宋" w:eastAsia="仿宋_GB2312" w:cs="仿宋"/>
          <w:sz w:val="32"/>
          <w:szCs w:val="32"/>
          <w:lang w:val="en-US" w:eastAsia="zh-CN"/>
        </w:rPr>
        <w:t>15</w:t>
      </w:r>
      <w:r>
        <w:rPr>
          <w:rFonts w:hint="eastAsia" w:ascii="仿宋" w:hAnsi="仿宋" w:eastAsia="仿宋_GB2312" w:cs="仿宋"/>
          <w:sz w:val="32"/>
          <w:szCs w:val="32"/>
        </w:rPr>
        <w:t>个职能股室，</w:t>
      </w:r>
      <w:r>
        <w:rPr>
          <w:rFonts w:hint="eastAsia" w:ascii="仿宋" w:hAnsi="仿宋" w:eastAsia="仿宋_GB2312" w:cs="仿宋"/>
          <w:sz w:val="32"/>
          <w:szCs w:val="32"/>
          <w:lang w:val="en-US" w:eastAsia="zh-CN"/>
        </w:rPr>
        <w:t>3</w:t>
      </w:r>
      <w:r>
        <w:rPr>
          <w:rFonts w:hint="eastAsia" w:ascii="仿宋" w:hAnsi="仿宋" w:eastAsia="仿宋_GB2312" w:cs="仿宋"/>
          <w:sz w:val="32"/>
          <w:szCs w:val="32"/>
        </w:rPr>
        <w:t>个二级机构。职能股室是：</w:t>
      </w:r>
      <w:r>
        <w:rPr>
          <w:rFonts w:hint="eastAsia" w:ascii="仿宋_GB2312" w:eastAsia="仿宋_GB2312"/>
          <w:sz w:val="32"/>
          <w:szCs w:val="32"/>
        </w:rPr>
        <w:t>办公室、财务股、综合改革和投资股（县“两型社会”建设综合配套改革办公室）、农村经济股、工交环资能源股(县铁路机场建设办公室）、社会发展和服务业股、财贸金融和信用建设股、招投标和法规股、湘西地区开发股、价格管理和收费股、行政审批服务股、优化经济环境股（县优化经济发展环境领导小组办公室）、项目建设管理股（县项目代建管理办公室）、粮食管理股、物资储备股。</w:t>
      </w:r>
      <w:r>
        <w:rPr>
          <w:rFonts w:hint="eastAsia" w:ascii="仿宋" w:hAnsi="仿宋" w:eastAsia="仿宋_GB2312" w:cs="仿宋"/>
          <w:sz w:val="32"/>
          <w:szCs w:val="32"/>
        </w:rPr>
        <w:t>二级机构是：</w:t>
      </w:r>
      <w:r>
        <w:rPr>
          <w:rFonts w:hint="eastAsia" w:ascii="仿宋" w:hAnsi="仿宋" w:eastAsia="仿宋_GB2312" w:cs="仿宋"/>
          <w:sz w:val="32"/>
          <w:szCs w:val="32"/>
          <w:lang w:eastAsia="zh-CN"/>
        </w:rPr>
        <w:t>发展和改革事务中心</w:t>
      </w:r>
      <w:r>
        <w:rPr>
          <w:rFonts w:hint="eastAsia" w:ascii="仿宋" w:hAnsi="仿宋" w:eastAsia="仿宋_GB2312" w:cs="仿宋"/>
          <w:sz w:val="32"/>
          <w:szCs w:val="32"/>
        </w:rPr>
        <w:t>、价格认证中心、</w:t>
      </w:r>
      <w:r>
        <w:rPr>
          <w:rFonts w:hint="eastAsia" w:ascii="仿宋" w:hAnsi="仿宋" w:eastAsia="仿宋_GB2312" w:cs="仿宋"/>
          <w:sz w:val="32"/>
          <w:szCs w:val="32"/>
          <w:lang w:eastAsia="zh-CN"/>
        </w:rPr>
        <w:t>粮油质量监测中心</w:t>
      </w:r>
      <w:r>
        <w:rPr>
          <w:rFonts w:hint="eastAsia" w:ascii="仿宋" w:hAnsi="仿宋" w:eastAsia="仿宋_GB2312" w:cs="仿宋"/>
          <w:sz w:val="32"/>
          <w:szCs w:val="32"/>
        </w:rPr>
        <w:t>。</w:t>
      </w:r>
      <w:r>
        <w:rPr>
          <w:rFonts w:ascii="仿宋" w:hAnsi="仿宋" w:eastAsia="仿宋_GB2312" w:cs="仿宋"/>
          <w:sz w:val="32"/>
          <w:szCs w:val="32"/>
        </w:rPr>
        <w:br w:type="textWrapping"/>
      </w:r>
      <w:r>
        <w:rPr>
          <w:rFonts w:ascii="仿宋" w:hAnsi="仿宋" w:eastAsia="仿宋_GB2312" w:cs="仿宋"/>
          <w:sz w:val="32"/>
          <w:szCs w:val="32"/>
        </w:rPr>
        <w:t xml:space="preserve">   3.</w:t>
      </w:r>
      <w:r>
        <w:rPr>
          <w:rFonts w:hint="eastAsia" w:ascii="仿宋" w:hAnsi="仿宋" w:eastAsia="仿宋_GB2312" w:cs="仿宋"/>
          <w:sz w:val="32"/>
          <w:szCs w:val="32"/>
        </w:rPr>
        <w:t>单位基本情况：我局编制人数为</w:t>
      </w:r>
      <w:r>
        <w:rPr>
          <w:rFonts w:ascii="仿宋" w:hAnsi="仿宋" w:eastAsia="仿宋_GB2312" w:cs="仿宋"/>
          <w:sz w:val="32"/>
          <w:szCs w:val="32"/>
        </w:rPr>
        <w:t>35</w:t>
      </w:r>
      <w:r>
        <w:rPr>
          <w:rFonts w:hint="eastAsia" w:ascii="仿宋" w:hAnsi="仿宋" w:eastAsia="仿宋_GB2312" w:cs="仿宋"/>
          <w:sz w:val="32"/>
          <w:szCs w:val="32"/>
        </w:rPr>
        <w:t>人，实际人数</w:t>
      </w:r>
      <w:r>
        <w:rPr>
          <w:rFonts w:hint="eastAsia" w:ascii="仿宋" w:hAnsi="仿宋" w:eastAsia="仿宋_GB2312" w:cs="仿宋"/>
          <w:sz w:val="32"/>
          <w:szCs w:val="32"/>
          <w:lang w:val="en-US" w:eastAsia="zh-CN"/>
        </w:rPr>
        <w:t>136</w:t>
      </w:r>
      <w:r>
        <w:rPr>
          <w:rFonts w:hint="eastAsia" w:ascii="仿宋" w:hAnsi="仿宋" w:eastAsia="仿宋_GB2312" w:cs="仿宋"/>
          <w:sz w:val="32"/>
          <w:szCs w:val="32"/>
        </w:rPr>
        <w:t>人，其中在职</w:t>
      </w:r>
      <w:r>
        <w:rPr>
          <w:rFonts w:hint="eastAsia" w:ascii="仿宋" w:hAnsi="仿宋" w:eastAsia="仿宋_GB2312" w:cs="仿宋"/>
          <w:sz w:val="32"/>
          <w:szCs w:val="32"/>
          <w:lang w:val="en-US" w:eastAsia="zh-CN"/>
        </w:rPr>
        <w:t>70</w:t>
      </w:r>
      <w:r>
        <w:rPr>
          <w:rFonts w:hint="eastAsia" w:ascii="仿宋" w:hAnsi="仿宋" w:eastAsia="仿宋_GB2312" w:cs="仿宋"/>
          <w:sz w:val="32"/>
          <w:szCs w:val="32"/>
        </w:rPr>
        <w:t>人，离退休</w:t>
      </w:r>
      <w:r>
        <w:rPr>
          <w:rFonts w:hint="eastAsia" w:ascii="仿宋" w:hAnsi="仿宋" w:eastAsia="仿宋_GB2312" w:cs="仿宋"/>
          <w:sz w:val="32"/>
          <w:szCs w:val="32"/>
          <w:lang w:val="en-US" w:eastAsia="zh-CN"/>
        </w:rPr>
        <w:t>66</w:t>
      </w:r>
      <w:r>
        <w:rPr>
          <w:rFonts w:hint="eastAsia" w:ascii="仿宋" w:hAnsi="仿宋" w:eastAsia="仿宋_GB2312" w:cs="仿宋"/>
          <w:sz w:val="32"/>
          <w:szCs w:val="32"/>
        </w:rPr>
        <w:t>人。遗属补助人数</w:t>
      </w:r>
      <w:r>
        <w:rPr>
          <w:rFonts w:hint="eastAsia" w:ascii="仿宋" w:hAnsi="仿宋" w:eastAsia="仿宋_GB2312" w:cs="仿宋"/>
          <w:sz w:val="32"/>
          <w:szCs w:val="32"/>
          <w:lang w:val="en-US" w:eastAsia="zh-CN"/>
        </w:rPr>
        <w:t>3</w:t>
      </w:r>
      <w:r>
        <w:rPr>
          <w:rFonts w:hint="eastAsia" w:ascii="仿宋" w:hAnsi="仿宋" w:eastAsia="仿宋_GB2312" w:cs="仿宋"/>
          <w:sz w:val="32"/>
          <w:szCs w:val="32"/>
        </w:rPr>
        <w:t>人；小车编制数</w:t>
      </w:r>
      <w:r>
        <w:rPr>
          <w:rFonts w:ascii="仿宋" w:hAnsi="仿宋" w:eastAsia="仿宋_GB2312" w:cs="仿宋"/>
          <w:sz w:val="32"/>
          <w:szCs w:val="32"/>
        </w:rPr>
        <w:t>0</w:t>
      </w:r>
      <w:r>
        <w:rPr>
          <w:rFonts w:hint="eastAsia" w:ascii="仿宋" w:hAnsi="仿宋" w:eastAsia="仿宋_GB2312" w:cs="仿宋"/>
          <w:sz w:val="32"/>
          <w:szCs w:val="32"/>
        </w:rPr>
        <w:t>台，实际</w:t>
      </w:r>
      <w:r>
        <w:rPr>
          <w:rFonts w:ascii="仿宋" w:hAnsi="仿宋" w:eastAsia="仿宋_GB2312" w:cs="仿宋"/>
          <w:sz w:val="32"/>
          <w:szCs w:val="32"/>
        </w:rPr>
        <w:t>0</w:t>
      </w:r>
      <w:r>
        <w:rPr>
          <w:rFonts w:hint="eastAsia" w:ascii="仿宋" w:hAnsi="仿宋" w:eastAsia="仿宋_GB2312" w:cs="仿宋"/>
          <w:sz w:val="32"/>
          <w:szCs w:val="32"/>
        </w:rPr>
        <w:t>台；房屋面积2408平方米，固定资产</w:t>
      </w:r>
      <w:r>
        <w:rPr>
          <w:rFonts w:hint="eastAsia" w:ascii="仿宋_GB2312" w:hAnsi="仿宋" w:eastAsia="仿宋_GB2312" w:cs="仿宋"/>
          <w:sz w:val="32"/>
          <w:szCs w:val="32"/>
          <w:lang w:val="en-US" w:eastAsia="zh-CN"/>
        </w:rPr>
        <w:t>158.57</w:t>
      </w:r>
      <w:r>
        <w:rPr>
          <w:rFonts w:hint="eastAsia" w:ascii="仿宋" w:hAnsi="仿宋" w:eastAsia="仿宋_GB2312" w:cs="仿宋"/>
          <w:sz w:val="32"/>
          <w:szCs w:val="32"/>
        </w:rPr>
        <w:t>万元。</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2020</w:t>
      </w:r>
      <w:r>
        <w:rPr>
          <w:rFonts w:hint="eastAsia" w:ascii="楷体" w:hAnsi="楷体" w:eastAsia="楷体" w:cs="楷体"/>
          <w:b/>
          <w:bCs/>
          <w:sz w:val="32"/>
          <w:szCs w:val="32"/>
        </w:rPr>
        <w:t>年的重点工作</w:t>
      </w:r>
    </w:p>
    <w:p>
      <w:pPr>
        <w:spacing w:line="560" w:lineRule="exact"/>
        <w:ind w:firstLine="640" w:firstLineChars="200"/>
        <w:rPr>
          <w:rFonts w:ascii="黑体" w:hAnsi="黑体" w:eastAsia="黑体"/>
          <w:b w:val="0"/>
          <w:bCs w:val="0"/>
          <w:sz w:val="32"/>
          <w:szCs w:val="32"/>
        </w:rPr>
      </w:pPr>
      <w:r>
        <w:rPr>
          <w:rFonts w:hint="eastAsia" w:ascii="楷体" w:hAnsi="楷体" w:eastAsia="楷体" w:cs="楷体"/>
          <w:b w:val="0"/>
          <w:bCs w:val="0"/>
          <w:color w:val="000000"/>
          <w:sz w:val="32"/>
          <w:szCs w:val="32"/>
          <w:lang w:val="en-US" w:eastAsia="zh-CN"/>
        </w:rPr>
        <w:t>（一）</w:t>
      </w:r>
      <w:r>
        <w:rPr>
          <w:rFonts w:hint="eastAsia" w:ascii="楷体" w:hAnsi="楷体" w:eastAsia="楷体" w:cs="楷体"/>
          <w:b/>
          <w:bCs w:val="0"/>
          <w:color w:val="000000"/>
          <w:kern w:val="2"/>
          <w:sz w:val="32"/>
          <w:szCs w:val="32"/>
          <w:lang w:val="en-US" w:eastAsia="zh-CN" w:bidi="ar-SA"/>
        </w:rPr>
        <w:t>坚持规划引导、注重谋划研判，在宏观经济调控上取得新成效。</w:t>
      </w:r>
      <w:r>
        <w:rPr>
          <w:rFonts w:hint="eastAsia" w:ascii="仿宋_GB2312" w:hAnsi="仿宋_GB2312" w:eastAsia="仿宋_GB2312" w:cs="仿宋_GB2312"/>
          <w:b w:val="0"/>
          <w:bCs/>
          <w:color w:val="000000"/>
          <w:sz w:val="32"/>
          <w:szCs w:val="32"/>
          <w:lang w:val="en-US" w:eastAsia="zh-CN"/>
        </w:rPr>
        <w:t>一</w:t>
      </w:r>
      <w:r>
        <w:rPr>
          <w:rFonts w:hint="eastAsia" w:ascii="仿宋_GB2312" w:hAnsi="仿宋_GB2312" w:eastAsia="仿宋_GB2312" w:cs="仿宋_GB2312"/>
          <w:b w:val="0"/>
          <w:bCs/>
          <w:color w:val="000000"/>
          <w:sz w:val="32"/>
          <w:szCs w:val="32"/>
          <w:lang w:eastAsia="zh-CN"/>
        </w:rPr>
        <w:t>是</w:t>
      </w:r>
      <w:r>
        <w:rPr>
          <w:rFonts w:hint="eastAsia" w:ascii="仿宋_GB2312" w:hAnsi="仿宋_GB2312" w:eastAsia="仿宋_GB2312" w:cs="仿宋_GB2312"/>
          <w:b w:val="0"/>
          <w:bCs/>
          <w:color w:val="000000"/>
          <w:sz w:val="32"/>
          <w:szCs w:val="32"/>
          <w:lang w:val="en-US" w:eastAsia="zh-CN"/>
        </w:rPr>
        <w:t>高质量编制《隆回县国民经济和社会发展第十四个五年规划和2035远景目标》。二是科学制定计划。</w:t>
      </w:r>
      <w:r>
        <w:rPr>
          <w:rFonts w:hint="eastAsia" w:ascii="仿宋_GB2312" w:eastAsia="仿宋_GB2312"/>
          <w:b w:val="0"/>
          <w:bCs w:val="0"/>
          <w:color w:val="000000"/>
          <w:sz w:val="32"/>
          <w:szCs w:val="32"/>
          <w:lang w:val="en-US" w:eastAsia="zh-CN"/>
        </w:rPr>
        <w:t>三是精准精细编制专项规划。</w:t>
      </w:r>
    </w:p>
    <w:p>
      <w:pPr>
        <w:spacing w:line="560" w:lineRule="exact"/>
        <w:ind w:firstLine="643" w:firstLineChars="200"/>
        <w:rPr>
          <w:rFonts w:hint="eastAsia" w:ascii="仿宋_GB2312" w:hAnsi="仿宋_GB2312" w:eastAsia="仿宋_GB2312" w:cs="仿宋_GB2312"/>
          <w:b w:val="0"/>
          <w:bCs w:val="0"/>
          <w:sz w:val="32"/>
          <w:szCs w:val="32"/>
          <w:shd w:val="clear" w:color="auto" w:fill="FFFFFF"/>
          <w:lang w:val="en-US" w:eastAsia="zh-CN"/>
        </w:rPr>
      </w:pPr>
      <w:r>
        <w:rPr>
          <w:rFonts w:hint="eastAsia" w:ascii="Times New Roman" w:hAnsi="Times New Roman" w:eastAsia="楷体" w:cs="楷体"/>
          <w:b/>
          <w:bCs w:val="0"/>
          <w:color w:val="000000"/>
          <w:kern w:val="2"/>
          <w:sz w:val="32"/>
          <w:szCs w:val="32"/>
          <w:lang w:val="en-US" w:eastAsia="zh-CN" w:bidi="ar-SA"/>
        </w:rPr>
        <w:t>（二）狠抓疫情防控、推动复工复产，在促进经济回升上取得新成效</w:t>
      </w:r>
      <w:r>
        <w:rPr>
          <w:rFonts w:hint="eastAsia" w:ascii="Times New Roman" w:hAnsi="Times New Roman" w:eastAsia="楷体" w:cs="楷体"/>
          <w:b/>
          <w:bCs/>
          <w:color w:val="000000"/>
          <w:kern w:val="2"/>
          <w:sz w:val="32"/>
          <w:szCs w:val="32"/>
          <w:lang w:val="en-US" w:eastAsia="zh-CN" w:bidi="ar-SA"/>
        </w:rPr>
        <w:t>。</w:t>
      </w:r>
      <w:r>
        <w:rPr>
          <w:rFonts w:hint="eastAsia" w:ascii="仿宋_GB2312" w:hAnsi="仿宋_GB2312" w:eastAsia="仿宋_GB2312" w:cs="仿宋_GB2312"/>
          <w:b w:val="0"/>
          <w:bCs w:val="0"/>
          <w:w w:val="100"/>
          <w:kern w:val="2"/>
          <w:sz w:val="32"/>
          <w:szCs w:val="32"/>
          <w:lang w:val="en-US" w:eastAsia="zh-CN" w:bidi="ar-SA"/>
        </w:rPr>
        <w:t>一是有力推动联防联控、群防群治。</w:t>
      </w:r>
      <w:r>
        <w:rPr>
          <w:rFonts w:hint="eastAsia" w:ascii="仿宋_GB2312" w:hAnsi="仿宋_GB2312" w:eastAsia="仿宋_GB2312" w:cs="仿宋_GB2312"/>
          <w:b w:val="0"/>
          <w:bCs/>
          <w:sz w:val="32"/>
          <w:szCs w:val="32"/>
          <w:lang w:val="en-US" w:eastAsia="zh-CN"/>
        </w:rPr>
        <w:t>二是</w:t>
      </w:r>
      <w:r>
        <w:rPr>
          <w:rFonts w:hint="eastAsia" w:ascii="仿宋_GB2312" w:hAnsi="仿宋_GB2312" w:eastAsia="仿宋_GB2312" w:cs="仿宋_GB2312"/>
          <w:b w:val="0"/>
          <w:bCs/>
          <w:sz w:val="32"/>
          <w:szCs w:val="32"/>
        </w:rPr>
        <w:t>有序推动复工复产</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val="0"/>
          <w:sz w:val="32"/>
          <w:szCs w:val="32"/>
          <w:shd w:val="clear" w:color="auto" w:fill="FFFFFF"/>
          <w:lang w:val="en-US" w:eastAsia="zh-CN"/>
        </w:rPr>
        <w:t>三是有效做好疫情常态化工作。</w:t>
      </w:r>
    </w:p>
    <w:p>
      <w:pPr>
        <w:spacing w:line="560" w:lineRule="exact"/>
        <w:ind w:firstLine="643" w:firstLineChars="200"/>
        <w:rPr>
          <w:rFonts w:hint="eastAsia" w:ascii="仿宋_GB2312" w:eastAsia="仿宋_GB2312"/>
          <w:b/>
          <w:bCs/>
          <w:sz w:val="32"/>
          <w:szCs w:val="32"/>
          <w:lang w:val="en-US" w:eastAsia="zh-CN"/>
        </w:rPr>
      </w:pPr>
      <w:r>
        <w:rPr>
          <w:rFonts w:hint="eastAsia" w:ascii="Times New Roman" w:hAnsi="Times New Roman" w:eastAsia="楷体" w:cs="楷体"/>
          <w:b/>
          <w:bCs w:val="0"/>
          <w:color w:val="000000"/>
          <w:kern w:val="2"/>
          <w:sz w:val="32"/>
          <w:szCs w:val="32"/>
          <w:lang w:val="en-US" w:eastAsia="zh-CN" w:bidi="ar-SA"/>
        </w:rPr>
        <w:t>（三）坚持创新引领、促进供给升级，在推动产业发展上取得新成效。</w:t>
      </w:r>
      <w:r>
        <w:rPr>
          <w:rFonts w:hint="eastAsia" w:ascii="仿宋_GB2312" w:hAnsi="仿宋_GB2312" w:eastAsia="仿宋_GB2312" w:cs="仿宋_GB2312"/>
          <w:b w:val="0"/>
          <w:bCs w:val="0"/>
          <w:sz w:val="32"/>
          <w:szCs w:val="32"/>
          <w:shd w:val="clear" w:color="auto" w:fill="FFFFFF"/>
          <w:lang w:val="en-US" w:eastAsia="zh-CN"/>
        </w:rPr>
        <w:t>一是大力推进承接产业转移示范区建设。</w:t>
      </w:r>
      <w:r>
        <w:rPr>
          <w:rFonts w:hint="eastAsia" w:ascii="仿宋_GB2312" w:hAnsi="仿宋_GB2312" w:eastAsia="仿宋_GB2312" w:cs="仿宋_GB2312"/>
          <w:b w:val="0"/>
          <w:bCs w:val="0"/>
          <w:sz w:val="32"/>
          <w:szCs w:val="32"/>
          <w:lang w:val="en-US" w:eastAsia="zh-CN"/>
        </w:rPr>
        <w:t>二是把园区高质量发展摆在突出位置。三是现代服务业提档升级。</w:t>
      </w:r>
      <w:r>
        <w:rPr>
          <w:rFonts w:hint="eastAsia" w:ascii="仿宋_GB2312" w:eastAsia="仿宋_GB2312"/>
          <w:b w:val="0"/>
          <w:bCs w:val="0"/>
          <w:sz w:val="32"/>
          <w:szCs w:val="32"/>
          <w:lang w:val="en-US" w:eastAsia="zh-CN"/>
        </w:rPr>
        <w:t>四是农业产业基础支撑增强。</w:t>
      </w:r>
    </w:p>
    <w:p>
      <w:pPr>
        <w:spacing w:line="560" w:lineRule="exact"/>
        <w:ind w:firstLine="643" w:firstLineChars="200"/>
        <w:rPr>
          <w:rFonts w:hint="eastAsia" w:ascii="仿宋_GB2312" w:eastAsia="仿宋_GB2312"/>
          <w:b/>
          <w:bCs/>
          <w:sz w:val="32"/>
          <w:szCs w:val="32"/>
          <w:lang w:val="en-US" w:eastAsia="zh-CN"/>
        </w:rPr>
      </w:pPr>
      <w:r>
        <w:rPr>
          <w:rFonts w:hint="eastAsia" w:ascii="Times New Roman" w:hAnsi="Times New Roman" w:eastAsia="楷体" w:cs="楷体"/>
          <w:b/>
          <w:bCs w:val="0"/>
          <w:color w:val="000000"/>
          <w:kern w:val="2"/>
          <w:sz w:val="32"/>
          <w:szCs w:val="32"/>
          <w:lang w:val="en-US" w:eastAsia="zh-CN" w:bidi="ar-SA"/>
        </w:rPr>
        <w:t>（四）坚持问题导向、补齐短板弱项，在三大攻坚战上取得新成效。</w:t>
      </w:r>
      <w:r>
        <w:rPr>
          <w:rFonts w:hint="eastAsia" w:ascii="仿宋_GB2312" w:hAnsi="仿宋" w:eastAsia="仿宋_GB2312" w:cs="仿宋_GB2312"/>
          <w:b w:val="0"/>
          <w:bCs w:val="0"/>
          <w:w w:val="100"/>
          <w:kern w:val="2"/>
          <w:sz w:val="32"/>
          <w:szCs w:val="32"/>
          <w:lang w:val="en-US" w:eastAsia="zh-CN" w:bidi="ar-SA"/>
        </w:rPr>
        <w:t>一是易地扶贫搬迁获国家级表彰。</w:t>
      </w:r>
      <w:r>
        <w:rPr>
          <w:rFonts w:hint="eastAsia" w:ascii="仿宋_GB2312" w:hAnsi="仿宋_GB2312" w:eastAsia="仿宋_GB2312" w:cs="仿宋_GB2312"/>
          <w:b w:val="0"/>
          <w:bCs w:val="0"/>
          <w:kern w:val="2"/>
          <w:sz w:val="32"/>
          <w:szCs w:val="32"/>
          <w:lang w:val="en-US" w:eastAsia="zh-CN" w:bidi="ar-SA"/>
        </w:rPr>
        <w:t>二是扎实推进环境污染治理。</w:t>
      </w:r>
      <w:r>
        <w:rPr>
          <w:rFonts w:hint="eastAsia" w:ascii="仿宋_GB2312" w:hAnsi="Times New Roman" w:eastAsia="仿宋_GB2312" w:cs="仿宋_GB2312"/>
          <w:b w:val="0"/>
          <w:bCs w:val="0"/>
          <w:i w:val="0"/>
          <w:caps w:val="0"/>
          <w:color w:val="222222"/>
          <w:spacing w:val="0"/>
          <w:kern w:val="0"/>
          <w:sz w:val="32"/>
          <w:szCs w:val="32"/>
          <w:highlight w:val="none"/>
          <w:shd w:val="clear" w:color="auto" w:fill="FFFFFF"/>
          <w:lang w:val="en-US" w:eastAsia="zh-CN" w:bidi="ar"/>
        </w:rPr>
        <w:t>三是防范化解重大风险。</w:t>
      </w:r>
    </w:p>
    <w:p>
      <w:pPr>
        <w:pStyle w:val="4"/>
        <w:keepNext w:val="0"/>
        <w:keepLines w:val="0"/>
        <w:pageBreakBefore w:val="0"/>
        <w:widowControl w:val="0"/>
        <w:kinsoku/>
        <w:wordWrap/>
        <w:overflowPunct/>
        <w:topLinePunct w:val="0"/>
        <w:autoSpaceDE/>
        <w:autoSpaceDN/>
        <w:bidi w:val="0"/>
        <w:adjustRightInd/>
        <w:snapToGrid w:val="0"/>
        <w:spacing w:line="590" w:lineRule="exact"/>
        <w:ind w:firstLine="643" w:firstLineChars="200"/>
        <w:textAlignment w:val="auto"/>
        <w:rPr>
          <w:rFonts w:hint="eastAsia" w:ascii="仿宋_GB2312" w:hAnsi="仿宋" w:eastAsia="仿宋_GB2312" w:cs="仿宋_GB2312"/>
          <w:sz w:val="32"/>
          <w:szCs w:val="32"/>
          <w:lang w:val="zh-CN" w:eastAsia="zh-CN"/>
        </w:rPr>
      </w:pPr>
      <w:r>
        <w:rPr>
          <w:rFonts w:hint="eastAsia" w:ascii="Times New Roman" w:hAnsi="Times New Roman" w:eastAsia="楷体" w:cs="楷体"/>
          <w:b/>
          <w:bCs w:val="0"/>
          <w:color w:val="000000"/>
          <w:kern w:val="2"/>
          <w:sz w:val="32"/>
          <w:szCs w:val="32"/>
          <w:lang w:val="en-US" w:eastAsia="zh-CN" w:bidi="ar-SA"/>
        </w:rPr>
        <w:t>（五）积极争取资金、狠抓项目建设，在扩大有效投资上取得新成效。</w:t>
      </w:r>
      <w:r>
        <w:rPr>
          <w:rFonts w:hint="eastAsia" w:ascii="仿宋_GB2312" w:hAnsi="仿宋" w:eastAsia="仿宋_GB2312" w:cs="仿宋_GB2312"/>
          <w:b w:val="0"/>
          <w:bCs/>
          <w:sz w:val="32"/>
          <w:szCs w:val="32"/>
          <w:lang w:val="en-US" w:eastAsia="zh-CN"/>
        </w:rPr>
        <w:t>一</w:t>
      </w:r>
      <w:r>
        <w:rPr>
          <w:rFonts w:hint="eastAsia" w:ascii="仿宋_GB2312" w:hAnsi="仿宋" w:eastAsia="仿宋_GB2312" w:cs="仿宋_GB2312"/>
          <w:b w:val="0"/>
          <w:bCs/>
          <w:sz w:val="32"/>
          <w:szCs w:val="32"/>
        </w:rPr>
        <w:t>是</w:t>
      </w:r>
      <w:r>
        <w:rPr>
          <w:rFonts w:hint="eastAsia" w:ascii="仿宋_GB2312" w:hAnsi="仿宋" w:eastAsia="仿宋_GB2312" w:cs="仿宋_GB2312"/>
          <w:b w:val="0"/>
          <w:bCs/>
          <w:sz w:val="32"/>
          <w:szCs w:val="32"/>
          <w:lang w:val="en-US" w:eastAsia="zh-CN"/>
        </w:rPr>
        <w:t>投资组织</w:t>
      </w:r>
      <w:r>
        <w:rPr>
          <w:rFonts w:hint="eastAsia" w:ascii="仿宋_GB2312" w:hAnsi="仿宋" w:eastAsia="仿宋_GB2312" w:cs="仿宋_GB2312"/>
          <w:b w:val="0"/>
          <w:bCs/>
          <w:sz w:val="32"/>
          <w:szCs w:val="32"/>
        </w:rPr>
        <w:t>卓有成效。</w:t>
      </w:r>
      <w:r>
        <w:rPr>
          <w:rFonts w:hint="eastAsia" w:ascii="仿宋_GB2312" w:hAnsi="华文中宋" w:eastAsia="仿宋_GB2312"/>
          <w:b w:val="0"/>
          <w:bCs/>
          <w:sz w:val="32"/>
          <w:szCs w:val="32"/>
          <w:lang w:val="en-US" w:eastAsia="zh-CN"/>
        </w:rPr>
        <w:t>二</w:t>
      </w:r>
      <w:r>
        <w:rPr>
          <w:rFonts w:hint="eastAsia" w:ascii="仿宋_GB2312" w:hAnsi="华文中宋" w:eastAsia="仿宋_GB2312"/>
          <w:b w:val="0"/>
          <w:bCs/>
          <w:sz w:val="32"/>
          <w:szCs w:val="32"/>
        </w:rPr>
        <w:t>是</w:t>
      </w:r>
      <w:r>
        <w:rPr>
          <w:rFonts w:hint="eastAsia" w:ascii="仿宋_GB2312" w:hAnsi="华文中宋" w:eastAsia="仿宋_GB2312"/>
          <w:b w:val="0"/>
          <w:bCs/>
          <w:sz w:val="32"/>
          <w:szCs w:val="32"/>
          <w:lang w:val="en-US" w:eastAsia="zh-CN"/>
        </w:rPr>
        <w:t>重点项目建设有序推进</w:t>
      </w:r>
      <w:r>
        <w:rPr>
          <w:rFonts w:hint="eastAsia" w:ascii="仿宋_GB2312" w:hAnsi="华文中宋" w:eastAsia="仿宋_GB2312"/>
          <w:b w:val="0"/>
          <w:bCs/>
          <w:sz w:val="32"/>
          <w:szCs w:val="32"/>
        </w:rPr>
        <w:t>。</w:t>
      </w:r>
      <w:r>
        <w:rPr>
          <w:rFonts w:hint="eastAsia" w:ascii="仿宋_GB2312" w:eastAsia="仿宋_GB2312"/>
          <w:b w:val="0"/>
          <w:bCs/>
          <w:sz w:val="32"/>
          <w:szCs w:val="32"/>
          <w:lang w:eastAsia="zh-CN"/>
        </w:rPr>
        <w:t>三是</w:t>
      </w:r>
      <w:r>
        <w:rPr>
          <w:rFonts w:hint="eastAsia" w:ascii="仿宋_GB2312" w:hAnsi="仿宋" w:eastAsia="仿宋_GB2312"/>
          <w:b w:val="0"/>
          <w:bCs/>
          <w:sz w:val="32"/>
          <w:szCs w:val="32"/>
          <w:lang w:val="en-US" w:eastAsia="zh-CN"/>
        </w:rPr>
        <w:t>固定资产投资稳步向前</w:t>
      </w:r>
      <w:r>
        <w:rPr>
          <w:rFonts w:hint="eastAsia" w:ascii="仿宋_GB2312" w:hAnsi="仿宋" w:eastAsia="仿宋_GB2312"/>
          <w:b w:val="0"/>
          <w:bCs/>
          <w:sz w:val="32"/>
          <w:szCs w:val="32"/>
        </w:rPr>
        <w:t>。</w:t>
      </w:r>
      <w:r>
        <w:rPr>
          <w:rFonts w:hint="eastAsia" w:ascii="仿宋_GB2312" w:hAnsi="仿宋" w:eastAsia="仿宋_GB2312" w:cs="仿宋_GB2312"/>
          <w:b w:val="0"/>
          <w:bCs/>
          <w:sz w:val="32"/>
          <w:szCs w:val="32"/>
          <w:lang w:val="en-US" w:eastAsia="zh-CN"/>
        </w:rPr>
        <w:t>从县级重点项目来看。</w:t>
      </w:r>
      <w:r>
        <w:rPr>
          <w:rFonts w:hint="eastAsia" w:ascii="仿宋_GB2312" w:hAnsi="仿宋" w:eastAsia="仿宋_GB2312" w:cs="仿宋_GB2312"/>
          <w:b w:val="0"/>
          <w:bCs/>
          <w:sz w:val="32"/>
          <w:szCs w:val="32"/>
          <w:lang w:val="zh-CN" w:eastAsia="zh-CN"/>
        </w:rPr>
        <w:t>2020年计划实施重点项目共135个，年度计划新增投资123亿元，全年实际完成投资102.6亿元，占年度计划的82.7%。完成</w:t>
      </w:r>
      <w:r>
        <w:rPr>
          <w:rFonts w:hint="eastAsia" w:ascii="仿宋_GB2312" w:hAnsi="仿宋" w:eastAsia="仿宋_GB2312" w:cs="仿宋_GB2312"/>
          <w:b w:val="0"/>
          <w:bCs/>
          <w:sz w:val="32"/>
          <w:szCs w:val="32"/>
          <w:lang w:val="en-US" w:eastAsia="zh-CN"/>
        </w:rPr>
        <w:t>易地搬迁教育配套</w:t>
      </w:r>
      <w:r>
        <w:rPr>
          <w:rFonts w:hint="eastAsia" w:ascii="仿宋_GB2312" w:hAnsi="仿宋" w:eastAsia="仿宋_GB2312" w:cs="仿宋_GB2312"/>
          <w:b w:val="0"/>
          <w:bCs/>
          <w:sz w:val="32"/>
          <w:szCs w:val="32"/>
          <w:lang w:val="zh-CN" w:eastAsia="zh-CN"/>
        </w:rPr>
        <w:t>、县城新建自来水建设、高</w:t>
      </w:r>
      <w:r>
        <w:rPr>
          <w:rFonts w:hint="eastAsia" w:ascii="仿宋_GB2312" w:hAnsi="仿宋" w:eastAsia="仿宋_GB2312" w:cs="仿宋_GB2312"/>
          <w:sz w:val="32"/>
          <w:szCs w:val="32"/>
          <w:lang w:val="zh-CN" w:eastAsia="zh-CN"/>
        </w:rPr>
        <w:t>标准农田建设等50个项目。</w:t>
      </w:r>
      <w:r>
        <w:rPr>
          <w:rFonts w:hint="eastAsia" w:ascii="仿宋_GB2312" w:hAnsi="仿宋" w:eastAsia="仿宋_GB2312" w:cs="仿宋_GB2312"/>
          <w:b/>
          <w:bCs/>
          <w:sz w:val="32"/>
          <w:szCs w:val="32"/>
          <w:lang w:val="en-US" w:eastAsia="zh-CN"/>
        </w:rPr>
        <w:t>从市级重点项目来看。</w:t>
      </w:r>
      <w:r>
        <w:rPr>
          <w:rFonts w:hint="eastAsia" w:ascii="仿宋_GB2312" w:hAnsi="仿宋" w:eastAsia="仿宋_GB2312" w:cs="仿宋_GB2312"/>
          <w:sz w:val="32"/>
          <w:szCs w:val="32"/>
          <w:lang w:val="zh-CN" w:eastAsia="zh-CN"/>
        </w:rPr>
        <w:t>2020年我县纳入市级重点项目21个，年度计划新增投资38.9亿元，实际完成投资47.14亿元，占年度计划的121.07%。其中有17个项目纳入了市级重点产业项目，年度计划新增投资29.67亿元，实际完成投资37.81亿元，占年度计划的127.46%。宏邦精密机械设备、PCB智能设备制造、隆回金石桥风电场、隆回魏源老年公寓等项目均按时间节点超额完成任务。</w:t>
      </w:r>
      <w:r>
        <w:rPr>
          <w:rFonts w:hint="eastAsia" w:ascii="仿宋_GB2312" w:hAnsi="仿宋" w:eastAsia="仿宋_GB2312" w:cs="仿宋_GB2312"/>
          <w:b/>
          <w:bCs/>
          <w:sz w:val="32"/>
          <w:szCs w:val="32"/>
          <w:lang w:val="en-US" w:eastAsia="zh-CN"/>
        </w:rPr>
        <w:t>从省级重点项目来看。</w:t>
      </w:r>
      <w:r>
        <w:rPr>
          <w:rFonts w:hint="eastAsia" w:ascii="仿宋_GB2312" w:hAnsi="仿宋" w:eastAsia="仿宋_GB2312" w:cs="仿宋_GB2312"/>
          <w:sz w:val="32"/>
          <w:szCs w:val="32"/>
          <w:lang w:val="zh-CN" w:eastAsia="zh-CN"/>
        </w:rPr>
        <w:t>2020年，和丰信智能化年产1200万双运动鞋暨运动用品产业城项目纳入省级“5个100”重大产业项目，总投资10亿元，项目分两期进行，一期工程建设</w:t>
      </w:r>
      <w:r>
        <w:rPr>
          <w:rFonts w:hint="eastAsia" w:ascii="仿宋_GB2312" w:hAnsi="仿宋" w:eastAsia="仿宋_GB2312" w:cs="仿宋_GB2312"/>
          <w:sz w:val="32"/>
          <w:szCs w:val="32"/>
          <w:lang w:val="en-US" w:eastAsia="zh-CN"/>
        </w:rPr>
        <w:t>已竣工投产</w:t>
      </w:r>
      <w:r>
        <w:rPr>
          <w:rFonts w:hint="eastAsia" w:ascii="仿宋_GB2312" w:hAnsi="仿宋" w:eastAsia="仿宋_GB2312" w:cs="仿宋_GB2312"/>
          <w:sz w:val="32"/>
          <w:szCs w:val="32"/>
          <w:lang w:val="zh-CN" w:eastAsia="zh-CN"/>
        </w:rPr>
        <w:t>。</w:t>
      </w:r>
      <w:r>
        <w:rPr>
          <w:rFonts w:hint="eastAsia" w:ascii="仿宋_GB2312" w:eastAsia="仿宋_GB2312"/>
          <w:b/>
          <w:bCs/>
          <w:sz w:val="32"/>
          <w:szCs w:val="32"/>
          <w:lang w:eastAsia="zh-CN"/>
        </w:rPr>
        <w:t>三是</w:t>
      </w:r>
      <w:r>
        <w:rPr>
          <w:rFonts w:hint="eastAsia" w:ascii="仿宋_GB2312" w:hAnsi="仿宋" w:eastAsia="仿宋_GB2312"/>
          <w:b/>
          <w:sz w:val="32"/>
          <w:szCs w:val="32"/>
          <w:lang w:val="en-US" w:eastAsia="zh-CN"/>
        </w:rPr>
        <w:t>固定资产投资稳步向前</w:t>
      </w:r>
      <w:r>
        <w:rPr>
          <w:rFonts w:hint="eastAsia" w:ascii="仿宋_GB2312" w:hAnsi="仿宋" w:eastAsia="仿宋_GB2312"/>
          <w:b/>
          <w:sz w:val="32"/>
          <w:szCs w:val="32"/>
        </w:rPr>
        <w:t>。</w:t>
      </w:r>
      <w:r>
        <w:rPr>
          <w:rFonts w:hint="eastAsia" w:ascii="仿宋_GB2312" w:hAnsi="仿宋" w:eastAsia="仿宋_GB2312" w:cs="仿宋_GB2312"/>
          <w:sz w:val="32"/>
          <w:szCs w:val="32"/>
          <w:lang w:val="zh-CN" w:eastAsia="zh-CN"/>
        </w:rPr>
        <w:t>2020年全县固定资投资完成178.88亿元，增速11%，高于全市平均增速2.4个百分点，全市排名第一。其中5000万元以上项目112个，95.95亿元，增速17.9%，5000万元以下项目297个，完成投资69.52亿元，增速3.6%，房地产投资完成投资13.4亿元，增速5.5%。产业投资完成 145.68亿元，占固定资产投资比81.4%，增速26.9%，高于全市平均增速8.5个百分点。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eastAsia="仿宋_GB2312"/>
          <w:b w:val="0"/>
          <w:bCs/>
          <w:sz w:val="32"/>
          <w:szCs w:val="32"/>
        </w:rPr>
      </w:pPr>
      <w:r>
        <w:rPr>
          <w:rFonts w:hint="eastAsia" w:ascii="Times New Roman" w:hAnsi="Times New Roman" w:eastAsia="楷体" w:cs="楷体"/>
          <w:b/>
          <w:bCs w:val="0"/>
          <w:color w:val="000000"/>
          <w:kern w:val="2"/>
          <w:sz w:val="32"/>
          <w:szCs w:val="32"/>
          <w:lang w:val="en-US" w:eastAsia="zh-CN" w:bidi="ar-SA"/>
        </w:rPr>
        <w:t>（六）深化改革开放、优化营商环境，在释放市场活力上取得新成效。</w:t>
      </w:r>
      <w:r>
        <w:rPr>
          <w:rFonts w:hint="eastAsia" w:ascii="仿宋_GB2312" w:hAnsi="仿宋" w:eastAsia="仿宋_GB2312" w:cs="仿宋_GB2312"/>
          <w:b w:val="0"/>
          <w:bCs/>
          <w:sz w:val="32"/>
          <w:szCs w:val="32"/>
        </w:rPr>
        <w:t>一是</w:t>
      </w:r>
      <w:r>
        <w:rPr>
          <w:rFonts w:hint="eastAsia" w:ascii="仿宋_GB2312" w:hAnsi="仿宋" w:eastAsia="仿宋_GB2312" w:cs="仿宋_GB2312"/>
          <w:b w:val="0"/>
          <w:bCs/>
          <w:sz w:val="32"/>
          <w:szCs w:val="32"/>
          <w:lang w:val="en-US" w:eastAsia="zh-CN"/>
        </w:rPr>
        <w:t>持续</w:t>
      </w:r>
      <w:r>
        <w:rPr>
          <w:rFonts w:hint="eastAsia" w:ascii="仿宋_GB2312" w:hAnsi="仿宋" w:eastAsia="仿宋_GB2312" w:cs="仿宋_GB2312"/>
          <w:b w:val="0"/>
          <w:bCs/>
          <w:sz w:val="32"/>
          <w:szCs w:val="32"/>
        </w:rPr>
        <w:t>优化项目审批环境。</w:t>
      </w:r>
      <w:r>
        <w:rPr>
          <w:rFonts w:hint="eastAsia" w:ascii="仿宋_GB2312" w:eastAsia="仿宋_GB2312"/>
          <w:b w:val="0"/>
          <w:bCs/>
          <w:sz w:val="32"/>
          <w:szCs w:val="32"/>
          <w:lang w:eastAsia="zh-CN"/>
        </w:rPr>
        <w:t>二</w:t>
      </w:r>
      <w:r>
        <w:rPr>
          <w:rFonts w:hint="eastAsia" w:ascii="仿宋_GB2312" w:eastAsia="仿宋_GB2312"/>
          <w:b w:val="0"/>
          <w:bCs/>
          <w:sz w:val="32"/>
          <w:szCs w:val="32"/>
        </w:rPr>
        <w:t>是切实优化企业运营环境。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default" w:ascii="仿宋_GB2312" w:hAnsi="Times New Roman" w:eastAsia="仿宋_GB2312" w:cs="仿宋_GB2312"/>
          <w:i w:val="0"/>
          <w:caps w:val="0"/>
          <w:color w:val="222222"/>
          <w:spacing w:val="0"/>
          <w:kern w:val="0"/>
          <w:sz w:val="32"/>
          <w:szCs w:val="32"/>
          <w:shd w:val="clear" w:color="auto" w:fill="FFFFFF"/>
          <w:lang w:val="en-US" w:eastAsia="zh-CN" w:bidi="ar"/>
        </w:rPr>
      </w:pPr>
      <w:r>
        <w:rPr>
          <w:rFonts w:hint="eastAsia" w:ascii="Times New Roman" w:hAnsi="Times New Roman" w:eastAsia="楷体" w:cs="楷体"/>
          <w:b/>
          <w:bCs w:val="0"/>
          <w:color w:val="000000"/>
          <w:kern w:val="2"/>
          <w:sz w:val="32"/>
          <w:szCs w:val="32"/>
          <w:lang w:val="en-US" w:eastAsia="zh-CN" w:bidi="ar-SA"/>
        </w:rPr>
        <w:t>（七）坚持民生优先、完善公共服务，在提升保障水平上取得新成效。</w:t>
      </w:r>
      <w:r>
        <w:rPr>
          <w:rFonts w:hint="eastAsia" w:ascii="仿宋_GB2312" w:hAnsi="仿宋_GB2312" w:eastAsia="仿宋_GB2312" w:cs="仿宋_GB2312"/>
          <w:b w:val="0"/>
          <w:bCs/>
          <w:color w:val="000000"/>
          <w:kern w:val="2"/>
          <w:sz w:val="32"/>
          <w:szCs w:val="32"/>
          <w:lang w:val="en-US" w:eastAsia="zh-CN" w:bidi="ar-SA"/>
        </w:rPr>
        <w:t>一是就业形势总体稳定。</w:t>
      </w:r>
      <w:r>
        <w:rPr>
          <w:rFonts w:hint="eastAsia" w:ascii="仿宋_GB2312" w:hAnsi="黑体" w:eastAsia="仿宋_GB2312" w:cs="黑体"/>
          <w:b w:val="0"/>
          <w:bCs/>
          <w:kern w:val="36"/>
          <w:sz w:val="32"/>
          <w:szCs w:val="32"/>
          <w:lang w:val="en-US" w:eastAsia="zh-CN"/>
        </w:rPr>
        <w:t>二是牢牢把住粮食安全主动权。</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（三）部门整体支出情况</w:t>
      </w:r>
    </w:p>
    <w:p>
      <w:pPr>
        <w:ind w:firstLine="640" w:firstLineChars="200"/>
        <w:rPr>
          <w:rFonts w:ascii="仿宋_GB2312" w:hAnsi="宋体" w:eastAsia="仿宋_GB2312" w:cs="Arial"/>
          <w:color w:val="000000"/>
          <w:sz w:val="32"/>
          <w:szCs w:val="32"/>
        </w:rPr>
      </w:pPr>
      <w:r>
        <w:rPr>
          <w:rFonts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年度财政拨款总收入20936</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8</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万元，比上年减少</w:t>
      </w:r>
      <w:r>
        <w:rPr>
          <w:rFonts w:hint="eastAsia" w:ascii="仿宋_GB2312" w:hAnsi="仿宋" w:eastAsia="仿宋_GB2312" w:cs="仿宋"/>
          <w:sz w:val="32"/>
          <w:szCs w:val="32"/>
          <w:lang w:val="en-US" w:eastAsia="zh-CN"/>
        </w:rPr>
        <w:t>15.01</w:t>
      </w:r>
      <w:r>
        <w:rPr>
          <w:rFonts w:ascii="仿宋_GB2312" w:hAnsi="仿宋" w:eastAsia="仿宋_GB2312" w:cs="仿宋"/>
          <w:sz w:val="32"/>
          <w:szCs w:val="32"/>
        </w:rPr>
        <w:t>%</w:t>
      </w:r>
      <w:r>
        <w:rPr>
          <w:rFonts w:hint="eastAsia" w:ascii="仿宋_GB2312" w:hAnsi="仿宋" w:eastAsia="仿宋_GB2312" w:cs="仿宋"/>
          <w:sz w:val="32"/>
          <w:szCs w:val="32"/>
        </w:rPr>
        <w:t>；一般公共预算财政拨款收入</w:t>
      </w:r>
      <w:r>
        <w:rPr>
          <w:rFonts w:hint="eastAsia" w:ascii="仿宋_GB2312" w:eastAsia="仿宋_GB2312" w:cs="Arial"/>
          <w:color w:val="000000"/>
          <w:sz w:val="32"/>
          <w:szCs w:val="32"/>
        </w:rPr>
        <w:t>12891</w:t>
      </w:r>
      <w:r>
        <w:rPr>
          <w:rFonts w:hint="eastAsia" w:ascii="仿宋_GB2312" w:eastAsia="仿宋_GB2312" w:cs="Arial"/>
          <w:color w:val="000000"/>
          <w:sz w:val="32"/>
          <w:szCs w:val="32"/>
          <w:lang w:val="en-US" w:eastAsia="zh-CN"/>
        </w:rPr>
        <w:t>.</w:t>
      </w:r>
      <w:r>
        <w:rPr>
          <w:rFonts w:hint="eastAsia" w:ascii="仿宋_GB2312" w:eastAsia="仿宋_GB2312" w:cs="Arial"/>
          <w:color w:val="000000"/>
          <w:sz w:val="32"/>
          <w:szCs w:val="32"/>
        </w:rPr>
        <w:t>2</w:t>
      </w:r>
      <w:r>
        <w:rPr>
          <w:rFonts w:hint="eastAsia" w:ascii="仿宋_GB2312" w:eastAsia="仿宋_GB2312" w:cs="Arial"/>
          <w:color w:val="000000"/>
          <w:sz w:val="32"/>
          <w:szCs w:val="32"/>
          <w:lang w:val="en-US" w:eastAsia="zh-CN"/>
        </w:rPr>
        <w:t>4</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比上年减少</w:t>
      </w:r>
      <w:r>
        <w:rPr>
          <w:rFonts w:hint="eastAsia" w:ascii="仿宋_GB2312" w:hAnsi="仿宋" w:eastAsia="仿宋_GB2312" w:cs="仿宋"/>
          <w:sz w:val="32"/>
          <w:szCs w:val="32"/>
          <w:lang w:val="en-US" w:eastAsia="zh-CN"/>
        </w:rPr>
        <w:t>47.67</w:t>
      </w:r>
      <w:r>
        <w:rPr>
          <w:rFonts w:ascii="仿宋_GB2312" w:hAnsi="仿宋" w:eastAsia="仿宋_GB2312" w:cs="仿宋"/>
          <w:sz w:val="32"/>
          <w:szCs w:val="32"/>
        </w:rPr>
        <w:t>%</w:t>
      </w:r>
      <w:r>
        <w:rPr>
          <w:rFonts w:hint="eastAsia" w:ascii="仿宋_GB2312" w:hAnsi="仿宋" w:eastAsia="仿宋_GB2312" w:cs="仿宋"/>
          <w:sz w:val="32"/>
          <w:szCs w:val="32"/>
        </w:rPr>
        <w:t>。财政拨款总支出29710</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万元，比上年</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lang w:val="en-US" w:eastAsia="zh-CN"/>
        </w:rPr>
        <w:t>94.85</w:t>
      </w:r>
      <w:r>
        <w:rPr>
          <w:rFonts w:ascii="仿宋_GB2312" w:hAnsi="仿宋" w:eastAsia="仿宋_GB2312" w:cs="仿宋"/>
          <w:sz w:val="32"/>
          <w:szCs w:val="32"/>
        </w:rPr>
        <w:t>%</w:t>
      </w:r>
      <w:r>
        <w:rPr>
          <w:rFonts w:hint="eastAsia" w:ascii="仿宋_GB2312" w:hAnsi="仿宋" w:eastAsia="仿宋_GB2312" w:cs="仿宋"/>
          <w:sz w:val="32"/>
          <w:szCs w:val="32"/>
        </w:rPr>
        <w:t>，一般公共预算财政拨款支出</w:t>
      </w:r>
      <w:r>
        <w:rPr>
          <w:rFonts w:hint="eastAsia" w:ascii="仿宋_GB2312" w:hAnsi="仿宋" w:eastAsia="仿宋_GB2312" w:cs="仿宋"/>
          <w:sz w:val="32"/>
          <w:szCs w:val="32"/>
          <w:lang w:val="en-US" w:eastAsia="zh-CN"/>
        </w:rPr>
        <w:t>29652.05</w:t>
      </w:r>
      <w:r>
        <w:rPr>
          <w:rFonts w:hint="eastAsia" w:ascii="仿宋_GB2312" w:hAnsi="仿宋" w:eastAsia="仿宋_GB2312" w:cs="仿宋"/>
          <w:sz w:val="32"/>
          <w:szCs w:val="32"/>
        </w:rPr>
        <w:t>元。</w:t>
      </w:r>
    </w:p>
    <w:p>
      <w:pPr>
        <w:ind w:firstLine="800" w:firstLineChars="250"/>
        <w:rPr>
          <w:rFonts w:ascii="黑体" w:hAnsi="黑体" w:eastAsia="黑体" w:cs="黑体"/>
          <w:sz w:val="32"/>
          <w:szCs w:val="32"/>
        </w:rPr>
      </w:pPr>
      <w:r>
        <w:rPr>
          <w:rFonts w:hint="eastAsia" w:ascii="黑体" w:hAnsi="黑体" w:eastAsia="黑体" w:cs="黑体"/>
          <w:sz w:val="32"/>
          <w:szCs w:val="32"/>
        </w:rPr>
        <w:t>部门整体支出管理及使用情况</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（一）基本支出情况</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2020年</w:t>
      </w:r>
      <w:r>
        <w:rPr>
          <w:rFonts w:hint="eastAsia" w:ascii="仿宋_GB2312" w:hAnsi="仿宋" w:eastAsia="仿宋_GB2312" w:cs="仿宋"/>
          <w:sz w:val="32"/>
          <w:szCs w:val="32"/>
        </w:rPr>
        <w:t>财政拨款总支出1428</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万元，其中一般公共预算财政拨款支出</w:t>
      </w:r>
      <w:r>
        <w:rPr>
          <w:rFonts w:hint="eastAsia" w:ascii="仿宋_GB2312" w:hAnsi="仿宋" w:eastAsia="仿宋_GB2312" w:cs="仿宋"/>
          <w:sz w:val="32"/>
          <w:szCs w:val="32"/>
          <w:lang w:val="en-US" w:eastAsia="zh-CN"/>
        </w:rPr>
        <w:t>1369.86万</w:t>
      </w:r>
      <w:r>
        <w:rPr>
          <w:rFonts w:hint="eastAsia" w:ascii="仿宋_GB2312" w:hAnsi="仿宋" w:eastAsia="仿宋_GB2312" w:cs="仿宋"/>
          <w:sz w:val="32"/>
          <w:szCs w:val="32"/>
        </w:rPr>
        <w:t>元。</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（二）“三公”经费情况</w:t>
      </w:r>
    </w:p>
    <w:p>
      <w:pPr>
        <w:spacing w:line="600" w:lineRule="exact"/>
        <w:rPr>
          <w:rFonts w:ascii="仿宋_GB2312" w:hAnsi="仿宋" w:eastAsia="仿宋_GB2312" w:cs="仿宋"/>
          <w:sz w:val="32"/>
          <w:szCs w:val="32"/>
        </w:rPr>
      </w:pPr>
      <w:r>
        <w:rPr>
          <w:rFonts w:ascii="仿宋" w:hAnsi="仿宋" w:eastAsia="仿宋" w:cs="仿宋"/>
          <w:sz w:val="32"/>
          <w:szCs w:val="32"/>
        </w:rPr>
        <w:t xml:space="preserve">     1</w:t>
      </w:r>
      <w:r>
        <w:rPr>
          <w:rFonts w:hint="eastAsia" w:ascii="仿宋_GB2312" w:hAnsi="仿宋" w:eastAsia="仿宋_GB2312" w:cs="仿宋"/>
          <w:sz w:val="32"/>
          <w:szCs w:val="32"/>
        </w:rPr>
        <w:t>．因公出国（境）费用；没有。</w:t>
      </w:r>
    </w:p>
    <w:p>
      <w:pPr>
        <w:rPr>
          <w:rFonts w:ascii="仿宋_GB2312" w:hAnsi="宋体" w:eastAsia="仿宋_GB2312" w:cs="Arial"/>
          <w:color w:val="000000"/>
          <w:sz w:val="32"/>
          <w:szCs w:val="32"/>
        </w:rPr>
      </w:pPr>
      <w:r>
        <w:rPr>
          <w:rFonts w:ascii="仿宋_GB2312" w:hAnsi="仿宋" w:eastAsia="仿宋_GB2312" w:cs="仿宋"/>
          <w:sz w:val="32"/>
          <w:szCs w:val="32"/>
        </w:rPr>
        <w:t xml:space="preserve">     2</w:t>
      </w:r>
      <w:r>
        <w:rPr>
          <w:rFonts w:hint="eastAsia" w:ascii="仿宋_GB2312" w:hAnsi="仿宋" w:eastAsia="仿宋_GB2312" w:cs="仿宋"/>
          <w:sz w:val="32"/>
          <w:szCs w:val="32"/>
        </w:rPr>
        <w:t>．公务接待费；</w:t>
      </w:r>
      <w:r>
        <w:rPr>
          <w:rFonts w:hint="eastAsia" w:ascii="仿宋_GB2312" w:hAnsi="仿宋" w:eastAsia="仿宋_GB2312" w:cs="仿宋"/>
          <w:sz w:val="32"/>
          <w:szCs w:val="32"/>
          <w:lang w:val="en-US" w:eastAsia="zh-CN"/>
        </w:rPr>
        <w:t>2020</w:t>
      </w:r>
      <w:r>
        <w:rPr>
          <w:rFonts w:hint="eastAsia" w:ascii="仿宋_GB2312" w:hAnsi="仿宋" w:eastAsia="仿宋_GB2312" w:cs="仿宋"/>
          <w:sz w:val="32"/>
          <w:szCs w:val="32"/>
        </w:rPr>
        <w:t>年部门预算安排</w:t>
      </w:r>
      <w:r>
        <w:rPr>
          <w:rFonts w:hint="eastAsia" w:ascii="仿宋_GB2312" w:hAnsi="仿宋" w:eastAsia="仿宋_GB2312" w:cs="仿宋"/>
          <w:sz w:val="32"/>
          <w:szCs w:val="32"/>
          <w:lang w:val="en-US" w:eastAsia="zh-CN"/>
        </w:rPr>
        <w:t>22.00</w:t>
      </w:r>
      <w:r>
        <w:rPr>
          <w:rFonts w:hint="eastAsia" w:ascii="仿宋_GB2312" w:hAnsi="仿宋" w:eastAsia="仿宋_GB2312" w:cs="仿宋"/>
          <w:sz w:val="32"/>
          <w:szCs w:val="32"/>
        </w:rPr>
        <w:t>万元，实际支出</w:t>
      </w:r>
      <w:r>
        <w:rPr>
          <w:rFonts w:hint="eastAsia" w:ascii="仿宋_GB2312" w:eastAsia="仿宋_GB2312" w:cs="Arial"/>
          <w:color w:val="000000"/>
          <w:sz w:val="32"/>
          <w:szCs w:val="32"/>
          <w:lang w:val="en-US" w:eastAsia="zh-CN"/>
        </w:rPr>
        <w:t>3.87万</w:t>
      </w:r>
      <w:r>
        <w:rPr>
          <w:rFonts w:hint="eastAsia" w:ascii="仿宋_GB2312" w:hAnsi="仿宋" w:eastAsia="仿宋_GB2312" w:cs="仿宋"/>
          <w:sz w:val="32"/>
          <w:szCs w:val="32"/>
        </w:rPr>
        <w:t>元。</w:t>
      </w:r>
    </w:p>
    <w:p>
      <w:pPr>
        <w:spacing w:line="600" w:lineRule="exact"/>
        <w:rPr>
          <w:rFonts w:ascii="仿宋_GB2312" w:hAnsi="仿宋" w:eastAsia="仿宋_GB2312" w:cs="仿宋"/>
          <w:sz w:val="32"/>
          <w:szCs w:val="32"/>
        </w:rPr>
      </w:pPr>
      <w:r>
        <w:rPr>
          <w:rFonts w:ascii="仿宋_GB2312" w:hAnsi="仿宋" w:eastAsia="仿宋_GB2312" w:cs="仿宋"/>
          <w:sz w:val="32"/>
          <w:szCs w:val="32"/>
        </w:rPr>
        <w:t xml:space="preserve">     3</w:t>
      </w:r>
      <w:r>
        <w:rPr>
          <w:rFonts w:hint="eastAsia" w:ascii="仿宋_GB2312" w:hAnsi="仿宋" w:eastAsia="仿宋_GB2312" w:cs="仿宋"/>
          <w:sz w:val="32"/>
          <w:szCs w:val="32"/>
        </w:rPr>
        <w:t>．公务用车购置及运行费预算安排</w:t>
      </w:r>
      <w:r>
        <w:rPr>
          <w:rFonts w:ascii="仿宋_GB2312" w:hAnsi="仿宋" w:eastAsia="仿宋_GB2312" w:cs="仿宋"/>
          <w:sz w:val="32"/>
          <w:szCs w:val="32"/>
        </w:rPr>
        <w:t>0</w:t>
      </w:r>
      <w:r>
        <w:rPr>
          <w:rFonts w:hint="eastAsia" w:ascii="仿宋_GB2312" w:hAnsi="仿宋" w:eastAsia="仿宋_GB2312" w:cs="仿宋"/>
          <w:sz w:val="32"/>
          <w:szCs w:val="32"/>
        </w:rPr>
        <w:t>万元，实际支出</w:t>
      </w:r>
      <w:r>
        <w:rPr>
          <w:rFonts w:ascii="仿宋_GB2312" w:hAnsi="仿宋" w:eastAsia="仿宋_GB2312" w:cs="仿宋"/>
          <w:sz w:val="32"/>
          <w:szCs w:val="32"/>
        </w:rPr>
        <w:t>0</w:t>
      </w:r>
      <w:r>
        <w:rPr>
          <w:rFonts w:hint="eastAsia" w:ascii="仿宋_GB2312" w:hAnsi="仿宋" w:eastAsia="仿宋_GB2312" w:cs="仿宋"/>
          <w:sz w:val="32"/>
          <w:szCs w:val="32"/>
        </w:rPr>
        <w:t>万元。</w:t>
      </w:r>
    </w:p>
    <w:p>
      <w:pPr>
        <w:spacing w:line="60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（三）固定资产管理情况分析：</w:t>
      </w:r>
      <w:r>
        <w:rPr>
          <w:rFonts w:hint="eastAsia" w:ascii="仿宋_GB2312" w:hAnsi="仿宋" w:eastAsia="仿宋_GB2312" w:cs="仿宋"/>
          <w:sz w:val="32"/>
          <w:szCs w:val="32"/>
        </w:rPr>
        <w:t>按照厉行节约、物尽其用的原则，对资产管理采取统一建账、统一核算管理，对每件固定资产使用明确职责</w:t>
      </w:r>
      <w:r>
        <w:rPr>
          <w:rFonts w:ascii="仿宋_GB2312" w:hAnsi="仿宋" w:eastAsia="仿宋_GB2312" w:cs="仿宋"/>
          <w:sz w:val="32"/>
          <w:szCs w:val="32"/>
        </w:rPr>
        <w:t>,</w:t>
      </w:r>
      <w:r>
        <w:rPr>
          <w:rFonts w:hint="eastAsia" w:ascii="仿宋_GB2312" w:hAnsi="仿宋" w:eastAsia="仿宋_GB2312" w:cs="仿宋"/>
          <w:sz w:val="32"/>
          <w:szCs w:val="32"/>
        </w:rPr>
        <w:t>闲置的资产，由办公室统一调整、合理流动，发挥其效益，</w:t>
      </w:r>
      <w:r>
        <w:rPr>
          <w:rFonts w:hint="eastAsia" w:ascii="仿宋_GB2312" w:hAnsi="仿宋" w:eastAsia="仿宋_GB2312" w:cs="仿宋"/>
          <w:sz w:val="32"/>
          <w:szCs w:val="32"/>
          <w:lang w:val="en-US" w:eastAsia="zh-CN"/>
        </w:rPr>
        <w:t>2020</w:t>
      </w:r>
      <w:r>
        <w:rPr>
          <w:rFonts w:hint="eastAsia" w:ascii="仿宋_GB2312" w:hAnsi="仿宋" w:eastAsia="仿宋_GB2312" w:cs="仿宋"/>
          <w:sz w:val="32"/>
          <w:szCs w:val="32"/>
        </w:rPr>
        <w:t>年末固定资产为</w:t>
      </w:r>
      <w:r>
        <w:rPr>
          <w:rFonts w:hint="eastAsia" w:ascii="仿宋_GB2312" w:hAnsi="仿宋" w:eastAsia="仿宋_GB2312" w:cs="仿宋"/>
          <w:sz w:val="32"/>
          <w:szCs w:val="32"/>
          <w:lang w:val="en-US" w:eastAsia="zh-CN"/>
        </w:rPr>
        <w:t>158.57</w:t>
      </w:r>
      <w:r>
        <w:rPr>
          <w:rFonts w:hint="eastAsia" w:ascii="仿宋_GB2312" w:hAnsi="仿宋" w:eastAsia="仿宋_GB2312" w:cs="仿宋"/>
          <w:sz w:val="32"/>
          <w:szCs w:val="32"/>
        </w:rPr>
        <w:t>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三、部门整体支出绩效情况</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2020</w:t>
      </w:r>
      <w:r>
        <w:rPr>
          <w:rFonts w:hint="eastAsia" w:ascii="仿宋_GB2312" w:hAnsi="仿宋" w:eastAsia="仿宋_GB2312" w:cs="仿宋"/>
          <w:sz w:val="32"/>
          <w:szCs w:val="32"/>
        </w:rPr>
        <w:t>年，根据我局年工作要点和重点工作，围绕县委、县政府的中心工作，积极履行职责，强化管理，较好地完成了工作目标，同时加强预算收支的管理，建立健全内部管理制度，严格内部管理流程，部门整体支出管理得到了提升。</w:t>
      </w:r>
      <w:r>
        <w:rPr>
          <w:rFonts w:ascii="仿宋_GB2312" w:hAnsi="仿宋" w:eastAsia="仿宋_GB2312" w:cs="仿宋"/>
          <w:sz w:val="32"/>
          <w:szCs w:val="32"/>
        </w:rPr>
        <w:t xml:space="preserve">  </w:t>
      </w:r>
      <w:r>
        <w:rPr>
          <w:rFonts w:hint="eastAsia" w:ascii="仿宋_GB2312" w:hAnsi="仿宋" w:eastAsia="仿宋_GB2312" w:cs="仿宋"/>
          <w:sz w:val="32"/>
          <w:szCs w:val="32"/>
        </w:rPr>
        <w:t>全年度本部门整体支出绩效情况如下：</w:t>
      </w:r>
    </w:p>
    <w:p>
      <w:pPr>
        <w:spacing w:line="5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、本年预算配置控制较好，严格控制财政供养人员，因机构改革，</w:t>
      </w:r>
      <w:r>
        <w:rPr>
          <w:rFonts w:hint="eastAsia" w:ascii="仿宋_GB2312" w:hAnsi="仿宋" w:eastAsia="仿宋_GB2312" w:cs="仿宋"/>
          <w:sz w:val="32"/>
          <w:szCs w:val="32"/>
          <w:lang w:val="en-US" w:eastAsia="zh-CN"/>
        </w:rPr>
        <w:t>2020年原县物价局</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县粮食局财务并入县发改局，</w:t>
      </w:r>
      <w:r>
        <w:rPr>
          <w:rFonts w:hint="eastAsia" w:ascii="仿宋_GB2312" w:hAnsi="仿宋" w:eastAsia="仿宋_GB2312" w:cs="仿宋"/>
          <w:sz w:val="32"/>
          <w:szCs w:val="32"/>
        </w:rPr>
        <w:t>在人员增加，职能增加的情况下，我局“三公”经费支出</w:t>
      </w:r>
      <w:r>
        <w:rPr>
          <w:rFonts w:hint="eastAsia" w:ascii="仿宋_GB2312" w:hAnsi="仿宋" w:eastAsia="仿宋_GB2312" w:cs="仿宋"/>
          <w:sz w:val="32"/>
          <w:szCs w:val="32"/>
          <w:lang w:eastAsia="zh-CN"/>
        </w:rPr>
        <w:t>与去年基本持平</w:t>
      </w:r>
      <w:r>
        <w:rPr>
          <w:rFonts w:hint="eastAsia" w:ascii="仿宋_GB2312" w:hAnsi="仿宋" w:eastAsia="仿宋_GB2312" w:cs="仿宋"/>
          <w:sz w:val="32"/>
          <w:szCs w:val="32"/>
        </w:rPr>
        <w:t>。</w:t>
      </w:r>
    </w:p>
    <w:p>
      <w:pPr>
        <w:spacing w:line="5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、预算管理方面，制订了切实有效的内部财务、资产管理制度，执行总体较为有效。</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方面，严格预算支出管理。在支出预算编制上，人员经费按照配置定额，公用经费分类分档，按定额编制，根据“总量控制，计划管理”的要求从严控制行政经费，压缩公务开支，严格控制“三公经费”，资产的配置严格政府采购，按照预算科目和项目资金的规定使用财政资金，保障部门整体支出的规范化、制度化。</w:t>
      </w:r>
    </w:p>
    <w:p>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另一方面，财务管理上，按照国家相关法律法规，制定了机关财务、办公购置使用、接待会务等管理制度，并严格按照制度管理和执行，防范风险，保证财政资金的安全和高效运行。</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四、存在的问题</w:t>
      </w:r>
    </w:p>
    <w:p>
      <w:pPr>
        <w:spacing w:line="600" w:lineRule="exact"/>
        <w:rPr>
          <w:rFonts w:ascii="仿宋_GB2312" w:hAnsi="仿宋" w:eastAsia="仿宋_GB2312" w:cs="仿宋"/>
          <w:sz w:val="32"/>
          <w:szCs w:val="32"/>
        </w:rPr>
      </w:pPr>
      <w:r>
        <w:rPr>
          <w:rFonts w:ascii="仿宋" w:hAnsi="仿宋" w:eastAsia="仿宋" w:cs="仿宋"/>
          <w:sz w:val="32"/>
          <w:szCs w:val="32"/>
        </w:rPr>
        <w:t xml:space="preserve">   </w:t>
      </w:r>
      <w:r>
        <w:rPr>
          <w:rFonts w:ascii="仿宋_GB2312" w:hAnsi="仿宋" w:eastAsia="仿宋_GB2312" w:cs="仿宋"/>
          <w:sz w:val="32"/>
          <w:szCs w:val="32"/>
        </w:rPr>
        <w:t xml:space="preserve"> 1</w:t>
      </w:r>
      <w:r>
        <w:rPr>
          <w:rFonts w:hint="eastAsia" w:ascii="仿宋_GB2312" w:hAnsi="仿宋" w:eastAsia="仿宋_GB2312" w:cs="仿宋"/>
          <w:sz w:val="32"/>
          <w:szCs w:val="32"/>
        </w:rPr>
        <w:t>、预算编制与实际支出项目有的存在差异，预算编制有待更科学更合理。</w:t>
      </w:r>
    </w:p>
    <w:p>
      <w:pPr>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2、年初公用预算经费7000元/人标准太低，年终公用经费亏空较大</w:t>
      </w:r>
    </w:p>
    <w:p>
      <w:pPr>
        <w:ind w:firstLine="640" w:firstLineChars="200"/>
        <w:rPr>
          <w:rFonts w:ascii="仿宋_GB2312" w:hAnsi="楷体" w:cs="楷体"/>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项目资金</w:t>
      </w:r>
      <w:r>
        <w:rPr>
          <w:rFonts w:hint="eastAsia" w:ascii="仿宋_GB2312" w:hAnsi="楷体" w:eastAsia="仿宋_GB2312" w:cs="楷体"/>
          <w:sz w:val="32"/>
          <w:szCs w:val="32"/>
        </w:rPr>
        <w:t>年终</w:t>
      </w:r>
      <w:bookmarkStart w:id="0" w:name="_GoBack"/>
      <w:bookmarkEnd w:id="0"/>
      <w:r>
        <w:rPr>
          <w:rFonts w:hint="eastAsia" w:ascii="仿宋_GB2312" w:hAnsi="楷体" w:eastAsia="仿宋_GB2312" w:cs="楷体"/>
          <w:sz w:val="32"/>
          <w:szCs w:val="32"/>
        </w:rPr>
        <w:t>结转额度较大。</w:t>
      </w:r>
    </w:p>
    <w:p>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五、改进措施和有关建议</w:t>
      </w:r>
    </w:p>
    <w:p>
      <w:pPr>
        <w:spacing w:line="5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、年初预算编制应更加精准和细化，尽量预算和支出项目一一对应。</w:t>
      </w:r>
    </w:p>
    <w:p>
      <w:pPr>
        <w:spacing w:line="5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w:t>
      </w:r>
      <w:r>
        <w:rPr>
          <w:rFonts w:hint="eastAsia" w:ascii="仿宋_GB2312" w:hAnsi="楷体" w:eastAsia="仿宋_GB2312" w:cs="楷体"/>
          <w:sz w:val="32"/>
          <w:szCs w:val="32"/>
        </w:rPr>
        <w:t>加快对项目峻工验收</w:t>
      </w:r>
      <w:r>
        <w:rPr>
          <w:rFonts w:ascii="仿宋_GB2312" w:hAnsi="楷体" w:eastAsia="仿宋_GB2312" w:cs="楷体"/>
          <w:sz w:val="32"/>
          <w:szCs w:val="32"/>
        </w:rPr>
        <w:t>,</w:t>
      </w:r>
      <w:r>
        <w:rPr>
          <w:rFonts w:hint="eastAsia" w:ascii="仿宋_GB2312" w:hAnsi="楷体" w:eastAsia="仿宋_GB2312" w:cs="楷体"/>
          <w:sz w:val="32"/>
          <w:szCs w:val="32"/>
        </w:rPr>
        <w:t>将资金及时拔付到位。</w:t>
      </w:r>
      <w:r>
        <w:rPr>
          <w:rFonts w:ascii="仿宋_GB2312" w:hAnsi="楷体" w:eastAsia="仿宋_GB2312" w:cs="楷体"/>
          <w:sz w:val="32"/>
          <w:szCs w:val="32"/>
        </w:rPr>
        <w:t>.</w:t>
      </w:r>
    </w:p>
    <w:p>
      <w:pPr>
        <w:spacing w:line="560" w:lineRule="exact"/>
        <w:rPr>
          <w:rFonts w:ascii="仿宋_GB2312" w:hAnsi="仿宋" w:eastAsia="仿宋_GB2312"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8C6E7"/>
    <w:multiLevelType w:val="multilevel"/>
    <w:tmpl w:val="5E18C6E7"/>
    <w:lvl w:ilvl="0" w:tentative="0">
      <w:start w:val="1"/>
      <w:numFmt w:val="chineseCounting"/>
      <w:suff w:val="nothing"/>
      <w:lvlText w:val="第%1章  "/>
      <w:lvlJc w:val="left"/>
      <w:pPr>
        <w:tabs>
          <w:tab w:val="left" w:pos="0"/>
        </w:tabs>
        <w:ind w:left="0" w:firstLine="402"/>
      </w:pPr>
      <w:rPr>
        <w:rFonts w:hint="eastAsia" w:ascii="宋体" w:hAnsi="宋体" w:eastAsia="宋体" w:cs="宋体"/>
        <w:b/>
        <w:sz w:val="24"/>
      </w:rPr>
    </w:lvl>
    <w:lvl w:ilvl="1" w:tentative="0">
      <w:start w:val="1"/>
      <w:numFmt w:val="chineseCounting"/>
      <w:pStyle w:val="2"/>
      <w:suff w:val="nothing"/>
      <w:lvlText w:val="第%2节  "/>
      <w:lvlJc w:val="left"/>
      <w:pPr>
        <w:tabs>
          <w:tab w:val="left" w:pos="0"/>
        </w:tabs>
        <w:ind w:left="0" w:firstLine="402"/>
      </w:pPr>
      <w:rPr>
        <w:rFonts w:hint="eastAsia" w:ascii="宋体" w:hAnsi="宋体" w:eastAsia="宋体" w:cs="宋体"/>
        <w:b/>
        <w:sz w:val="24"/>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E2F4CFF"/>
    <w:rsid w:val="000A35FF"/>
    <w:rsid w:val="000F6D98"/>
    <w:rsid w:val="00212CB3"/>
    <w:rsid w:val="00296AE1"/>
    <w:rsid w:val="002E5E01"/>
    <w:rsid w:val="002F1A5F"/>
    <w:rsid w:val="00361A1B"/>
    <w:rsid w:val="003B0ABC"/>
    <w:rsid w:val="003C4306"/>
    <w:rsid w:val="003C43E2"/>
    <w:rsid w:val="003D147A"/>
    <w:rsid w:val="003F1BC6"/>
    <w:rsid w:val="003F5BA3"/>
    <w:rsid w:val="003F721D"/>
    <w:rsid w:val="0040796C"/>
    <w:rsid w:val="004557A1"/>
    <w:rsid w:val="004B2BD1"/>
    <w:rsid w:val="00524EFB"/>
    <w:rsid w:val="005927A5"/>
    <w:rsid w:val="005C18B6"/>
    <w:rsid w:val="005D0437"/>
    <w:rsid w:val="005D0E3D"/>
    <w:rsid w:val="006147F2"/>
    <w:rsid w:val="00622252"/>
    <w:rsid w:val="00636D8B"/>
    <w:rsid w:val="00644F43"/>
    <w:rsid w:val="006532AE"/>
    <w:rsid w:val="006648A9"/>
    <w:rsid w:val="00672452"/>
    <w:rsid w:val="006814F6"/>
    <w:rsid w:val="0073249B"/>
    <w:rsid w:val="00755624"/>
    <w:rsid w:val="007637F5"/>
    <w:rsid w:val="00773676"/>
    <w:rsid w:val="0079721B"/>
    <w:rsid w:val="007B00FE"/>
    <w:rsid w:val="007B66C0"/>
    <w:rsid w:val="007F4FDF"/>
    <w:rsid w:val="00805FD1"/>
    <w:rsid w:val="00811D39"/>
    <w:rsid w:val="008B1B6E"/>
    <w:rsid w:val="008F3D58"/>
    <w:rsid w:val="00901B16"/>
    <w:rsid w:val="00951C42"/>
    <w:rsid w:val="009554EF"/>
    <w:rsid w:val="009E228E"/>
    <w:rsid w:val="00AA6A7C"/>
    <w:rsid w:val="00AE2BC4"/>
    <w:rsid w:val="00AE36B1"/>
    <w:rsid w:val="00B11E96"/>
    <w:rsid w:val="00B637C1"/>
    <w:rsid w:val="00B84407"/>
    <w:rsid w:val="00B9480E"/>
    <w:rsid w:val="00BB4DF2"/>
    <w:rsid w:val="00BC5A5C"/>
    <w:rsid w:val="00BE0E16"/>
    <w:rsid w:val="00BE3984"/>
    <w:rsid w:val="00BF47FD"/>
    <w:rsid w:val="00C84E2C"/>
    <w:rsid w:val="00C903C4"/>
    <w:rsid w:val="00CB15E8"/>
    <w:rsid w:val="00CC1BB6"/>
    <w:rsid w:val="00D34603"/>
    <w:rsid w:val="00E10042"/>
    <w:rsid w:val="00E53681"/>
    <w:rsid w:val="00EE7196"/>
    <w:rsid w:val="00F044E7"/>
    <w:rsid w:val="00F26612"/>
    <w:rsid w:val="00F32EC4"/>
    <w:rsid w:val="00F53A70"/>
    <w:rsid w:val="00F96266"/>
    <w:rsid w:val="00FF1194"/>
    <w:rsid w:val="09252EC6"/>
    <w:rsid w:val="11AE3F6A"/>
    <w:rsid w:val="15862708"/>
    <w:rsid w:val="1A825325"/>
    <w:rsid w:val="1E8E55C6"/>
    <w:rsid w:val="213A1961"/>
    <w:rsid w:val="24833FCB"/>
    <w:rsid w:val="28D96AC8"/>
    <w:rsid w:val="29396C41"/>
    <w:rsid w:val="33BC713F"/>
    <w:rsid w:val="3A280974"/>
    <w:rsid w:val="3A7C5F03"/>
    <w:rsid w:val="3E67121B"/>
    <w:rsid w:val="42AC3682"/>
    <w:rsid w:val="45104535"/>
    <w:rsid w:val="45357C6B"/>
    <w:rsid w:val="4ECD4547"/>
    <w:rsid w:val="55BD4B70"/>
    <w:rsid w:val="55F942A2"/>
    <w:rsid w:val="572F53BF"/>
    <w:rsid w:val="59BD2CD6"/>
    <w:rsid w:val="5D0F0298"/>
    <w:rsid w:val="5E2F4CFF"/>
    <w:rsid w:val="62C90E9F"/>
    <w:rsid w:val="62DC5E12"/>
    <w:rsid w:val="6C0F04B7"/>
    <w:rsid w:val="6D901F10"/>
    <w:rsid w:val="6FC71A6A"/>
    <w:rsid w:val="706730F2"/>
    <w:rsid w:val="75D06646"/>
    <w:rsid w:val="76BF2576"/>
    <w:rsid w:val="788F2874"/>
    <w:rsid w:val="78AB4F5E"/>
    <w:rsid w:val="7C5F29B8"/>
    <w:rsid w:val="7E494F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qFormat="1"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numPr>
        <w:ilvl w:val="1"/>
        <w:numId w:val="1"/>
      </w:numPr>
      <w:ind w:firstLine="0" w:firstLineChars="0"/>
      <w:jc w:val="center"/>
      <w:outlineLvl w:val="1"/>
    </w:pPr>
    <w:rPr>
      <w:b/>
      <w:w w:val="90"/>
      <w:kern w:val="0"/>
      <w:szCs w:val="28"/>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locked/>
    <w:uiPriority w:val="0"/>
    <w:pPr>
      <w:ind w:left="1680"/>
    </w:pPr>
  </w:style>
  <w:style w:type="paragraph" w:styleId="4">
    <w:name w:val="footer"/>
    <w:basedOn w:val="1"/>
    <w:next w:val="3"/>
    <w:unhideWhenUsed/>
    <w:qFormat/>
    <w:locked/>
    <w:uiPriority w:val="99"/>
    <w:pPr>
      <w:tabs>
        <w:tab w:val="center" w:pos="4153"/>
        <w:tab w:val="right" w:pos="8306"/>
      </w:tabs>
      <w:snapToGrid w:val="0"/>
      <w:jc w:val="left"/>
    </w:pPr>
    <w:rPr>
      <w:sz w:val="18"/>
      <w:szCs w:val="18"/>
    </w:rPr>
  </w:style>
  <w:style w:type="paragraph" w:styleId="5">
    <w:name w:val="Normal (Web)"/>
    <w:basedOn w:val="1"/>
    <w:qFormat/>
    <w:uiPriority w:val="99"/>
    <w:pPr>
      <w:jc w:val="left"/>
    </w:pPr>
    <w:rPr>
      <w:kern w:val="0"/>
      <w:sz w:val="24"/>
    </w:rPr>
  </w:style>
  <w:style w:type="character" w:styleId="8">
    <w:name w:val="FollowedHyperlink"/>
    <w:basedOn w:val="7"/>
    <w:qFormat/>
    <w:uiPriority w:val="99"/>
    <w:rPr>
      <w:rFonts w:cs="Times New Roman"/>
      <w:color w:val="333333"/>
      <w:u w:val="none"/>
    </w:rPr>
  </w:style>
  <w:style w:type="character" w:styleId="9">
    <w:name w:val="Emphasis"/>
    <w:basedOn w:val="7"/>
    <w:qFormat/>
    <w:uiPriority w:val="99"/>
    <w:rPr>
      <w:rFonts w:cs="Times New Roman"/>
    </w:rPr>
  </w:style>
  <w:style w:type="character" w:styleId="10">
    <w:name w:val="Hyperlink"/>
    <w:basedOn w:val="7"/>
    <w:qFormat/>
    <w:uiPriority w:val="99"/>
    <w:rPr>
      <w:rFonts w:cs="Times New Roman"/>
      <w:color w:val="333333"/>
      <w:u w:val="none"/>
    </w:rPr>
  </w:style>
  <w:style w:type="character" w:customStyle="1" w:styleId="11">
    <w:name w:val="current"/>
    <w:basedOn w:val="7"/>
    <w:qFormat/>
    <w:uiPriority w:val="99"/>
    <w:rPr>
      <w:rFonts w:cs="Times New Roman"/>
      <w:b/>
      <w:color w:val="FF6500"/>
      <w:bdr w:val="single" w:color="FF6500" w:sz="4" w:space="0"/>
      <w:shd w:val="clear" w:color="auto" w:fill="FFBE94"/>
    </w:rPr>
  </w:style>
  <w:style w:type="character" w:customStyle="1" w:styleId="12">
    <w:name w:val="disabled"/>
    <w:basedOn w:val="7"/>
    <w:qFormat/>
    <w:uiPriority w:val="99"/>
    <w:rPr>
      <w:rFonts w:cs="Times New Roman"/>
      <w:color w:val="FFE3C6"/>
      <w:bdr w:val="single" w:color="FFE3C6" w:sz="4"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938</Words>
  <Characters>5349</Characters>
  <Lines>0</Lines>
  <Paragraphs>0</Paragraphs>
  <TotalTime>24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2020-04-10T00:11:00Z</dcterms:created>
  <dc:creator>Administrator</dc:creator>
  <cp:lastModifiedBy>Administrator</cp:lastModifiedBy>
  <dcterms:modified xsi:type="dcterms:W3CDTF">2021-04-23T08:56:28Z</dcterms:modified>
  <dc:title>隆回县原物价局部门整体支出绩效自评报告</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