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eastAsia="zh-CN"/>
        </w:rPr>
        <w:t>隆回县高平镇中心学校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整体支出绩效自评报告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ind w:firstLine="420" w:firstLineChars="20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4" w:leftChars="0" w:right="0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（一）机构设置情况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 w:bidi="ar-SA"/>
        </w:rPr>
        <w:t>根据编委办核定，我单位内设科室6个，所属事业单位5个，全部纳入 2023 年部门预算编制范围。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97" w:leftChars="0" w:right="0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 w:bidi="ar-SA"/>
        </w:rPr>
        <w:t>内设科室分别是：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党支部、工会、教导室、政教室、总务室、办公室。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 w:bidi="ar-SA"/>
        </w:rPr>
        <w:t>所属事业单位分别是：</w:t>
      </w: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ar"/>
        </w:rPr>
        <w:t>高平镇中心学校部门本级（包括：高平镇中心学校本级、坳下小学、红山小学、白地小学、杨桥小学、茶山小学、富延小学、里湖小学、窝山小学、大石小学、凤形小学、彭升小学、上平小学、堂下桥小学、石脚小学、石梅小学、黄姓小学、上黄小学）、高平镇中学、高平镇颜公中学、高平镇侯田中学、高平镇马落中学、高平镇中心小学</w:t>
      </w:r>
      <w:r>
        <w:rPr>
          <w:rFonts w:hint="eastAsia" w:eastAsia="仿宋_GB2312" w:cs="仿宋_GB2312"/>
          <w:kern w:val="2"/>
          <w:sz w:val="28"/>
          <w:szCs w:val="28"/>
          <w:lang w:val="en-US" w:eastAsia="zh-CN" w:bidi="ar"/>
        </w:rPr>
        <w:t>包括（</w:t>
      </w: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ar"/>
        </w:rPr>
        <w:t>高平镇</w:t>
      </w:r>
      <w:r>
        <w:rPr>
          <w:rFonts w:hint="eastAsia" w:eastAsia="仿宋_GB2312" w:cs="仿宋_GB2312"/>
          <w:kern w:val="2"/>
          <w:sz w:val="28"/>
          <w:szCs w:val="28"/>
          <w:lang w:val="en-US" w:eastAsia="zh-CN" w:bidi="ar"/>
        </w:rPr>
        <w:t>397</w:t>
      </w: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ar"/>
        </w:rPr>
        <w:t>颜公完全小学、高平镇侯田完全小学、高平镇马落完全小学）6个预算单位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position w:val="0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（二）人员编制情况：高平镇中心学校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2023年编制数391人，实际在职人数376人。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（三）主要职能职责：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为教育教学提供管理保障，中小学、幼儿园教育教学管理，中小学学历教育，办人民满意的教育。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（四）202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年的重点工作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：圆满完成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2023年中考。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（五）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绩效目标设定情况：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1、在各级部门领导下，承担中小学教育、学前教育教学工作及教育行政管理事务,为中小学、幼儿园提供教育管理保障；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2、按时完成教育教学任务；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3、义务教育稳步、健康运行；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4、学校办学条件逐步改善，办学行为逐步规范。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sz w:val="28"/>
          <w:szCs w:val="28"/>
        </w:rPr>
        <w:t>部门整体支出情况</w:t>
      </w:r>
    </w:p>
    <w:p>
      <w:pPr>
        <w:pStyle w:val="2"/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纳入2023年部门整体支出绩效目标的金额为8502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86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万元，其中，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其中，基本支出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7663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13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万元，项目支出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839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72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二、部门整体支出管理及使用情况</w:t>
      </w:r>
    </w:p>
    <w:p>
      <w:pPr>
        <w:pStyle w:val="2"/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（一）基本支出情况</w:t>
      </w:r>
    </w:p>
    <w:p>
      <w:pPr>
        <w:pStyle w:val="2"/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基本支出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7663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13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万元。</w:t>
      </w:r>
    </w:p>
    <w:p>
      <w:pPr>
        <w:pStyle w:val="2"/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（二）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县级专项资金情况</w:t>
      </w:r>
    </w:p>
    <w:p>
      <w:pPr>
        <w:pStyle w:val="2"/>
        <w:rPr>
          <w:rFonts w:hint="default" w:ascii="Times New Roman" w:hAnsi="Times New Roman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县级专项资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0万元。</w:t>
      </w:r>
    </w:p>
    <w:p>
      <w:pPr>
        <w:pStyle w:val="2"/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（三）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“三公”经费情况</w:t>
      </w:r>
    </w:p>
    <w:p>
      <w:pPr>
        <w:pStyle w:val="2"/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“三公”经费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0万元。</w:t>
      </w:r>
    </w:p>
    <w:p>
      <w:pPr>
        <w:pStyle w:val="2"/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1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因公出国（境）费用；</w:t>
      </w:r>
    </w:p>
    <w:p>
      <w:pPr>
        <w:pStyle w:val="2"/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2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公务接待费；</w:t>
      </w:r>
    </w:p>
    <w:p>
      <w:pPr>
        <w:pStyle w:val="2"/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3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公务用车购置及运行费。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三、政府性基金预算支出情况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仿宋_GB2312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/>
          <w:kern w:val="2"/>
          <w:sz w:val="28"/>
          <w:szCs w:val="28"/>
          <w:lang w:val="en-US" w:eastAsia="zh-CN" w:bidi="ar-SA"/>
        </w:rPr>
        <w:t>政府基金预算支出1.5万元。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国有资本经营预算支出情况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无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社会保险基金预算支出情况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无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、部门整体支出绩效情况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bCs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本部门所有支出实行绩效目标管理。纳入</w:t>
      </w:r>
      <w:r>
        <w:rPr>
          <w:rFonts w:ascii="Calibri" w:hAnsi="Calibri" w:eastAsia="仿宋_GB2312" w:cs="Times New Roman"/>
          <w:sz w:val="28"/>
          <w:szCs w:val="28"/>
          <w:lang w:eastAsia="zh-CN"/>
        </w:rPr>
        <w:t>2023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年部门整体支出绩效目标的金额为8502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86万元，其中，</w:t>
      </w:r>
      <w:r>
        <w:rPr>
          <w:rFonts w:hint="eastAsia" w:ascii="Times New Roman" w:hAnsi="Times New Roman" w:eastAsia="仿宋_GB2312" w:cs="仿宋_GB2312"/>
          <w:bCs/>
          <w:kern w:val="0"/>
          <w:sz w:val="28"/>
          <w:szCs w:val="28"/>
          <w:u w:val="none"/>
          <w:lang w:val="en-US" w:eastAsia="zh-CN" w:bidi="ar"/>
        </w:rPr>
        <w:t>其中，基本支出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7663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13</w:t>
      </w:r>
      <w:r>
        <w:rPr>
          <w:rFonts w:hint="eastAsia" w:ascii="Times New Roman" w:hAnsi="Times New Roman" w:eastAsia="仿宋_GB2312" w:cs="仿宋_GB2312"/>
          <w:bCs/>
          <w:kern w:val="0"/>
          <w:sz w:val="28"/>
          <w:szCs w:val="28"/>
          <w:u w:val="none"/>
          <w:lang w:val="en-US" w:eastAsia="zh-CN" w:bidi="ar"/>
        </w:rPr>
        <w:t>万元，项目支出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839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CN"/>
        </w:rPr>
        <w:t>72</w:t>
      </w:r>
      <w:r>
        <w:rPr>
          <w:rFonts w:hint="eastAsia" w:ascii="Times New Roman" w:hAnsi="Times New Roman" w:eastAsia="仿宋_GB2312" w:cs="仿宋_GB2312"/>
          <w:bCs/>
          <w:kern w:val="0"/>
          <w:sz w:val="28"/>
          <w:szCs w:val="28"/>
          <w:u w:val="none"/>
          <w:lang w:val="en-US" w:eastAsia="zh-CN" w:bidi="ar"/>
        </w:rPr>
        <w:t>万元。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完善资产管理制度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加强提高资产的使用率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改进措施及有关建议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进一步完善财务管理制度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合理规范使用经费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MGE2NTM3Y2ZhMDlkMzE1MGQyYjQxZjVmZTUyNGYifQ=="/>
    <w:docVar w:name="KSO_WPS_MARK_KEY" w:val="a2225a58-1292-4960-90d5-cae074bb4646"/>
  </w:docVars>
  <w:rsids>
    <w:rsidRoot w:val="00000000"/>
    <w:rsid w:val="11141563"/>
    <w:rsid w:val="12FA7A0E"/>
    <w:rsid w:val="2D3D29BB"/>
    <w:rsid w:val="36E00E74"/>
    <w:rsid w:val="37251B15"/>
    <w:rsid w:val="4D9B1D2A"/>
    <w:rsid w:val="5E6A3A6A"/>
    <w:rsid w:val="6D76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toa heading"/>
    <w:basedOn w:val="1"/>
    <w:next w:val="1"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920</Words>
  <Characters>995</Characters>
  <Lines>0</Lines>
  <Paragraphs>0</Paragraphs>
  <TotalTime>0</TotalTime>
  <ScaleCrop>false</ScaleCrop>
  <LinksUpToDate>false</LinksUpToDate>
  <CharactersWithSpaces>1006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2024-06-07T02:35:00Z</dcterms:created>
  <dc:creator>Administrator</dc:creator>
  <cp:lastModifiedBy>Administrator</cp:lastModifiedBy>
  <dcterms:modified xsi:type="dcterms:W3CDTF">2024-08-30T09:56:55Z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B3623BE3079E438FA6AE44EAB2DF084B_12</vt:lpwstr>
  </property>
</Properties>
</file>