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rFonts w:hint="eastAsia" w:ascii="宋体" w:hAnsi="宋体" w:eastAsia="宋体" w:cs="宋体"/>
          <w:b/>
          <w:color w:val="auto"/>
          <w:sz w:val="96"/>
          <w:szCs w:val="96"/>
          <w:highlight w:val="none"/>
        </w:rPr>
      </w:pPr>
    </w:p>
    <w:p>
      <w:pPr>
        <w:pStyle w:val="13"/>
        <w:jc w:val="center"/>
        <w:rPr>
          <w:rFonts w:hint="eastAsia" w:ascii="宋体" w:hAnsi="宋体" w:eastAsia="宋体" w:cs="宋体"/>
          <w:b/>
          <w:color w:val="auto"/>
          <w:sz w:val="96"/>
          <w:szCs w:val="96"/>
          <w:highlight w:val="none"/>
        </w:rPr>
      </w:pPr>
    </w:p>
    <w:p>
      <w:pPr>
        <w:pStyle w:val="13"/>
        <w:jc w:val="center"/>
        <w:rPr>
          <w:rFonts w:hint="eastAsia" w:ascii="宋体" w:hAnsi="宋体" w:eastAsia="宋体" w:cs="宋体"/>
          <w:b/>
          <w:bCs/>
          <w:color w:val="auto"/>
          <w:sz w:val="96"/>
          <w:szCs w:val="96"/>
          <w:highlight w:val="none"/>
        </w:rPr>
      </w:pPr>
      <w:r>
        <w:rPr>
          <w:rFonts w:hint="eastAsia" w:ascii="宋体" w:hAnsi="宋体" w:eastAsia="宋体" w:cs="宋体"/>
          <w:b/>
          <w:color w:val="auto"/>
          <w:sz w:val="96"/>
          <w:szCs w:val="96"/>
          <w:highlight w:val="none"/>
        </w:rPr>
        <w:t>政府采购</w:t>
      </w:r>
    </w:p>
    <w:p>
      <w:pPr>
        <w:pStyle w:val="13"/>
        <w:adjustRightInd w:val="0"/>
        <w:snapToGrid w:val="0"/>
        <w:spacing w:line="360" w:lineRule="auto"/>
        <w:jc w:val="center"/>
        <w:rPr>
          <w:rFonts w:hint="eastAsia" w:ascii="宋体" w:hAnsi="宋体" w:eastAsia="宋体" w:cs="宋体"/>
          <w:b/>
          <w:color w:val="auto"/>
          <w:sz w:val="72"/>
          <w:szCs w:val="72"/>
          <w:highlight w:val="none"/>
        </w:rPr>
      </w:pPr>
      <w:r>
        <w:rPr>
          <w:rFonts w:hint="eastAsia" w:ascii="宋体" w:hAnsi="宋体" w:eastAsia="宋体" w:cs="宋体"/>
          <w:b/>
          <w:color w:val="auto"/>
          <w:sz w:val="96"/>
          <w:szCs w:val="96"/>
          <w:highlight w:val="none"/>
        </w:rPr>
        <w:t>竞争性</w:t>
      </w:r>
      <w:r>
        <w:rPr>
          <w:rFonts w:hint="eastAsia" w:ascii="宋体" w:hAnsi="宋体" w:eastAsia="宋体" w:cs="宋体"/>
          <w:b/>
          <w:color w:val="auto"/>
          <w:sz w:val="96"/>
          <w:szCs w:val="96"/>
          <w:highlight w:val="none"/>
          <w:lang w:eastAsia="zh-CN"/>
        </w:rPr>
        <w:t>磋商</w:t>
      </w:r>
      <w:r>
        <w:rPr>
          <w:rFonts w:hint="eastAsia" w:ascii="宋体" w:hAnsi="宋体" w:eastAsia="宋体" w:cs="宋体"/>
          <w:b/>
          <w:color w:val="auto"/>
          <w:sz w:val="96"/>
          <w:szCs w:val="96"/>
          <w:highlight w:val="none"/>
        </w:rPr>
        <w:t>文件</w:t>
      </w:r>
    </w:p>
    <w:p>
      <w:pPr>
        <w:pStyle w:val="13"/>
        <w:adjustRightInd w:val="0"/>
        <w:snapToGrid w:val="0"/>
        <w:spacing w:beforeLines="50" w:line="360" w:lineRule="auto"/>
        <w:ind w:left="967" w:leftChars="403" w:firstLine="157" w:firstLineChars="49"/>
        <w:rPr>
          <w:rFonts w:hint="eastAsia" w:ascii="宋体" w:hAnsi="宋体" w:eastAsia="宋体" w:cs="宋体"/>
          <w:b/>
          <w:color w:val="auto"/>
          <w:sz w:val="32"/>
          <w:szCs w:val="32"/>
          <w:highlight w:val="none"/>
        </w:rPr>
      </w:pPr>
    </w:p>
    <w:p>
      <w:pPr>
        <w:pStyle w:val="13"/>
        <w:adjustRightInd w:val="0"/>
        <w:snapToGrid w:val="0"/>
        <w:spacing w:beforeLines="50" w:line="360" w:lineRule="auto"/>
        <w:ind w:left="967" w:leftChars="403" w:firstLine="157" w:firstLineChars="49"/>
        <w:rPr>
          <w:rFonts w:hint="eastAsia" w:ascii="宋体" w:hAnsi="宋体" w:eastAsia="宋体" w:cs="宋体"/>
          <w:b/>
          <w:color w:val="auto"/>
          <w:sz w:val="32"/>
          <w:szCs w:val="32"/>
          <w:highlight w:val="none"/>
        </w:rPr>
      </w:pPr>
    </w:p>
    <w:p>
      <w:pPr>
        <w:pStyle w:val="13"/>
        <w:adjustRightInd w:val="0"/>
        <w:snapToGrid w:val="0"/>
        <w:spacing w:beforeLines="50" w:line="360" w:lineRule="auto"/>
        <w:ind w:left="967" w:leftChars="403" w:firstLine="157" w:firstLineChars="49"/>
        <w:rPr>
          <w:rFonts w:hint="eastAsia" w:ascii="宋体" w:hAnsi="宋体" w:eastAsia="宋体" w:cs="宋体"/>
          <w:b/>
          <w:color w:val="auto"/>
          <w:sz w:val="32"/>
          <w:szCs w:val="32"/>
          <w:highlight w:val="none"/>
        </w:rPr>
      </w:pPr>
    </w:p>
    <w:p>
      <w:pPr>
        <w:pStyle w:val="13"/>
        <w:adjustRightInd w:val="0"/>
        <w:snapToGrid w:val="0"/>
        <w:spacing w:line="360" w:lineRule="auto"/>
        <w:ind w:left="2605" w:leftChars="152" w:hanging="2240" w:hangingChars="700"/>
        <w:rPr>
          <w:rFonts w:hint="eastAsia" w:ascii="宋体" w:hAnsi="宋体" w:eastAsia="宋体" w:cs="宋体"/>
          <w:color w:val="auto"/>
          <w:sz w:val="32"/>
          <w:szCs w:val="32"/>
          <w:highlight w:val="none"/>
          <w:u w:val="single"/>
          <w:lang w:eastAsia="zh-CN"/>
        </w:rPr>
      </w:pPr>
      <w:r>
        <w:rPr>
          <w:rFonts w:hint="eastAsia" w:ascii="宋体" w:hAnsi="宋体" w:eastAsia="宋体" w:cs="宋体"/>
          <w:color w:val="auto"/>
          <w:sz w:val="32"/>
          <w:szCs w:val="32"/>
          <w:highlight w:val="none"/>
        </w:rPr>
        <w:t>采购项目名称：</w:t>
      </w:r>
      <w:r>
        <w:rPr>
          <w:rFonts w:hint="eastAsia" w:ascii="宋体" w:hAnsi="宋体" w:eastAsia="宋体" w:cs="宋体"/>
          <w:color w:val="auto"/>
          <w:sz w:val="32"/>
          <w:szCs w:val="32"/>
          <w:highlight w:val="none"/>
          <w:u w:val="single"/>
          <w:lang w:eastAsia="zh-CN"/>
        </w:rPr>
        <w:t>隆回县耕地保护国土空间专项规划和耕地保护</w:t>
      </w:r>
      <w:r>
        <w:rPr>
          <w:rFonts w:hint="eastAsia" w:ascii="宋体" w:hAnsi="宋体" w:eastAsia="宋体" w:cs="宋体"/>
          <w:color w:val="auto"/>
          <w:sz w:val="32"/>
          <w:szCs w:val="32"/>
          <w:highlight w:val="none"/>
          <w:u w:val="single"/>
          <w:lang w:val="en-US" w:eastAsia="zh-CN"/>
        </w:rPr>
        <w:t>一张图项目</w:t>
      </w:r>
    </w:p>
    <w:p>
      <w:pPr>
        <w:pStyle w:val="13"/>
        <w:adjustRightInd w:val="0"/>
        <w:snapToGrid w:val="0"/>
        <w:spacing w:line="360" w:lineRule="auto"/>
        <w:ind w:firstLine="320" w:firstLineChars="10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采   购   人：</w:t>
      </w:r>
      <w:r>
        <w:rPr>
          <w:rFonts w:hint="eastAsia" w:hAnsi="宋体" w:cs="宋体"/>
          <w:color w:val="auto"/>
          <w:sz w:val="32"/>
          <w:szCs w:val="32"/>
          <w:highlight w:val="none"/>
          <w:u w:val="single"/>
          <w:lang w:eastAsia="zh-CN"/>
        </w:rPr>
        <w:t>隆回县自然资源局</w:t>
      </w:r>
    </w:p>
    <w:p>
      <w:pPr>
        <w:pStyle w:val="13"/>
        <w:adjustRightInd w:val="0"/>
        <w:snapToGrid w:val="0"/>
        <w:spacing w:line="360" w:lineRule="auto"/>
        <w:ind w:firstLine="320" w:firstLineChars="100"/>
        <w:rPr>
          <w:rFonts w:hint="default" w:ascii="宋体" w:hAnsi="宋体" w:eastAsia="宋体" w:cs="宋体"/>
          <w:color w:val="auto"/>
          <w:sz w:val="32"/>
          <w:szCs w:val="32"/>
          <w:highlight w:val="none"/>
          <w:u w:val="single"/>
          <w:lang w:val="en-US" w:eastAsia="zh-CN"/>
        </w:rPr>
      </w:pPr>
      <w:r>
        <w:rPr>
          <w:rFonts w:hint="eastAsia" w:ascii="宋体" w:hAnsi="宋体" w:eastAsia="宋体" w:cs="宋体"/>
          <w:color w:val="auto"/>
          <w:sz w:val="32"/>
          <w:szCs w:val="32"/>
          <w:highlight w:val="none"/>
        </w:rPr>
        <w:t>政府采购编号:</w:t>
      </w:r>
      <w:r>
        <w:rPr>
          <w:rFonts w:hint="eastAsia" w:ascii="宋体" w:hAnsi="宋体" w:eastAsia="宋体" w:cs="宋体"/>
          <w:color w:val="auto"/>
          <w:sz w:val="32"/>
          <w:szCs w:val="32"/>
          <w:highlight w:val="none"/>
          <w:lang w:val="en-US" w:eastAsia="zh-CN"/>
        </w:rPr>
        <w:t xml:space="preserve"> </w:t>
      </w:r>
      <w:r>
        <w:rPr>
          <w:rFonts w:hint="eastAsia" w:ascii="宋体" w:hAnsi="宋体" w:eastAsia="宋体" w:cs="宋体"/>
          <w:color w:val="auto"/>
          <w:sz w:val="32"/>
          <w:szCs w:val="32"/>
          <w:highlight w:val="none"/>
          <w:u w:val="single"/>
        </w:rPr>
        <w:t>隆回财采计[202</w:t>
      </w:r>
      <w:r>
        <w:rPr>
          <w:rFonts w:hint="eastAsia" w:hAnsi="宋体" w:cs="宋体"/>
          <w:color w:val="auto"/>
          <w:sz w:val="32"/>
          <w:szCs w:val="32"/>
          <w:highlight w:val="none"/>
          <w:u w:val="single"/>
          <w:lang w:val="en-US" w:eastAsia="zh-CN"/>
        </w:rPr>
        <w:t>1</w:t>
      </w:r>
      <w:r>
        <w:rPr>
          <w:rFonts w:hint="eastAsia" w:ascii="宋体" w:hAnsi="宋体" w:eastAsia="宋体" w:cs="宋体"/>
          <w:color w:val="auto"/>
          <w:sz w:val="32"/>
          <w:szCs w:val="32"/>
          <w:highlight w:val="none"/>
          <w:u w:val="single"/>
        </w:rPr>
        <w:t>]</w:t>
      </w:r>
      <w:r>
        <w:rPr>
          <w:rFonts w:hint="eastAsia" w:hAnsi="宋体" w:cs="宋体"/>
          <w:color w:val="auto"/>
          <w:sz w:val="32"/>
          <w:szCs w:val="32"/>
          <w:highlight w:val="none"/>
          <w:u w:val="single"/>
          <w:lang w:val="en-US" w:eastAsia="zh-CN"/>
        </w:rPr>
        <w:t>000081</w:t>
      </w:r>
    </w:p>
    <w:p>
      <w:pPr>
        <w:pStyle w:val="13"/>
        <w:adjustRightInd w:val="0"/>
        <w:snapToGrid w:val="0"/>
        <w:spacing w:line="360" w:lineRule="auto"/>
        <w:ind w:firstLine="320" w:firstLineChars="100"/>
        <w:rPr>
          <w:rFonts w:hint="default" w:hAnsi="宋体" w:cs="宋体"/>
          <w:color w:val="auto"/>
          <w:sz w:val="32"/>
          <w:szCs w:val="32"/>
          <w:highlight w:val="none"/>
          <w:u w:val="single"/>
          <w:lang w:val="en-US" w:eastAsia="zh-CN"/>
        </w:rPr>
      </w:pPr>
      <w:r>
        <w:rPr>
          <w:rFonts w:hint="eastAsia" w:ascii="宋体" w:hAnsi="宋体" w:eastAsia="宋体" w:cs="宋体"/>
          <w:color w:val="auto"/>
          <w:sz w:val="32"/>
          <w:szCs w:val="32"/>
          <w:highlight w:val="none"/>
        </w:rPr>
        <w:t xml:space="preserve">委托代理编号: </w:t>
      </w:r>
      <w:r>
        <w:rPr>
          <w:rFonts w:hint="eastAsia" w:hAnsi="宋体" w:cs="宋体"/>
          <w:color w:val="auto"/>
          <w:sz w:val="32"/>
          <w:szCs w:val="32"/>
          <w:highlight w:val="none"/>
          <w:u w:val="single"/>
          <w:lang w:eastAsia="zh-CN"/>
        </w:rPr>
        <w:t>LHLWCG-2021-004</w:t>
      </w:r>
    </w:p>
    <w:p>
      <w:pPr>
        <w:pStyle w:val="13"/>
        <w:adjustRightInd w:val="0"/>
        <w:snapToGrid w:val="0"/>
        <w:spacing w:line="360" w:lineRule="auto"/>
        <w:ind w:firstLine="320" w:firstLineChars="1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采购代理机构: </w:t>
      </w:r>
      <w:r>
        <w:rPr>
          <w:rFonts w:hint="eastAsia" w:hAnsi="宋体" w:cs="宋体"/>
          <w:color w:val="auto"/>
          <w:sz w:val="32"/>
          <w:szCs w:val="32"/>
          <w:highlight w:val="none"/>
          <w:u w:val="single"/>
          <w:lang w:eastAsia="zh-CN"/>
        </w:rPr>
        <w:t>龙武国际工程咨询有限公司</w:t>
      </w:r>
      <w:r>
        <w:rPr>
          <w:rFonts w:hint="eastAsia" w:ascii="宋体" w:hAnsi="宋体" w:eastAsia="宋体" w:cs="宋体"/>
          <w:color w:val="auto"/>
          <w:sz w:val="32"/>
          <w:szCs w:val="32"/>
          <w:highlight w:val="none"/>
        </w:rPr>
        <w:t xml:space="preserve"> </w:t>
      </w:r>
    </w:p>
    <w:p>
      <w:pPr>
        <w:jc w:val="center"/>
        <w:rPr>
          <w:rFonts w:hint="eastAsia" w:ascii="宋体" w:hAnsi="宋体" w:eastAsia="宋体" w:cs="宋体"/>
          <w:b/>
          <w:color w:val="auto"/>
          <w:sz w:val="32"/>
          <w:highlight w:val="none"/>
        </w:rPr>
      </w:pPr>
    </w:p>
    <w:p>
      <w:pPr>
        <w:jc w:val="center"/>
        <w:rPr>
          <w:rFonts w:hint="eastAsia" w:ascii="宋体" w:hAnsi="宋体" w:eastAsia="宋体" w:cs="宋体"/>
          <w:b/>
          <w:bCs w:val="0"/>
          <w:color w:val="auto"/>
          <w:sz w:val="32"/>
          <w:highlight w:val="none"/>
          <w:u w:val="none"/>
          <w:lang w:eastAsia="zh-CN"/>
        </w:rPr>
      </w:pPr>
      <w:r>
        <w:rPr>
          <w:rFonts w:hint="eastAsia" w:ascii="宋体" w:hAnsi="宋体" w:eastAsia="宋体" w:cs="宋体"/>
          <w:b/>
          <w:color w:val="auto"/>
          <w:sz w:val="32"/>
          <w:highlight w:val="none"/>
        </w:rPr>
        <w:t>二零二</w:t>
      </w:r>
      <w:r>
        <w:rPr>
          <w:rFonts w:hint="eastAsia" w:ascii="宋体" w:hAnsi="宋体" w:cs="宋体"/>
          <w:b/>
          <w:color w:val="auto"/>
          <w:sz w:val="32"/>
          <w:highlight w:val="none"/>
          <w:lang w:eastAsia="zh-CN"/>
        </w:rPr>
        <w:t>一</w:t>
      </w:r>
      <w:r>
        <w:rPr>
          <w:rFonts w:hint="eastAsia" w:ascii="宋体" w:hAnsi="宋体" w:eastAsia="宋体" w:cs="宋体"/>
          <w:b/>
          <w:color w:val="auto"/>
          <w:sz w:val="32"/>
          <w:highlight w:val="none"/>
        </w:rPr>
        <w:t>年</w:t>
      </w:r>
      <w:r>
        <w:rPr>
          <w:rFonts w:hint="eastAsia" w:ascii="宋体" w:hAnsi="宋体" w:cs="宋体"/>
          <w:b/>
          <w:color w:val="auto"/>
          <w:sz w:val="32"/>
          <w:highlight w:val="none"/>
          <w:lang w:eastAsia="zh-CN"/>
        </w:rPr>
        <w:t>七</w:t>
      </w:r>
      <w:r>
        <w:rPr>
          <w:rFonts w:hint="eastAsia" w:ascii="宋体" w:hAnsi="宋体" w:eastAsia="宋体" w:cs="宋体"/>
          <w:b/>
          <w:color w:val="auto"/>
          <w:sz w:val="32"/>
          <w:highlight w:val="none"/>
        </w:rPr>
        <w:t>月</w:t>
      </w:r>
    </w:p>
    <w:p>
      <w:pPr>
        <w:pStyle w:val="13"/>
        <w:adjustRightInd w:val="0"/>
        <w:snapToGrid w:val="0"/>
        <w:spacing w:beforeLines="50" w:line="360" w:lineRule="auto"/>
        <w:ind w:firstLine="948" w:firstLineChars="295"/>
        <w:rPr>
          <w:rFonts w:hint="eastAsia" w:ascii="宋体" w:hAnsi="宋体" w:eastAsia="宋体" w:cs="宋体"/>
          <w:b/>
          <w:color w:val="auto"/>
          <w:sz w:val="32"/>
          <w:szCs w:val="32"/>
          <w:highlight w:val="none"/>
        </w:rPr>
      </w:pPr>
    </w:p>
    <w:p>
      <w:pPr>
        <w:rPr>
          <w:rFonts w:hint="eastAsia" w:ascii="宋体" w:hAnsi="宋体" w:eastAsia="宋体" w:cs="宋体"/>
          <w:b/>
          <w:color w:val="auto"/>
          <w:sz w:val="32"/>
          <w:highlight w:val="none"/>
        </w:rPr>
        <w:sectPr>
          <w:headerReference r:id="rId5" w:type="first"/>
          <w:footerReference r:id="rId6" w:type="default"/>
          <w:pgSz w:w="11906" w:h="16838"/>
          <w:pgMar w:top="1474" w:right="1418" w:bottom="1418" w:left="1474" w:header="851" w:footer="992" w:gutter="0"/>
          <w:pgBorders>
            <w:top w:val="none" w:sz="0" w:space="0"/>
            <w:left w:val="none" w:sz="0" w:space="0"/>
            <w:bottom w:val="none" w:sz="0" w:space="0"/>
            <w:right w:val="none" w:sz="0" w:space="0"/>
          </w:pgBorders>
          <w:pgNumType w:start="1"/>
          <w:cols w:space="720" w:num="1"/>
          <w:titlePg/>
          <w:docGrid w:type="lines" w:linePitch="312" w:charSpace="0"/>
        </w:sectPr>
      </w:pPr>
    </w:p>
    <w:p>
      <w:pPr>
        <w:jc w:val="center"/>
        <w:rPr>
          <w:rFonts w:hint="eastAsia" w:ascii="仿宋" w:hAnsi="仿宋" w:eastAsia="仿宋" w:cs="仿宋"/>
          <w:b/>
          <w:color w:val="auto"/>
          <w:spacing w:val="22"/>
          <w:sz w:val="24"/>
          <w:szCs w:val="24"/>
          <w:highlight w:val="none"/>
          <w:lang w:eastAsia="zh-CN"/>
        </w:rPr>
      </w:pPr>
    </w:p>
    <w:p>
      <w:pPr>
        <w:jc w:val="center"/>
        <w:rPr>
          <w:rFonts w:hint="eastAsia" w:ascii="宋体" w:hAnsi="宋体" w:eastAsia="宋体" w:cs="宋体"/>
          <w:b/>
          <w:bCs w:val="0"/>
          <w:color w:val="auto"/>
          <w:sz w:val="44"/>
          <w:szCs w:val="44"/>
          <w:highlight w:val="none"/>
        </w:rPr>
      </w:pPr>
      <w:r>
        <w:rPr>
          <w:rFonts w:hint="eastAsia" w:ascii="宋体" w:hAnsi="宋体" w:cs="宋体"/>
          <w:b/>
          <w:bCs w:val="0"/>
          <w:color w:val="auto"/>
          <w:spacing w:val="0"/>
          <w:sz w:val="44"/>
          <w:szCs w:val="44"/>
          <w:highlight w:val="none"/>
          <w:lang w:eastAsia="zh-CN"/>
        </w:rPr>
        <w:t>隆回县耕地保护国土空间专项规划和耕地保护一张图项目</w:t>
      </w:r>
    </w:p>
    <w:p>
      <w:pPr>
        <w:pStyle w:val="8"/>
        <w:outlineLvl w:val="9"/>
        <w:rPr>
          <w:color w:val="auto"/>
          <w:sz w:val="32"/>
          <w:szCs w:val="32"/>
          <w:highlight w:val="none"/>
        </w:rPr>
      </w:pPr>
    </w:p>
    <w:p>
      <w:pPr>
        <w:pStyle w:val="8"/>
        <w:outlineLvl w:val="9"/>
        <w:rPr>
          <w:color w:val="auto"/>
          <w:highlight w:val="none"/>
        </w:rPr>
      </w:pPr>
    </w:p>
    <w:p>
      <w:pPr>
        <w:rPr>
          <w:color w:val="auto"/>
          <w:highlight w:val="none"/>
        </w:rPr>
      </w:pPr>
    </w:p>
    <w:p>
      <w:pPr>
        <w:spacing w:beforeLines="20" w:afterLines="20" w:line="360" w:lineRule="auto"/>
        <w:jc w:val="center"/>
        <w:rPr>
          <w:rFonts w:ascii="宋体" w:hAnsi="宋体"/>
          <w:color w:val="auto"/>
          <w:sz w:val="56"/>
          <w:szCs w:val="56"/>
          <w:highlight w:val="none"/>
        </w:rPr>
      </w:pPr>
      <w:r>
        <w:rPr>
          <w:rFonts w:hint="eastAsia" w:ascii="宋体" w:hAnsi="宋体"/>
          <w:b/>
          <w:color w:val="auto"/>
          <w:sz w:val="96"/>
          <w:szCs w:val="96"/>
          <w:highlight w:val="none"/>
        </w:rPr>
        <w:t>竞争性</w:t>
      </w:r>
      <w:r>
        <w:rPr>
          <w:rFonts w:hint="eastAsia" w:ascii="宋体" w:hAnsi="宋体"/>
          <w:b/>
          <w:color w:val="auto"/>
          <w:sz w:val="96"/>
          <w:szCs w:val="96"/>
          <w:highlight w:val="none"/>
          <w:lang w:eastAsia="zh-CN"/>
        </w:rPr>
        <w:t>磋商</w:t>
      </w:r>
      <w:r>
        <w:rPr>
          <w:rFonts w:hint="eastAsia" w:ascii="宋体" w:hAnsi="宋体"/>
          <w:b/>
          <w:color w:val="auto"/>
          <w:sz w:val="96"/>
          <w:szCs w:val="96"/>
          <w:highlight w:val="none"/>
        </w:rPr>
        <w:t>文件</w:t>
      </w:r>
    </w:p>
    <w:p>
      <w:pPr>
        <w:spacing w:line="360" w:lineRule="exact"/>
        <w:jc w:val="left"/>
        <w:rPr>
          <w:rFonts w:ascii="宋体" w:hAnsi="宋体"/>
          <w:color w:val="auto"/>
          <w:sz w:val="44"/>
          <w:szCs w:val="52"/>
          <w:highlight w:val="none"/>
        </w:rPr>
      </w:pPr>
    </w:p>
    <w:p>
      <w:pPr>
        <w:spacing w:line="360" w:lineRule="exact"/>
        <w:jc w:val="center"/>
        <w:rPr>
          <w:rFonts w:hint="default" w:ascii="宋体" w:hAnsi="宋体"/>
          <w:b/>
          <w:color w:val="auto"/>
          <w:sz w:val="30"/>
          <w:szCs w:val="30"/>
          <w:highlight w:val="none"/>
          <w:lang w:val="en-US"/>
        </w:rPr>
      </w:pPr>
      <w:r>
        <w:rPr>
          <w:rFonts w:hint="eastAsia" w:ascii="宋体" w:hAnsi="宋体"/>
          <w:color w:val="auto"/>
          <w:sz w:val="30"/>
          <w:szCs w:val="30"/>
          <w:highlight w:val="none"/>
        </w:rPr>
        <w:t xml:space="preserve"> </w:t>
      </w:r>
      <w:r>
        <w:rPr>
          <w:rFonts w:hint="eastAsia" w:ascii="宋体" w:hAnsi="宋体" w:cs="MingLiU"/>
          <w:b/>
          <w:color w:val="auto"/>
          <w:kern w:val="0"/>
          <w:sz w:val="30"/>
          <w:szCs w:val="30"/>
          <w:highlight w:val="none"/>
        </w:rPr>
        <w:t>委托代理编号：</w:t>
      </w:r>
      <w:r>
        <w:rPr>
          <w:rFonts w:hint="eastAsia" w:ascii="宋体" w:hAnsi="宋体" w:cs="MingLiU"/>
          <w:b/>
          <w:color w:val="auto"/>
          <w:kern w:val="0"/>
          <w:sz w:val="30"/>
          <w:szCs w:val="30"/>
          <w:highlight w:val="none"/>
          <w:lang w:eastAsia="zh-CN"/>
        </w:rPr>
        <w:t>LHLWCG-2021-004</w:t>
      </w:r>
    </w:p>
    <w:p>
      <w:pPr>
        <w:rPr>
          <w:rFonts w:hint="eastAsia"/>
          <w:color w:val="auto"/>
          <w:sz w:val="32"/>
          <w:szCs w:val="32"/>
          <w:highlight w:val="none"/>
          <w:vertAlign w:val="superscript"/>
        </w:rPr>
      </w:pPr>
      <w:r>
        <w:rPr>
          <w:rFonts w:hint="eastAsia"/>
          <w:color w:val="auto"/>
          <w:sz w:val="32"/>
          <w:szCs w:val="32"/>
          <w:highlight w:val="none"/>
          <w:vertAlign w:val="superscript"/>
        </w:rPr>
        <w:t xml:space="preserve">                    </w:t>
      </w:r>
    </w:p>
    <w:p>
      <w:pPr>
        <w:rPr>
          <w:rFonts w:hint="eastAsia"/>
          <w:color w:val="auto"/>
          <w:sz w:val="32"/>
          <w:szCs w:val="32"/>
          <w:highlight w:val="none"/>
          <w:vertAlign w:val="superscript"/>
        </w:rPr>
      </w:pPr>
      <w:r>
        <w:rPr>
          <w:rFonts w:hint="eastAsia"/>
          <w:color w:val="auto"/>
          <w:sz w:val="32"/>
          <w:szCs w:val="32"/>
          <w:highlight w:val="none"/>
          <w:vertAlign w:val="superscript"/>
        </w:rPr>
        <w:t xml:space="preserve">                                    </w:t>
      </w:r>
    </w:p>
    <w:p>
      <w:pPr>
        <w:rPr>
          <w:color w:val="auto"/>
          <w:sz w:val="32"/>
          <w:szCs w:val="32"/>
          <w:highlight w:val="none"/>
        </w:rPr>
      </w:pPr>
      <w:r>
        <w:rPr>
          <w:rFonts w:hint="eastAsia"/>
          <w:color w:val="auto"/>
          <w:sz w:val="32"/>
          <w:szCs w:val="32"/>
          <w:highlight w:val="none"/>
          <w:vertAlign w:val="superscript"/>
        </w:rPr>
        <w:t xml:space="preserve">                                                                                                                                                                                                                             </w:t>
      </w:r>
    </w:p>
    <w:p>
      <w:pPr>
        <w:spacing w:line="500" w:lineRule="exact"/>
        <w:ind w:firstLine="480" w:firstLineChars="150"/>
        <w:rPr>
          <w:rFonts w:hint="eastAsia" w:ascii="宋体" w:hAnsi="宋体" w:eastAsia="宋体"/>
          <w:color w:val="auto"/>
          <w:sz w:val="32"/>
          <w:szCs w:val="28"/>
          <w:highlight w:val="none"/>
          <w:lang w:eastAsia="zh-CN"/>
        </w:rPr>
      </w:pPr>
      <w:r>
        <w:rPr>
          <w:rFonts w:hint="eastAsia" w:ascii="宋体" w:hAnsi="宋体"/>
          <w:color w:val="auto"/>
          <w:sz w:val="32"/>
          <w:szCs w:val="28"/>
          <w:highlight w:val="none"/>
        </w:rPr>
        <w:t>采购单位 (盖章)：</w:t>
      </w:r>
      <w:r>
        <w:rPr>
          <w:rFonts w:hint="eastAsia" w:ascii="宋体" w:hAnsi="宋体"/>
          <w:color w:val="auto"/>
          <w:sz w:val="32"/>
          <w:szCs w:val="28"/>
          <w:highlight w:val="none"/>
          <w:lang w:eastAsia="zh-CN"/>
        </w:rPr>
        <w:t xml:space="preserve">隆回县自然资源局 </w:t>
      </w:r>
    </w:p>
    <w:p>
      <w:pPr>
        <w:spacing w:line="500" w:lineRule="exact"/>
        <w:rPr>
          <w:rFonts w:ascii="宋体"/>
          <w:color w:val="auto"/>
          <w:sz w:val="32"/>
          <w:szCs w:val="28"/>
          <w:highlight w:val="none"/>
        </w:rPr>
      </w:pPr>
    </w:p>
    <w:p>
      <w:pPr>
        <w:pStyle w:val="8"/>
        <w:outlineLvl w:val="9"/>
        <w:rPr>
          <w:color w:val="auto"/>
          <w:highlight w:val="none"/>
        </w:rPr>
      </w:pPr>
      <w:r>
        <w:rPr>
          <w:rFonts w:ascii="宋体" w:hAnsi="宋体"/>
          <w:color w:val="auto"/>
          <w:sz w:val="32"/>
          <w:szCs w:val="28"/>
          <w:highlight w:val="none"/>
        </w:rPr>
        <w:t xml:space="preserve"> </w:t>
      </w:r>
    </w:p>
    <w:p>
      <w:pPr>
        <w:spacing w:line="500" w:lineRule="exact"/>
        <w:rPr>
          <w:rFonts w:ascii="宋体" w:hAnsi="宋体"/>
          <w:color w:val="auto"/>
          <w:sz w:val="32"/>
          <w:szCs w:val="28"/>
          <w:highlight w:val="none"/>
        </w:rPr>
      </w:pPr>
    </w:p>
    <w:p>
      <w:pPr>
        <w:spacing w:line="500" w:lineRule="exact"/>
        <w:ind w:firstLine="480" w:firstLineChars="150"/>
        <w:rPr>
          <w:rFonts w:hint="eastAsia" w:ascii="宋体" w:hAnsi="宋体" w:eastAsia="宋体"/>
          <w:color w:val="auto"/>
          <w:sz w:val="32"/>
          <w:szCs w:val="28"/>
          <w:highlight w:val="none"/>
          <w:lang w:eastAsia="zh-CN"/>
        </w:rPr>
      </w:pPr>
      <w:r>
        <w:rPr>
          <w:rFonts w:hint="eastAsia" w:ascii="宋体" w:hAnsi="宋体"/>
          <w:color w:val="auto"/>
          <w:sz w:val="32"/>
          <w:szCs w:val="28"/>
          <w:highlight w:val="none"/>
        </w:rPr>
        <w:t>采购代理</w:t>
      </w:r>
      <w:r>
        <w:rPr>
          <w:rFonts w:ascii="宋体" w:hAnsi="宋体"/>
          <w:color w:val="auto"/>
          <w:sz w:val="32"/>
          <w:szCs w:val="28"/>
          <w:highlight w:val="none"/>
        </w:rPr>
        <w:t>(</w:t>
      </w:r>
      <w:r>
        <w:rPr>
          <w:rFonts w:hint="eastAsia" w:ascii="宋体" w:hAnsi="宋体"/>
          <w:color w:val="auto"/>
          <w:sz w:val="32"/>
          <w:szCs w:val="28"/>
          <w:highlight w:val="none"/>
        </w:rPr>
        <w:t>盖章</w:t>
      </w:r>
      <w:r>
        <w:rPr>
          <w:rFonts w:ascii="宋体" w:hAnsi="宋体"/>
          <w:color w:val="auto"/>
          <w:sz w:val="32"/>
          <w:szCs w:val="28"/>
          <w:highlight w:val="none"/>
        </w:rPr>
        <w:t xml:space="preserve">): </w:t>
      </w:r>
      <w:r>
        <w:rPr>
          <w:rFonts w:hint="eastAsia" w:ascii="宋体" w:hAnsi="宋体"/>
          <w:color w:val="auto"/>
          <w:sz w:val="32"/>
          <w:szCs w:val="28"/>
          <w:highlight w:val="none"/>
          <w:lang w:eastAsia="zh-CN"/>
        </w:rPr>
        <w:t>龙武国际工程咨询有限公司</w:t>
      </w:r>
    </w:p>
    <w:p>
      <w:pPr>
        <w:spacing w:line="500" w:lineRule="exact"/>
        <w:rPr>
          <w:rFonts w:ascii="宋体" w:hAnsi="宋体"/>
          <w:color w:val="auto"/>
          <w:sz w:val="32"/>
          <w:szCs w:val="28"/>
          <w:highlight w:val="none"/>
        </w:rPr>
      </w:pPr>
      <w:r>
        <w:rPr>
          <w:rFonts w:ascii="宋体" w:hAnsi="宋体"/>
          <w:color w:val="auto"/>
          <w:sz w:val="32"/>
          <w:szCs w:val="28"/>
          <w:highlight w:val="none"/>
        </w:rPr>
        <w:t xml:space="preserve">        </w:t>
      </w:r>
    </w:p>
    <w:p>
      <w:pPr>
        <w:spacing w:line="500" w:lineRule="exact"/>
        <w:rPr>
          <w:rFonts w:ascii="宋体" w:hAnsi="宋体"/>
          <w:color w:val="auto"/>
          <w:sz w:val="32"/>
          <w:szCs w:val="28"/>
          <w:highlight w:val="none"/>
        </w:rPr>
      </w:pPr>
    </w:p>
    <w:p>
      <w:pPr>
        <w:spacing w:line="500" w:lineRule="exact"/>
        <w:rPr>
          <w:rFonts w:ascii="宋体"/>
          <w:color w:val="auto"/>
          <w:sz w:val="32"/>
          <w:szCs w:val="28"/>
          <w:highlight w:val="none"/>
        </w:rPr>
      </w:pPr>
    </w:p>
    <w:p>
      <w:pPr>
        <w:spacing w:line="500" w:lineRule="exact"/>
        <w:ind w:firstLine="480" w:firstLineChars="150"/>
        <w:rPr>
          <w:rFonts w:ascii="宋体" w:hAnsi="宋体"/>
          <w:color w:val="auto"/>
          <w:sz w:val="32"/>
          <w:szCs w:val="28"/>
          <w:highlight w:val="none"/>
        </w:rPr>
      </w:pPr>
      <w:r>
        <w:rPr>
          <w:rFonts w:hint="eastAsia" w:ascii="宋体" w:hAnsi="宋体"/>
          <w:color w:val="auto"/>
          <w:sz w:val="32"/>
          <w:szCs w:val="28"/>
          <w:highlight w:val="none"/>
        </w:rPr>
        <w:t>监 管 部 门：隆回县政府采购管理办公室</w:t>
      </w:r>
    </w:p>
    <w:p>
      <w:pPr>
        <w:spacing w:before="240" w:line="500" w:lineRule="exact"/>
        <w:ind w:firstLine="179" w:firstLineChars="56"/>
        <w:rPr>
          <w:rFonts w:ascii="宋体" w:hAnsi="宋体"/>
          <w:color w:val="auto"/>
          <w:sz w:val="32"/>
          <w:szCs w:val="28"/>
          <w:highlight w:val="none"/>
        </w:rPr>
      </w:pPr>
    </w:p>
    <w:p>
      <w:pPr>
        <w:spacing w:line="500" w:lineRule="exact"/>
        <w:ind w:firstLine="179" w:firstLineChars="56"/>
        <w:jc w:val="center"/>
        <w:rPr>
          <w:color w:val="auto"/>
          <w:sz w:val="32"/>
          <w:szCs w:val="32"/>
          <w:highlight w:val="none"/>
        </w:rPr>
      </w:pPr>
    </w:p>
    <w:p>
      <w:pPr>
        <w:spacing w:line="500" w:lineRule="exact"/>
        <w:ind w:firstLine="179" w:firstLineChars="56"/>
        <w:jc w:val="center"/>
        <w:rPr>
          <w:rFonts w:hint="eastAsia"/>
          <w:color w:val="auto"/>
          <w:sz w:val="32"/>
          <w:szCs w:val="32"/>
          <w:highlight w:val="none"/>
          <w:lang w:val="en-US" w:eastAsia="zh-CN"/>
        </w:rPr>
        <w:sectPr>
          <w:pgSz w:w="11906" w:h="16838"/>
          <w:pgMar w:top="1474" w:right="1418" w:bottom="1418" w:left="1474" w:header="851" w:footer="992" w:gutter="0"/>
          <w:pgBorders>
            <w:top w:val="none" w:sz="0" w:space="0"/>
            <w:left w:val="none" w:sz="0" w:space="0"/>
            <w:bottom w:val="none" w:sz="0" w:space="0"/>
            <w:right w:val="none" w:sz="0" w:space="0"/>
          </w:pgBorders>
          <w:pgNumType w:start="1"/>
          <w:cols w:space="720" w:num="1"/>
          <w:titlePg/>
          <w:docGrid w:type="lines" w:linePitch="312" w:charSpace="0"/>
        </w:sectPr>
      </w:pPr>
      <w:r>
        <w:rPr>
          <w:rFonts w:hint="eastAsia"/>
          <w:color w:val="auto"/>
          <w:sz w:val="32"/>
          <w:szCs w:val="32"/>
          <w:highlight w:val="none"/>
        </w:rPr>
        <w:t xml:space="preserve"> 日期：</w:t>
      </w:r>
      <w:r>
        <w:rPr>
          <w:rFonts w:hint="eastAsia"/>
          <w:color w:val="auto"/>
          <w:sz w:val="32"/>
          <w:szCs w:val="32"/>
          <w:highlight w:val="none"/>
          <w:lang w:val="en-US" w:eastAsia="zh-CN"/>
        </w:rPr>
        <w:t>二零二一年七月</w:t>
      </w:r>
    </w:p>
    <w:sdt>
      <w:sdtPr>
        <w:rPr>
          <w:rFonts w:ascii="宋体" w:hAnsi="宋体" w:eastAsia="宋体" w:cs="Times New Roman"/>
          <w:b/>
          <w:bCs/>
          <w:color w:val="auto"/>
          <w:kern w:val="2"/>
          <w:sz w:val="32"/>
          <w:szCs w:val="40"/>
          <w:highlight w:val="none"/>
          <w:lang w:val="en-US" w:eastAsia="zh-CN" w:bidi="ar-SA"/>
        </w:rPr>
        <w:id w:val="147468760"/>
        <w15:color w:val="DBDBDB"/>
        <w:docPartObj>
          <w:docPartGallery w:val="Table of Contents"/>
          <w:docPartUnique/>
        </w:docPartObj>
      </w:sdtPr>
      <w:sdtEndPr>
        <w:rPr>
          <w:rFonts w:hint="eastAsia" w:ascii="宋体" w:hAnsi="宋体" w:eastAsia="宋体" w:cs="宋体"/>
          <w:b/>
          <w:bCs/>
          <w:color w:val="auto"/>
          <w:kern w:val="2"/>
          <w:sz w:val="22"/>
          <w:szCs w:val="22"/>
          <w:highlight w:val="none"/>
          <w:lang w:val="en-US" w:eastAsia="zh-CN" w:bidi="ar-SA"/>
        </w:rPr>
      </w:sdtEndPr>
      <w:sdtContent>
        <w:p>
          <w:pPr>
            <w:spacing w:before="0" w:beforeLines="0" w:after="0" w:afterLines="0" w:line="240" w:lineRule="auto"/>
            <w:ind w:left="0" w:leftChars="0" w:right="0" w:rightChars="0" w:firstLine="0" w:firstLineChars="0"/>
            <w:jc w:val="center"/>
            <w:rPr>
              <w:b/>
              <w:bCs/>
              <w:color w:val="auto"/>
              <w:sz w:val="32"/>
              <w:szCs w:val="40"/>
              <w:highlight w:val="none"/>
            </w:rPr>
          </w:pPr>
          <w:bookmarkStart w:id="0" w:name="_Toc20954"/>
          <w:r>
            <w:rPr>
              <w:rFonts w:ascii="宋体" w:hAnsi="宋体" w:eastAsia="宋体"/>
              <w:b/>
              <w:bCs/>
              <w:color w:val="auto"/>
              <w:sz w:val="32"/>
              <w:szCs w:val="40"/>
              <w:highlight w:val="none"/>
            </w:rPr>
            <w:t>目</w:t>
          </w:r>
          <w:r>
            <w:rPr>
              <w:rFonts w:hint="eastAsia" w:ascii="宋体" w:hAnsi="宋体" w:eastAsia="宋体"/>
              <w:b/>
              <w:bCs/>
              <w:color w:val="auto"/>
              <w:sz w:val="32"/>
              <w:szCs w:val="40"/>
              <w:highlight w:val="none"/>
              <w:lang w:val="en-US" w:eastAsia="zh-CN"/>
            </w:rPr>
            <w:t xml:space="preserve">  </w:t>
          </w:r>
          <w:r>
            <w:rPr>
              <w:rFonts w:ascii="宋体" w:hAnsi="宋体" w:eastAsia="宋体"/>
              <w:b/>
              <w:bCs/>
              <w:color w:val="auto"/>
              <w:sz w:val="32"/>
              <w:szCs w:val="40"/>
              <w:highlight w:val="none"/>
            </w:rPr>
            <w:t>录</w:t>
          </w:r>
        </w:p>
        <w:p>
          <w:pPr>
            <w:pStyle w:val="49"/>
            <w:tabs>
              <w:tab w:val="right" w:leader="dot" w:pos="9015"/>
            </w:tabs>
            <w:spacing w:line="480" w:lineRule="auto"/>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TOC \o "1-3" \h \u </w:instrText>
          </w:r>
          <w:r>
            <w:rPr>
              <w:rFonts w:hint="eastAsia" w:ascii="宋体" w:hAnsi="宋体" w:eastAsia="宋体" w:cs="宋体"/>
              <w:color w:val="auto"/>
              <w:sz w:val="22"/>
              <w:szCs w:val="22"/>
              <w:highlight w:val="none"/>
            </w:rPr>
            <w:fldChar w:fldCharType="separate"/>
          </w: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HYPERLINK \l _Toc24735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kern w:val="2"/>
              <w:sz w:val="22"/>
              <w:szCs w:val="22"/>
              <w:highlight w:val="none"/>
              <w:lang w:val="en-US" w:eastAsia="zh-CN" w:bidi="ar-SA"/>
            </w:rPr>
            <w:t>第一章  竞争性磋商邀请公告</w:t>
          </w:r>
          <w:r>
            <w:rPr>
              <w:rFonts w:hint="eastAsia" w:ascii="宋体" w:hAnsi="宋体" w:eastAsia="宋体" w:cs="宋体"/>
              <w:b/>
              <w:bCs/>
              <w:color w:val="auto"/>
              <w:sz w:val="22"/>
              <w:szCs w:val="22"/>
              <w:highlight w:val="none"/>
            </w:rPr>
            <w:tab/>
          </w: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PAGEREF _Toc24735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1</w:t>
          </w:r>
          <w:r>
            <w:rPr>
              <w:rFonts w:hint="eastAsia" w:ascii="宋体" w:hAnsi="宋体" w:eastAsia="宋体" w:cs="宋体"/>
              <w:b/>
              <w:bCs/>
              <w:color w:val="auto"/>
              <w:sz w:val="22"/>
              <w:szCs w:val="22"/>
              <w:highlight w:val="none"/>
            </w:rPr>
            <w:fldChar w:fldCharType="end"/>
          </w:r>
          <w:r>
            <w:rPr>
              <w:rFonts w:hint="eastAsia" w:ascii="宋体" w:hAnsi="宋体" w:eastAsia="宋体" w:cs="宋体"/>
              <w:b/>
              <w:bCs/>
              <w:color w:val="auto"/>
              <w:sz w:val="22"/>
              <w:szCs w:val="22"/>
              <w:highlight w:val="none"/>
            </w:rPr>
            <w:fldChar w:fldCharType="end"/>
          </w:r>
        </w:p>
        <w:p>
          <w:pPr>
            <w:pStyle w:val="49"/>
            <w:tabs>
              <w:tab w:val="right" w:leader="dot" w:pos="9015"/>
            </w:tabs>
            <w:spacing w:line="48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HYPERLINK \l _Toc14505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第二章  磋商须知</w:t>
          </w:r>
          <w:r>
            <w:rPr>
              <w:rFonts w:hint="eastAsia" w:ascii="宋体" w:hAnsi="宋体" w:eastAsia="宋体" w:cs="宋体"/>
              <w:b/>
              <w:bCs/>
              <w:color w:val="auto"/>
              <w:sz w:val="22"/>
              <w:szCs w:val="22"/>
              <w:highlight w:val="none"/>
            </w:rPr>
            <w:tab/>
          </w: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PAGEREF _Toc14505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6</w:t>
          </w:r>
          <w:r>
            <w:rPr>
              <w:rFonts w:hint="eastAsia" w:ascii="宋体" w:hAnsi="宋体" w:eastAsia="宋体" w:cs="宋体"/>
              <w:b/>
              <w:bCs/>
              <w:color w:val="auto"/>
              <w:sz w:val="22"/>
              <w:szCs w:val="22"/>
              <w:highlight w:val="none"/>
            </w:rPr>
            <w:fldChar w:fldCharType="end"/>
          </w:r>
          <w:r>
            <w:rPr>
              <w:rFonts w:hint="eastAsia" w:ascii="宋体" w:hAnsi="宋体" w:eastAsia="宋体" w:cs="宋体"/>
              <w:b/>
              <w:bCs/>
              <w:color w:val="auto"/>
              <w:sz w:val="22"/>
              <w:szCs w:val="22"/>
              <w:highlight w:val="none"/>
            </w:rPr>
            <w:fldChar w:fldCharType="end"/>
          </w:r>
        </w:p>
        <w:p>
          <w:pPr>
            <w:pStyle w:val="50"/>
            <w:tabs>
              <w:tab w:val="right" w:leader="dot" w:pos="9015"/>
            </w:tabs>
            <w:spacing w:line="48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_Toc24682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lang w:eastAsia="zh-CN"/>
            </w:rPr>
            <w:t>第一节</w:t>
          </w:r>
          <w:r>
            <w:rPr>
              <w:rFonts w:hint="eastAsia" w:ascii="宋体" w:hAnsi="宋体" w:eastAsia="宋体" w:cs="宋体"/>
              <w:color w:val="auto"/>
              <w:sz w:val="22"/>
              <w:szCs w:val="22"/>
              <w:highlight w:val="none"/>
              <w:lang w:val="en-US" w:eastAsia="zh-CN"/>
            </w:rPr>
            <w:t xml:space="preserve">  </w:t>
          </w:r>
          <w:r>
            <w:rPr>
              <w:rFonts w:hint="eastAsia" w:ascii="宋体" w:hAnsi="宋体" w:eastAsia="宋体" w:cs="宋体"/>
              <w:color w:val="auto"/>
              <w:sz w:val="22"/>
              <w:szCs w:val="22"/>
              <w:highlight w:val="none"/>
            </w:rPr>
            <w:t>磋商须知前附表</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_Toc24682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6</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50"/>
            <w:tabs>
              <w:tab w:val="right" w:leader="dot" w:pos="9015"/>
            </w:tabs>
            <w:spacing w:line="48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_Toc28140 </w:instrText>
          </w:r>
          <w:r>
            <w:rPr>
              <w:rFonts w:hint="eastAsia" w:ascii="宋体" w:hAnsi="宋体" w:eastAsia="宋体" w:cs="宋体"/>
              <w:color w:val="auto"/>
              <w:sz w:val="22"/>
              <w:szCs w:val="22"/>
              <w:highlight w:val="none"/>
            </w:rPr>
            <w:fldChar w:fldCharType="separate"/>
          </w:r>
          <w:r>
            <w:rPr>
              <w:rFonts w:hint="eastAsia" w:ascii="宋体" w:hAnsi="宋体" w:eastAsia="宋体" w:cs="宋体"/>
              <w:bCs/>
              <w:color w:val="auto"/>
              <w:sz w:val="22"/>
              <w:szCs w:val="22"/>
              <w:highlight w:val="none"/>
              <w:lang w:eastAsia="zh-CN"/>
            </w:rPr>
            <w:t>第二节</w:t>
          </w:r>
          <w:r>
            <w:rPr>
              <w:rFonts w:hint="eastAsia" w:ascii="宋体" w:hAnsi="宋体" w:eastAsia="宋体" w:cs="宋体"/>
              <w:bCs/>
              <w:color w:val="auto"/>
              <w:sz w:val="22"/>
              <w:szCs w:val="22"/>
              <w:highlight w:val="none"/>
              <w:lang w:val="en-US" w:eastAsia="zh-CN"/>
            </w:rPr>
            <w:t xml:space="preserve">  </w:t>
          </w:r>
          <w:r>
            <w:rPr>
              <w:rFonts w:hint="eastAsia" w:ascii="宋体" w:hAnsi="宋体" w:eastAsia="宋体" w:cs="宋体"/>
              <w:bCs/>
              <w:color w:val="auto"/>
              <w:sz w:val="22"/>
              <w:szCs w:val="22"/>
              <w:highlight w:val="none"/>
            </w:rPr>
            <w:t>磋商须知正文</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_Toc28140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13</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49"/>
            <w:tabs>
              <w:tab w:val="right" w:leader="dot" w:pos="9015"/>
            </w:tabs>
            <w:spacing w:line="48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HYPERLINK \l _Toc24807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第</w:t>
          </w:r>
          <w:r>
            <w:rPr>
              <w:rFonts w:hint="eastAsia" w:ascii="宋体" w:hAnsi="宋体" w:eastAsia="宋体" w:cs="宋体"/>
              <w:b/>
              <w:bCs/>
              <w:color w:val="auto"/>
              <w:sz w:val="22"/>
              <w:szCs w:val="22"/>
              <w:highlight w:val="none"/>
              <w:lang w:eastAsia="zh-CN"/>
            </w:rPr>
            <w:t>三</w:t>
          </w:r>
          <w:r>
            <w:rPr>
              <w:rFonts w:hint="eastAsia" w:ascii="宋体" w:hAnsi="宋体" w:eastAsia="宋体" w:cs="宋体"/>
              <w:b/>
              <w:bCs/>
              <w:color w:val="auto"/>
              <w:sz w:val="22"/>
              <w:szCs w:val="22"/>
              <w:highlight w:val="none"/>
            </w:rPr>
            <w:t>章  采购需求</w:t>
          </w:r>
          <w:r>
            <w:rPr>
              <w:rFonts w:hint="eastAsia" w:ascii="宋体" w:hAnsi="宋体" w:eastAsia="宋体" w:cs="宋体"/>
              <w:b/>
              <w:bCs/>
              <w:color w:val="auto"/>
              <w:sz w:val="22"/>
              <w:szCs w:val="22"/>
              <w:highlight w:val="none"/>
            </w:rPr>
            <w:tab/>
          </w: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PAGEREF _Toc24807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28</w:t>
          </w:r>
          <w:r>
            <w:rPr>
              <w:rFonts w:hint="eastAsia" w:ascii="宋体" w:hAnsi="宋体" w:eastAsia="宋体" w:cs="宋体"/>
              <w:b/>
              <w:bCs/>
              <w:color w:val="auto"/>
              <w:sz w:val="22"/>
              <w:szCs w:val="22"/>
              <w:highlight w:val="none"/>
            </w:rPr>
            <w:fldChar w:fldCharType="end"/>
          </w:r>
          <w:r>
            <w:rPr>
              <w:rFonts w:hint="eastAsia" w:ascii="宋体" w:hAnsi="宋体" w:eastAsia="宋体" w:cs="宋体"/>
              <w:b/>
              <w:bCs/>
              <w:color w:val="auto"/>
              <w:sz w:val="22"/>
              <w:szCs w:val="22"/>
              <w:highlight w:val="none"/>
            </w:rPr>
            <w:fldChar w:fldCharType="end"/>
          </w:r>
        </w:p>
        <w:p>
          <w:pPr>
            <w:pStyle w:val="49"/>
            <w:tabs>
              <w:tab w:val="right" w:leader="dot" w:pos="9015"/>
            </w:tabs>
            <w:spacing w:line="48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HYPERLINK \l _Toc28806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第</w:t>
          </w:r>
          <w:r>
            <w:rPr>
              <w:rFonts w:hint="eastAsia" w:ascii="宋体" w:hAnsi="宋体" w:eastAsia="宋体" w:cs="宋体"/>
              <w:b/>
              <w:bCs/>
              <w:color w:val="auto"/>
              <w:sz w:val="22"/>
              <w:szCs w:val="22"/>
              <w:highlight w:val="none"/>
              <w:lang w:eastAsia="zh-CN"/>
            </w:rPr>
            <w:t>四</w:t>
          </w:r>
          <w:r>
            <w:rPr>
              <w:rFonts w:hint="eastAsia" w:ascii="宋体" w:hAnsi="宋体" w:eastAsia="宋体" w:cs="宋体"/>
              <w:b/>
              <w:bCs/>
              <w:color w:val="auto"/>
              <w:sz w:val="22"/>
              <w:szCs w:val="22"/>
              <w:highlight w:val="none"/>
            </w:rPr>
            <w:t>章  合同草案条款</w:t>
          </w:r>
          <w:r>
            <w:rPr>
              <w:rFonts w:hint="eastAsia" w:ascii="宋体" w:hAnsi="宋体" w:eastAsia="宋体" w:cs="宋体"/>
              <w:b/>
              <w:bCs/>
              <w:color w:val="auto"/>
              <w:sz w:val="22"/>
              <w:szCs w:val="22"/>
              <w:highlight w:val="none"/>
            </w:rPr>
            <w:tab/>
          </w: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PAGEREF _Toc28806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30</w:t>
          </w:r>
          <w:r>
            <w:rPr>
              <w:rFonts w:hint="eastAsia" w:ascii="宋体" w:hAnsi="宋体" w:eastAsia="宋体" w:cs="宋体"/>
              <w:b/>
              <w:bCs/>
              <w:color w:val="auto"/>
              <w:sz w:val="22"/>
              <w:szCs w:val="22"/>
              <w:highlight w:val="none"/>
            </w:rPr>
            <w:fldChar w:fldCharType="end"/>
          </w:r>
          <w:r>
            <w:rPr>
              <w:rFonts w:hint="eastAsia" w:ascii="宋体" w:hAnsi="宋体" w:eastAsia="宋体" w:cs="宋体"/>
              <w:b/>
              <w:bCs/>
              <w:color w:val="auto"/>
              <w:sz w:val="22"/>
              <w:szCs w:val="22"/>
              <w:highlight w:val="none"/>
            </w:rPr>
            <w:fldChar w:fldCharType="end"/>
          </w:r>
        </w:p>
        <w:p>
          <w:pPr>
            <w:pStyle w:val="50"/>
            <w:tabs>
              <w:tab w:val="right" w:leader="dot" w:pos="9015"/>
            </w:tabs>
            <w:spacing w:line="480" w:lineRule="auto"/>
            <w:ind w:left="0" w:leftChars="0" w:firstLine="0" w:firstLineChars="0"/>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HYPERLINK \l _Toc11999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 xml:space="preserve">第五章 </w:t>
          </w:r>
          <w:r>
            <w:rPr>
              <w:rFonts w:hint="eastAsia" w:ascii="宋体" w:hAnsi="宋体" w:eastAsia="宋体" w:cs="宋体"/>
              <w:b/>
              <w:bCs/>
              <w:color w:val="auto"/>
              <w:sz w:val="22"/>
              <w:szCs w:val="22"/>
              <w:highlight w:val="none"/>
              <w:lang w:val="en-US" w:eastAsia="zh-CN"/>
            </w:rPr>
            <w:t xml:space="preserve"> </w:t>
          </w:r>
          <w:r>
            <w:rPr>
              <w:rFonts w:hint="eastAsia" w:ascii="宋体" w:hAnsi="宋体" w:eastAsia="宋体" w:cs="宋体"/>
              <w:b/>
              <w:bCs/>
              <w:color w:val="auto"/>
              <w:sz w:val="22"/>
              <w:szCs w:val="22"/>
              <w:highlight w:val="none"/>
            </w:rPr>
            <w:t>响应文件组成</w:t>
          </w:r>
          <w:r>
            <w:rPr>
              <w:rFonts w:hint="eastAsia" w:ascii="宋体" w:hAnsi="宋体" w:eastAsia="宋体" w:cs="宋体"/>
              <w:b/>
              <w:bCs/>
              <w:color w:val="auto"/>
              <w:sz w:val="22"/>
              <w:szCs w:val="22"/>
              <w:highlight w:val="none"/>
            </w:rPr>
            <w:tab/>
          </w:r>
          <w:r>
            <w:rPr>
              <w:rFonts w:hint="eastAsia" w:ascii="宋体" w:hAnsi="宋体" w:eastAsia="宋体" w:cs="宋体"/>
              <w:b/>
              <w:bCs/>
              <w:color w:val="auto"/>
              <w:sz w:val="22"/>
              <w:szCs w:val="22"/>
              <w:highlight w:val="none"/>
            </w:rPr>
            <w:fldChar w:fldCharType="begin"/>
          </w:r>
          <w:r>
            <w:rPr>
              <w:rFonts w:hint="eastAsia" w:ascii="宋体" w:hAnsi="宋体" w:eastAsia="宋体" w:cs="宋体"/>
              <w:b/>
              <w:bCs/>
              <w:color w:val="auto"/>
              <w:sz w:val="22"/>
              <w:szCs w:val="22"/>
              <w:highlight w:val="none"/>
            </w:rPr>
            <w:instrText xml:space="preserve"> PAGEREF _Toc11999 </w:instrText>
          </w:r>
          <w:r>
            <w:rPr>
              <w:rFonts w:hint="eastAsia" w:ascii="宋体" w:hAnsi="宋体" w:eastAsia="宋体" w:cs="宋体"/>
              <w:b/>
              <w:bCs/>
              <w:color w:val="auto"/>
              <w:sz w:val="22"/>
              <w:szCs w:val="22"/>
              <w:highlight w:val="none"/>
            </w:rPr>
            <w:fldChar w:fldCharType="separate"/>
          </w:r>
          <w:r>
            <w:rPr>
              <w:rFonts w:hint="eastAsia" w:ascii="宋体" w:hAnsi="宋体" w:eastAsia="宋体" w:cs="宋体"/>
              <w:b/>
              <w:bCs/>
              <w:color w:val="auto"/>
              <w:sz w:val="22"/>
              <w:szCs w:val="22"/>
              <w:highlight w:val="none"/>
            </w:rPr>
            <w:t>33</w:t>
          </w:r>
          <w:r>
            <w:rPr>
              <w:rFonts w:hint="eastAsia" w:ascii="宋体" w:hAnsi="宋体" w:eastAsia="宋体" w:cs="宋体"/>
              <w:b/>
              <w:bCs/>
              <w:color w:val="auto"/>
              <w:sz w:val="22"/>
              <w:szCs w:val="22"/>
              <w:highlight w:val="none"/>
            </w:rPr>
            <w:fldChar w:fldCharType="end"/>
          </w:r>
          <w:r>
            <w:rPr>
              <w:rFonts w:hint="eastAsia" w:ascii="宋体" w:hAnsi="宋体" w:eastAsia="宋体" w:cs="宋体"/>
              <w:b/>
              <w:bCs/>
              <w:color w:val="auto"/>
              <w:sz w:val="22"/>
              <w:szCs w:val="22"/>
              <w:highlight w:val="none"/>
            </w:rPr>
            <w:fldChar w:fldCharType="end"/>
          </w:r>
        </w:p>
        <w:p>
          <w:pPr>
            <w:pStyle w:val="50"/>
            <w:tabs>
              <w:tab w:val="right" w:leader="dot" w:pos="9015"/>
            </w:tabs>
            <w:spacing w:line="48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_Toc17725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一、</w:t>
          </w:r>
          <w:r>
            <w:rPr>
              <w:rFonts w:hint="eastAsia" w:ascii="宋体" w:hAnsi="宋体" w:eastAsia="宋体" w:cs="宋体"/>
              <w:color w:val="auto"/>
              <w:sz w:val="22"/>
              <w:szCs w:val="22"/>
              <w:highlight w:val="none"/>
              <w:lang w:eastAsia="zh-CN"/>
            </w:rPr>
            <w:t>磋商</w:t>
          </w:r>
          <w:r>
            <w:rPr>
              <w:rFonts w:hint="eastAsia" w:ascii="宋体" w:hAnsi="宋体" w:eastAsia="宋体" w:cs="宋体"/>
              <w:color w:val="auto"/>
              <w:sz w:val="22"/>
              <w:szCs w:val="22"/>
              <w:highlight w:val="none"/>
            </w:rPr>
            <w:t>响应声明(格式)</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_Toc17725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36</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50"/>
            <w:tabs>
              <w:tab w:val="right" w:leader="dot" w:pos="9015"/>
            </w:tabs>
            <w:spacing w:line="48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_Toc6226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二、法定代表人（单位负责人）身份证明(格式)</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_Toc6226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37</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50"/>
            <w:tabs>
              <w:tab w:val="right" w:leader="dot" w:pos="9015"/>
            </w:tabs>
            <w:spacing w:line="48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_Toc19140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三、授权委托书(格式)</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_Toc19140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38</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50"/>
            <w:tabs>
              <w:tab w:val="right" w:leader="dot" w:pos="9015"/>
            </w:tabs>
            <w:spacing w:line="48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_Toc10058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四、保证金</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_Toc10058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39</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50"/>
            <w:tabs>
              <w:tab w:val="right" w:leader="dot" w:pos="9015"/>
            </w:tabs>
            <w:spacing w:line="48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_Toc738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五、报价表及报价文件(格式)</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val="en-US" w:eastAsia="zh-CN"/>
            </w:rPr>
            <w:t>0</w:t>
          </w:r>
        </w:p>
        <w:p>
          <w:pPr>
            <w:pStyle w:val="50"/>
            <w:tabs>
              <w:tab w:val="right" w:leader="dot" w:pos="9015"/>
            </w:tabs>
            <w:spacing w:line="48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_Toc27763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六、采购需求的响应</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val="en-US" w:eastAsia="zh-CN"/>
            </w:rPr>
            <w:t>2</w:t>
          </w:r>
        </w:p>
        <w:p>
          <w:pPr>
            <w:pStyle w:val="50"/>
            <w:tabs>
              <w:tab w:val="right" w:leader="dot" w:pos="9015"/>
            </w:tabs>
            <w:spacing w:line="48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_Toc28923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七、合同条款偏离表</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val="en-US" w:eastAsia="zh-CN"/>
            </w:rPr>
            <w:t>3</w:t>
          </w:r>
        </w:p>
        <w:p>
          <w:pPr>
            <w:pStyle w:val="50"/>
            <w:tabs>
              <w:tab w:val="right" w:leader="dot" w:pos="9015"/>
            </w:tabs>
            <w:spacing w:line="48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_Toc4055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八、采购需求偏离表</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val="en-US" w:eastAsia="zh-CN"/>
            </w:rPr>
            <w:t>4</w:t>
          </w:r>
        </w:p>
        <w:p>
          <w:pPr>
            <w:pStyle w:val="50"/>
            <w:tabs>
              <w:tab w:val="right" w:leader="dot" w:pos="9015"/>
            </w:tabs>
            <w:spacing w:line="48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_Toc16310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九、享受政府采购政策优惠的证明资料</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PAGEREF _Toc16310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45</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fldChar w:fldCharType="end"/>
          </w:r>
        </w:p>
        <w:p>
          <w:pPr>
            <w:pStyle w:val="50"/>
            <w:tabs>
              <w:tab w:val="right" w:leader="dot" w:pos="9015"/>
            </w:tabs>
            <w:spacing w:line="48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_Toc15977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十、关于资格的说明(格式)</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val="en-US" w:eastAsia="zh-CN"/>
            </w:rPr>
            <w:t>6</w:t>
          </w:r>
        </w:p>
        <w:p>
          <w:pPr>
            <w:pStyle w:val="50"/>
            <w:tabs>
              <w:tab w:val="right" w:leader="dot" w:pos="9015"/>
            </w:tabs>
            <w:spacing w:line="48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_Toc20363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十一、响应标的符合</w:t>
          </w:r>
          <w:r>
            <w:rPr>
              <w:rFonts w:hint="eastAsia" w:ascii="宋体" w:hAnsi="宋体" w:eastAsia="宋体" w:cs="宋体"/>
              <w:color w:val="auto"/>
              <w:sz w:val="22"/>
              <w:szCs w:val="22"/>
              <w:highlight w:val="none"/>
              <w:lang w:eastAsia="zh-CN"/>
            </w:rPr>
            <w:t>磋商</w:t>
          </w:r>
          <w:r>
            <w:rPr>
              <w:rFonts w:hint="eastAsia" w:ascii="宋体" w:hAnsi="宋体" w:eastAsia="宋体" w:cs="宋体"/>
              <w:color w:val="auto"/>
              <w:sz w:val="22"/>
              <w:szCs w:val="22"/>
              <w:highlight w:val="none"/>
            </w:rPr>
            <w:t>文件规定的证明文件</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lang w:val="en-US" w:eastAsia="zh-CN"/>
            </w:rPr>
            <w:t>47</w:t>
          </w:r>
          <w:r>
            <w:rPr>
              <w:rFonts w:hint="eastAsia" w:ascii="宋体" w:hAnsi="宋体" w:eastAsia="宋体" w:cs="宋体"/>
              <w:color w:val="auto"/>
              <w:sz w:val="22"/>
              <w:szCs w:val="22"/>
              <w:highlight w:val="none"/>
            </w:rPr>
            <w:fldChar w:fldCharType="end"/>
          </w:r>
        </w:p>
        <w:p>
          <w:pPr>
            <w:pStyle w:val="50"/>
            <w:tabs>
              <w:tab w:val="right" w:leader="dot" w:pos="9015"/>
            </w:tabs>
            <w:spacing w:line="48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\l _Toc3731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十</w:t>
          </w:r>
          <w:r>
            <w:rPr>
              <w:rFonts w:hint="eastAsia" w:ascii="宋体" w:hAnsi="宋体" w:eastAsia="宋体" w:cs="宋体"/>
              <w:color w:val="auto"/>
              <w:sz w:val="22"/>
              <w:szCs w:val="22"/>
              <w:highlight w:val="none"/>
              <w:lang w:eastAsia="zh-CN"/>
            </w:rPr>
            <w:t>三</w:t>
          </w:r>
          <w:r>
            <w:rPr>
              <w:rFonts w:hint="eastAsia" w:ascii="宋体" w:hAnsi="宋体" w:eastAsia="宋体" w:cs="宋体"/>
              <w:color w:val="auto"/>
              <w:sz w:val="22"/>
              <w:szCs w:val="22"/>
              <w:highlight w:val="none"/>
            </w:rPr>
            <w:t>、代理服务费承诺书</w:t>
          </w:r>
          <w:r>
            <w:rPr>
              <w:rFonts w:hint="eastAsia" w:ascii="宋体" w:hAnsi="宋体" w:eastAsia="宋体" w:cs="宋体"/>
              <w:color w:val="auto"/>
              <w:sz w:val="22"/>
              <w:szCs w:val="22"/>
              <w:highlight w:val="none"/>
              <w:lang w:eastAsia="zh-CN"/>
            </w:rPr>
            <w:t>（本项目不适用）</w:t>
          </w:r>
          <w:r>
            <w:rPr>
              <w:rFonts w:hint="eastAsia" w:ascii="宋体" w:hAnsi="宋体" w:eastAsia="宋体" w:cs="宋体"/>
              <w:color w:val="auto"/>
              <w:sz w:val="22"/>
              <w:szCs w:val="22"/>
              <w:highlight w:val="none"/>
            </w:rPr>
            <w:tab/>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lang w:val="en-US" w:eastAsia="zh-CN"/>
            </w:rPr>
            <w:t>49</w:t>
          </w:r>
          <w:bookmarkStart w:id="204" w:name="_GoBack"/>
          <w:bookmarkEnd w:id="204"/>
        </w:p>
        <w:p>
          <w:pPr>
            <w:spacing w:line="48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fldChar w:fldCharType="end"/>
          </w:r>
        </w:p>
      </w:sdtContent>
    </w:sdt>
    <w:p>
      <w:pPr>
        <w:pStyle w:val="4"/>
        <w:bidi w:val="0"/>
        <w:spacing w:line="480" w:lineRule="auto"/>
        <w:rPr>
          <w:rFonts w:hint="eastAsia" w:ascii="宋体" w:hAnsi="宋体" w:eastAsia="宋体" w:cs="宋体"/>
          <w:b/>
          <w:bCs/>
          <w:color w:val="auto"/>
          <w:kern w:val="2"/>
          <w:sz w:val="32"/>
          <w:szCs w:val="32"/>
          <w:highlight w:val="none"/>
          <w:lang w:val="en-US" w:eastAsia="zh-CN" w:bidi="ar-SA"/>
        </w:rPr>
        <w:sectPr>
          <w:headerReference r:id="rId8" w:type="first"/>
          <w:footerReference r:id="rId10" w:type="first"/>
          <w:headerReference r:id="rId7" w:type="default"/>
          <w:footerReference r:id="rId9" w:type="default"/>
          <w:pgSz w:w="11906" w:h="16838"/>
          <w:pgMar w:top="1134" w:right="1417" w:bottom="1134" w:left="1474"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bookmarkStart w:id="1" w:name="_Toc24735"/>
    </w:p>
    <w:p>
      <w:pPr>
        <w:pStyle w:val="4"/>
        <w:bidi w:val="0"/>
        <w:jc w:val="center"/>
        <w:rPr>
          <w:rFonts w:hint="eastAsia" w:ascii="宋体" w:hAnsi="宋体" w:eastAsia="宋体" w:cs="宋体"/>
          <w:b/>
          <w:bCs/>
          <w:color w:val="auto"/>
          <w:kern w:val="2"/>
          <w:sz w:val="32"/>
          <w:szCs w:val="32"/>
          <w:highlight w:val="none"/>
          <w:lang w:val="en-US" w:eastAsia="zh-CN" w:bidi="ar-SA"/>
        </w:rPr>
      </w:pPr>
      <w:r>
        <w:rPr>
          <w:rFonts w:hint="eastAsia" w:ascii="宋体" w:hAnsi="宋体" w:eastAsia="宋体" w:cs="宋体"/>
          <w:b/>
          <w:bCs/>
          <w:color w:val="auto"/>
          <w:kern w:val="2"/>
          <w:sz w:val="32"/>
          <w:szCs w:val="32"/>
          <w:highlight w:val="none"/>
          <w:lang w:val="en-US" w:eastAsia="zh-CN" w:bidi="ar-SA"/>
        </w:rPr>
        <w:t>第一章  竞争性磋商邀请公告</w:t>
      </w:r>
      <w:bookmarkEnd w:id="0"/>
      <w:bookmarkEnd w:id="1"/>
    </w:p>
    <w:p>
      <w:pPr>
        <w:adjustRightInd w:val="0"/>
        <w:snapToGrid w:val="0"/>
        <w:spacing w:line="360" w:lineRule="auto"/>
        <w:ind w:firstLine="600" w:firstLineChars="250"/>
        <w:rPr>
          <w:rFonts w:ascii="宋体" w:hAnsi="宋体"/>
          <w:color w:val="auto"/>
          <w:szCs w:val="21"/>
          <w:highlight w:val="none"/>
        </w:rPr>
      </w:pPr>
      <w:r>
        <w:rPr>
          <w:rFonts w:hint="eastAsia" w:ascii="宋体" w:hAnsi="宋体" w:cs="宋体"/>
          <w:color w:val="auto"/>
          <w:szCs w:val="21"/>
          <w:highlight w:val="none"/>
          <w:u w:val="single"/>
          <w:lang w:eastAsia="zh-CN"/>
        </w:rPr>
        <w:t>隆回县自然资源局</w:t>
      </w:r>
      <w:r>
        <w:rPr>
          <w:rFonts w:hint="eastAsia" w:ascii="宋体" w:hAnsi="宋体"/>
          <w:color w:val="auto"/>
          <w:szCs w:val="21"/>
          <w:highlight w:val="none"/>
        </w:rPr>
        <w:t>的</w:t>
      </w:r>
      <w:r>
        <w:rPr>
          <w:rFonts w:hint="eastAsia" w:ascii="宋体" w:hAnsi="宋体"/>
          <w:color w:val="auto"/>
          <w:szCs w:val="21"/>
          <w:highlight w:val="none"/>
          <w:u w:val="single"/>
          <w:lang w:eastAsia="zh-CN"/>
        </w:rPr>
        <w:t>隆回县耕地保护国土空间专项规划和耕地保护一张图项目</w:t>
      </w:r>
      <w:r>
        <w:rPr>
          <w:rFonts w:hint="eastAsia" w:ascii="宋体" w:hAnsi="宋体"/>
          <w:color w:val="auto"/>
          <w:szCs w:val="21"/>
          <w:highlight w:val="none"/>
        </w:rPr>
        <w:t>项目进行竞争性</w:t>
      </w:r>
      <w:r>
        <w:rPr>
          <w:rFonts w:hint="eastAsia" w:ascii="宋体" w:hAnsi="宋体"/>
          <w:color w:val="auto"/>
          <w:szCs w:val="21"/>
          <w:highlight w:val="none"/>
          <w:lang w:eastAsia="zh-CN"/>
        </w:rPr>
        <w:t>磋商</w:t>
      </w:r>
      <w:r>
        <w:rPr>
          <w:rFonts w:hint="eastAsia" w:ascii="宋体" w:hAnsi="宋体"/>
          <w:color w:val="auto"/>
          <w:szCs w:val="21"/>
          <w:highlight w:val="none"/>
        </w:rPr>
        <w:t>采购。现采用</w:t>
      </w:r>
      <w:r>
        <w:rPr>
          <w:rFonts w:hint="eastAsia" w:ascii="宋体" w:hAnsi="宋体"/>
          <w:color w:val="auto"/>
          <w:szCs w:val="21"/>
          <w:highlight w:val="none"/>
          <w:u w:val="single"/>
        </w:rPr>
        <w:t>发布公告</w:t>
      </w:r>
      <w:r>
        <w:rPr>
          <w:rFonts w:hint="eastAsia" w:ascii="宋体" w:hAnsi="宋体"/>
          <w:color w:val="auto"/>
          <w:szCs w:val="21"/>
          <w:highlight w:val="none"/>
        </w:rPr>
        <w:t>方式，邀请符合资格条件的供应商提交证明材料参与资格审查，并参与竞争性</w:t>
      </w:r>
      <w:r>
        <w:rPr>
          <w:rFonts w:hint="eastAsia" w:ascii="宋体" w:hAnsi="宋体"/>
          <w:color w:val="auto"/>
          <w:szCs w:val="21"/>
          <w:highlight w:val="none"/>
          <w:lang w:eastAsia="zh-CN"/>
        </w:rPr>
        <w:t>磋商</w:t>
      </w:r>
      <w:r>
        <w:rPr>
          <w:rFonts w:hint="eastAsia" w:ascii="宋体" w:hAnsi="宋体"/>
          <w:color w:val="auto"/>
          <w:szCs w:val="21"/>
          <w:highlight w:val="none"/>
        </w:rPr>
        <w:t>采购活动。</w:t>
      </w:r>
    </w:p>
    <w:p>
      <w:pPr>
        <w:adjustRightInd w:val="0"/>
        <w:snapToGrid w:val="0"/>
        <w:spacing w:line="360" w:lineRule="auto"/>
        <w:outlineLvl w:val="1"/>
        <w:rPr>
          <w:rFonts w:hint="eastAsia" w:ascii="宋体" w:hAnsi="宋体"/>
          <w:b/>
          <w:color w:val="auto"/>
          <w:sz w:val="24"/>
          <w:szCs w:val="24"/>
          <w:highlight w:val="none"/>
        </w:rPr>
      </w:pPr>
      <w:bookmarkStart w:id="2" w:name="_Toc29295"/>
      <w:bookmarkStart w:id="3" w:name="_Toc30508"/>
      <w:r>
        <w:rPr>
          <w:rFonts w:hint="eastAsia" w:ascii="宋体" w:hAnsi="宋体"/>
          <w:b/>
          <w:color w:val="auto"/>
          <w:sz w:val="24"/>
          <w:szCs w:val="24"/>
          <w:highlight w:val="none"/>
        </w:rPr>
        <w:t>一、采购项目基本概况</w:t>
      </w:r>
      <w:bookmarkEnd w:id="2"/>
      <w:bookmarkEnd w:id="3"/>
    </w:p>
    <w:p>
      <w:pPr>
        <w:adjustRightInd w:val="0"/>
        <w:snapToGrid w:val="0"/>
        <w:spacing w:line="360" w:lineRule="auto"/>
        <w:ind w:firstLine="600" w:firstLineChars="250"/>
        <w:rPr>
          <w:rFonts w:hint="eastAsia" w:ascii="宋体" w:hAnsi="宋体" w:eastAsia="宋体"/>
          <w:color w:val="auto"/>
          <w:szCs w:val="21"/>
          <w:highlight w:val="none"/>
          <w:lang w:eastAsia="zh-CN"/>
        </w:rPr>
      </w:pPr>
      <w:r>
        <w:rPr>
          <w:rFonts w:hint="eastAsia" w:ascii="宋体" w:hAnsi="宋体"/>
          <w:color w:val="auto"/>
          <w:szCs w:val="21"/>
          <w:highlight w:val="none"/>
        </w:rPr>
        <w:t>1、采购项目名称：</w:t>
      </w:r>
      <w:r>
        <w:rPr>
          <w:rFonts w:hint="eastAsia" w:ascii="宋体" w:hAnsi="宋体" w:cs="宋体"/>
          <w:color w:val="auto"/>
          <w:szCs w:val="21"/>
          <w:highlight w:val="none"/>
          <w:u w:val="single"/>
          <w:lang w:eastAsia="zh-CN"/>
        </w:rPr>
        <w:t>隆回县耕地保护国土空间专项规划和耕地保护一张图项目</w:t>
      </w:r>
    </w:p>
    <w:p>
      <w:pPr>
        <w:adjustRightInd w:val="0"/>
        <w:snapToGrid w:val="0"/>
        <w:spacing w:line="360" w:lineRule="auto"/>
        <w:ind w:firstLine="600" w:firstLineChars="250"/>
        <w:rPr>
          <w:rFonts w:hint="default" w:ascii="宋体" w:hAnsi="宋体" w:eastAsia="宋体"/>
          <w:color w:val="auto"/>
          <w:szCs w:val="21"/>
          <w:highlight w:val="none"/>
          <w:u w:val="single"/>
          <w:lang w:val="en-US" w:eastAsia="zh-CN"/>
        </w:rPr>
      </w:pPr>
      <w:r>
        <w:rPr>
          <w:rFonts w:hint="eastAsia" w:ascii="宋体" w:hAnsi="宋体"/>
          <w:color w:val="auto"/>
          <w:szCs w:val="21"/>
          <w:highlight w:val="none"/>
        </w:rPr>
        <w:t>2、政府采购编号：</w:t>
      </w:r>
      <w:r>
        <w:rPr>
          <w:rFonts w:hint="eastAsia" w:ascii="宋体" w:hAnsi="宋体"/>
          <w:color w:val="auto"/>
          <w:szCs w:val="21"/>
          <w:highlight w:val="none"/>
          <w:u w:val="single"/>
        </w:rPr>
        <w:t>隆回财采计[202</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000081</w:t>
      </w:r>
    </w:p>
    <w:p>
      <w:pPr>
        <w:adjustRightInd w:val="0"/>
        <w:snapToGrid w:val="0"/>
        <w:spacing w:line="360" w:lineRule="auto"/>
        <w:ind w:firstLine="600" w:firstLineChars="250"/>
        <w:rPr>
          <w:rFonts w:hint="default" w:ascii="宋体" w:hAnsi="宋体" w:eastAsia="宋体"/>
          <w:color w:val="auto"/>
          <w:szCs w:val="21"/>
          <w:highlight w:val="none"/>
          <w:lang w:val="en-US" w:eastAsia="zh-CN"/>
        </w:rPr>
      </w:pPr>
      <w:r>
        <w:rPr>
          <w:rFonts w:hint="eastAsia" w:ascii="宋体" w:hAnsi="宋体"/>
          <w:color w:val="auto"/>
          <w:szCs w:val="21"/>
          <w:highlight w:val="none"/>
        </w:rPr>
        <w:t>3、委托代理编号：</w:t>
      </w:r>
      <w:r>
        <w:rPr>
          <w:rFonts w:hint="eastAsia" w:ascii="宋体" w:hAnsi="宋体"/>
          <w:color w:val="auto"/>
          <w:szCs w:val="21"/>
          <w:highlight w:val="none"/>
          <w:u w:val="single"/>
          <w:lang w:eastAsia="zh-CN"/>
        </w:rPr>
        <w:t>LHLWCG-2021-004</w:t>
      </w:r>
    </w:p>
    <w:tbl>
      <w:tblPr>
        <w:tblStyle w:val="24"/>
        <w:tblW w:w="9157" w:type="dxa"/>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881"/>
        <w:gridCol w:w="2264"/>
        <w:gridCol w:w="1791"/>
        <w:gridCol w:w="800"/>
        <w:gridCol w:w="1834"/>
        <w:gridCol w:w="1587"/>
      </w:tblGrid>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733" w:hRule="atLeast"/>
          <w:jc w:val="center"/>
        </w:trPr>
        <w:tc>
          <w:tcPr>
            <w:tcW w:w="881" w:type="dxa"/>
            <w:tcBorders>
              <w:right w:val="single" w:color="auto" w:sz="4" w:space="0"/>
            </w:tcBorders>
            <w:noWrap w:val="0"/>
            <w:vAlign w:val="center"/>
          </w:tcPr>
          <w:p>
            <w:pPr>
              <w:widowControl/>
              <w:adjustRightInd w:val="0"/>
              <w:snapToGrid w:val="0"/>
              <w:spacing w:before="50" w:line="240" w:lineRule="auto"/>
              <w:jc w:val="center"/>
              <w:rPr>
                <w:rFonts w:ascii="宋体" w:hAnsi="宋体" w:cs="宋体"/>
                <w:color w:val="auto"/>
                <w:kern w:val="0"/>
                <w:szCs w:val="21"/>
                <w:highlight w:val="none"/>
              </w:rPr>
            </w:pPr>
            <w:bookmarkStart w:id="4" w:name="_Toc25928"/>
            <w:bookmarkStart w:id="5" w:name="_Toc4267"/>
            <w:r>
              <w:rPr>
                <w:rFonts w:hint="eastAsia" w:ascii="宋体" w:hAnsi="宋体" w:cs="宋体"/>
                <w:color w:val="auto"/>
                <w:kern w:val="0"/>
                <w:szCs w:val="21"/>
                <w:highlight w:val="none"/>
              </w:rPr>
              <w:t>序号</w:t>
            </w:r>
          </w:p>
        </w:tc>
        <w:tc>
          <w:tcPr>
            <w:tcW w:w="2264" w:type="dxa"/>
            <w:tcBorders>
              <w:left w:val="single" w:color="auto" w:sz="4" w:space="0"/>
            </w:tcBorders>
            <w:noWrap w:val="0"/>
            <w:vAlign w:val="center"/>
          </w:tcPr>
          <w:p>
            <w:pPr>
              <w:widowControl/>
              <w:adjustRightInd w:val="0"/>
              <w:snapToGrid w:val="0"/>
              <w:spacing w:before="50" w:line="240" w:lineRule="auto"/>
              <w:jc w:val="center"/>
              <w:rPr>
                <w:rFonts w:ascii="宋体" w:hAnsi="宋体" w:cs="宋体"/>
                <w:color w:val="auto"/>
                <w:kern w:val="0"/>
                <w:szCs w:val="21"/>
                <w:highlight w:val="none"/>
              </w:rPr>
            </w:pPr>
            <w:r>
              <w:rPr>
                <w:rFonts w:hint="eastAsia" w:ascii="宋体" w:hAnsi="宋体"/>
                <w:color w:val="auto"/>
                <w:kern w:val="0"/>
                <w:highlight w:val="none"/>
                <w:lang w:eastAsia="zh-CN"/>
              </w:rPr>
              <w:t>项目</w:t>
            </w:r>
            <w:r>
              <w:rPr>
                <w:rFonts w:hint="eastAsia" w:ascii="宋体" w:hAnsi="宋体"/>
                <w:color w:val="auto"/>
                <w:kern w:val="0"/>
                <w:highlight w:val="none"/>
              </w:rPr>
              <w:t>名称</w:t>
            </w:r>
          </w:p>
        </w:tc>
        <w:tc>
          <w:tcPr>
            <w:tcW w:w="1791" w:type="dxa"/>
            <w:tcBorders>
              <w:right w:val="single" w:color="auto" w:sz="4" w:space="0"/>
            </w:tcBorders>
            <w:noWrap w:val="0"/>
            <w:vAlign w:val="center"/>
          </w:tcPr>
          <w:p>
            <w:pPr>
              <w:widowControl/>
              <w:adjustRightInd w:val="0"/>
              <w:snapToGrid w:val="0"/>
              <w:spacing w:before="50"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简要技术要求</w:t>
            </w:r>
          </w:p>
        </w:tc>
        <w:tc>
          <w:tcPr>
            <w:tcW w:w="800" w:type="dxa"/>
            <w:tcBorders>
              <w:left w:val="single" w:color="auto" w:sz="4" w:space="0"/>
              <w:right w:val="single" w:color="auto" w:sz="4" w:space="0"/>
            </w:tcBorders>
            <w:noWrap w:val="0"/>
            <w:vAlign w:val="center"/>
          </w:tcPr>
          <w:p>
            <w:pPr>
              <w:widowControl/>
              <w:adjustRightInd w:val="0"/>
              <w:snapToGrid w:val="0"/>
              <w:spacing w:before="50"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数量</w:t>
            </w:r>
          </w:p>
        </w:tc>
        <w:tc>
          <w:tcPr>
            <w:tcW w:w="1834" w:type="dxa"/>
            <w:tcBorders>
              <w:left w:val="single" w:color="auto" w:sz="4" w:space="0"/>
              <w:right w:val="single" w:color="auto" w:sz="4" w:space="0"/>
            </w:tcBorders>
            <w:noWrap w:val="0"/>
            <w:vAlign w:val="center"/>
          </w:tcPr>
          <w:p>
            <w:pPr>
              <w:widowControl/>
              <w:adjustRightInd w:val="0"/>
              <w:snapToGrid w:val="0"/>
              <w:spacing w:before="50"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采购项目预算</w:t>
            </w:r>
          </w:p>
          <w:p>
            <w:pPr>
              <w:widowControl/>
              <w:adjustRightInd w:val="0"/>
              <w:snapToGrid w:val="0"/>
              <w:spacing w:before="50"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（元人民币）</w:t>
            </w:r>
          </w:p>
        </w:tc>
        <w:tc>
          <w:tcPr>
            <w:tcW w:w="1587" w:type="dxa"/>
            <w:noWrap w:val="0"/>
            <w:vAlign w:val="center"/>
          </w:tcPr>
          <w:p>
            <w:pPr>
              <w:widowControl/>
              <w:adjustRightInd w:val="0"/>
              <w:snapToGrid w:val="0"/>
              <w:spacing w:before="50"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代理服务收费最高限价</w:t>
            </w:r>
          </w:p>
        </w:tc>
      </w:tr>
      <w:tr>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108" w:type="dxa"/>
            <w:bottom w:w="0" w:type="dxa"/>
            <w:right w:w="108" w:type="dxa"/>
          </w:tblCellMar>
        </w:tblPrEx>
        <w:trPr>
          <w:trHeight w:val="804" w:hRule="atLeast"/>
          <w:jc w:val="center"/>
        </w:trPr>
        <w:tc>
          <w:tcPr>
            <w:tcW w:w="881" w:type="dxa"/>
            <w:tcBorders>
              <w:right w:val="single" w:color="auto" w:sz="4" w:space="0"/>
            </w:tcBorders>
            <w:noWrap w:val="0"/>
            <w:vAlign w:val="center"/>
          </w:tcPr>
          <w:p>
            <w:pPr>
              <w:pStyle w:val="13"/>
              <w:adjustRightInd w:val="0"/>
              <w:snapToGrid w:val="0"/>
              <w:spacing w:before="50" w:line="360" w:lineRule="auto"/>
              <w:jc w:val="center"/>
              <w:rPr>
                <w:rFonts w:hAnsi="宋体"/>
                <w:color w:val="auto"/>
                <w:kern w:val="0"/>
                <w:highlight w:val="none"/>
              </w:rPr>
            </w:pPr>
            <w:r>
              <w:rPr>
                <w:rFonts w:hint="eastAsia" w:hAnsi="宋体"/>
                <w:color w:val="auto"/>
                <w:kern w:val="0"/>
                <w:highlight w:val="none"/>
              </w:rPr>
              <w:t>01</w:t>
            </w:r>
          </w:p>
        </w:tc>
        <w:tc>
          <w:tcPr>
            <w:tcW w:w="2264" w:type="dxa"/>
            <w:tcBorders>
              <w:left w:val="single" w:color="auto" w:sz="4" w:space="0"/>
            </w:tcBorders>
            <w:noWrap w:val="0"/>
            <w:vAlign w:val="center"/>
          </w:tcPr>
          <w:p>
            <w:pPr>
              <w:pStyle w:val="13"/>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Courier New"/>
                <w:color w:val="auto"/>
                <w:kern w:val="0"/>
                <w:sz w:val="21"/>
                <w:szCs w:val="21"/>
                <w:highlight w:val="none"/>
                <w:lang w:val="en-US" w:eastAsia="zh-CN" w:bidi="ar-SA"/>
              </w:rPr>
            </w:pPr>
            <w:r>
              <w:rPr>
                <w:rFonts w:hint="eastAsia" w:hAnsi="宋体" w:cs="Courier New"/>
                <w:color w:val="auto"/>
                <w:kern w:val="0"/>
                <w:sz w:val="21"/>
                <w:szCs w:val="21"/>
                <w:highlight w:val="none"/>
                <w:lang w:val="en-US" w:eastAsia="zh-CN" w:bidi="ar-SA"/>
              </w:rPr>
              <w:t>隆回县耕地保护国土空间专项规划和耕地保护一张图项目</w:t>
            </w:r>
          </w:p>
        </w:tc>
        <w:tc>
          <w:tcPr>
            <w:tcW w:w="1791" w:type="dxa"/>
            <w:tcBorders>
              <w:right w:val="single" w:color="auto" w:sz="4" w:space="0"/>
            </w:tcBorders>
            <w:noWrap w:val="0"/>
            <w:vAlign w:val="center"/>
          </w:tcPr>
          <w:p>
            <w:pPr>
              <w:pStyle w:val="13"/>
              <w:adjustRightInd w:val="0"/>
              <w:snapToGrid w:val="0"/>
              <w:spacing w:before="50" w:line="360" w:lineRule="auto"/>
              <w:jc w:val="center"/>
              <w:rPr>
                <w:rFonts w:hint="eastAsia" w:hAnsi="宋体" w:eastAsia="宋体"/>
                <w:color w:val="auto"/>
                <w:kern w:val="0"/>
                <w:highlight w:val="none"/>
                <w:lang w:eastAsia="zh-CN"/>
              </w:rPr>
            </w:pPr>
            <w:r>
              <w:rPr>
                <w:rFonts w:hint="eastAsia" w:hAnsi="宋体"/>
                <w:color w:val="auto"/>
                <w:kern w:val="0"/>
                <w:highlight w:val="none"/>
                <w:lang w:eastAsia="zh-CN"/>
              </w:rPr>
              <w:t>详见采购需求</w:t>
            </w:r>
          </w:p>
        </w:tc>
        <w:tc>
          <w:tcPr>
            <w:tcW w:w="800" w:type="dxa"/>
            <w:tcBorders>
              <w:left w:val="single" w:color="auto" w:sz="4" w:space="0"/>
              <w:right w:val="single" w:color="auto" w:sz="4" w:space="0"/>
            </w:tcBorders>
            <w:noWrap w:val="0"/>
            <w:vAlign w:val="center"/>
          </w:tcPr>
          <w:p>
            <w:pPr>
              <w:pStyle w:val="13"/>
              <w:adjustRightInd w:val="0"/>
              <w:snapToGrid w:val="0"/>
              <w:spacing w:before="50" w:line="360" w:lineRule="auto"/>
              <w:jc w:val="center"/>
              <w:rPr>
                <w:rFonts w:hint="eastAsia" w:hAnsi="宋体" w:eastAsia="宋体"/>
                <w:color w:val="auto"/>
                <w:kern w:val="0"/>
                <w:highlight w:val="none"/>
                <w:lang w:val="en-US" w:eastAsia="zh-CN"/>
              </w:rPr>
            </w:pPr>
            <w:r>
              <w:rPr>
                <w:rFonts w:hint="eastAsia" w:hAnsi="宋体"/>
                <w:color w:val="auto"/>
                <w:kern w:val="0"/>
                <w:highlight w:val="none"/>
                <w:lang w:val="en-US" w:eastAsia="zh-CN"/>
              </w:rPr>
              <w:t>1项</w:t>
            </w:r>
          </w:p>
        </w:tc>
        <w:tc>
          <w:tcPr>
            <w:tcW w:w="1834" w:type="dxa"/>
            <w:tcBorders>
              <w:left w:val="single" w:color="auto" w:sz="4" w:space="0"/>
              <w:right w:val="single" w:color="auto" w:sz="4" w:space="0"/>
            </w:tcBorders>
            <w:noWrap w:val="0"/>
            <w:vAlign w:val="center"/>
          </w:tcPr>
          <w:p>
            <w:pPr>
              <w:pStyle w:val="13"/>
              <w:adjustRightInd w:val="0"/>
              <w:snapToGrid w:val="0"/>
              <w:spacing w:before="156" w:beforeLines="50" w:line="360" w:lineRule="auto"/>
              <w:jc w:val="center"/>
              <w:rPr>
                <w:rFonts w:hint="default" w:hAnsi="宋体" w:eastAsia="宋体"/>
                <w:color w:val="auto"/>
                <w:kern w:val="0"/>
                <w:highlight w:val="none"/>
                <w:lang w:val="en-US" w:eastAsia="zh-CN"/>
              </w:rPr>
            </w:pPr>
            <w:r>
              <w:rPr>
                <w:rFonts w:hint="eastAsia" w:hAnsi="宋体"/>
                <w:kern w:val="0"/>
                <w:lang w:val="en-US" w:eastAsia="zh-CN"/>
              </w:rPr>
              <w:t>990000.00</w:t>
            </w:r>
          </w:p>
        </w:tc>
        <w:tc>
          <w:tcPr>
            <w:tcW w:w="1587" w:type="dxa"/>
            <w:noWrap w:val="0"/>
            <w:vAlign w:val="center"/>
          </w:tcPr>
          <w:p>
            <w:pPr>
              <w:pStyle w:val="13"/>
              <w:adjustRightInd w:val="0"/>
              <w:snapToGrid w:val="0"/>
              <w:spacing w:before="156" w:beforeLines="50" w:line="360" w:lineRule="auto"/>
              <w:jc w:val="center"/>
              <w:rPr>
                <w:rFonts w:hint="default" w:hAnsi="宋体" w:eastAsia="宋体"/>
                <w:color w:val="auto"/>
                <w:kern w:val="0"/>
                <w:highlight w:val="none"/>
                <w:lang w:val="en-US" w:eastAsia="zh-CN"/>
              </w:rPr>
            </w:pPr>
            <w:r>
              <w:rPr>
                <w:rFonts w:hint="eastAsia" w:hAnsi="宋体"/>
                <w:kern w:val="0"/>
                <w:lang w:val="en-US" w:eastAsia="zh-CN"/>
              </w:rPr>
              <w:t>14850.00</w:t>
            </w:r>
          </w:p>
        </w:tc>
      </w:tr>
    </w:tbl>
    <w:p>
      <w:pPr>
        <w:keepNext w:val="0"/>
        <w:keepLines w:val="0"/>
        <w:pageBreakBefore w:val="0"/>
        <w:widowControl w:val="0"/>
        <w:kinsoku/>
        <w:wordWrap/>
        <w:overflowPunct/>
        <w:topLinePunct w:val="0"/>
        <w:autoSpaceDE/>
        <w:autoSpaceDN/>
        <w:bidi w:val="0"/>
        <w:adjustRightInd w:val="0"/>
        <w:snapToGrid w:val="0"/>
        <w:spacing w:before="63" w:beforeLines="20" w:line="360" w:lineRule="auto"/>
        <w:textAlignment w:val="auto"/>
        <w:outlineLvl w:val="1"/>
        <w:rPr>
          <w:rFonts w:hint="eastAsia" w:ascii="宋体" w:hAnsi="宋体" w:cs="Times New Roman"/>
          <w:b/>
          <w:color w:val="auto"/>
          <w:sz w:val="24"/>
          <w:szCs w:val="24"/>
          <w:highlight w:val="none"/>
        </w:rPr>
      </w:pPr>
      <w:r>
        <w:rPr>
          <w:rFonts w:hint="eastAsia" w:ascii="宋体" w:hAnsi="宋体" w:cs="Times New Roman"/>
          <w:b/>
          <w:color w:val="auto"/>
          <w:sz w:val="24"/>
          <w:szCs w:val="24"/>
          <w:highlight w:val="none"/>
          <w:lang w:eastAsia="zh-CN"/>
        </w:rPr>
        <w:t>二、</w:t>
      </w:r>
      <w:r>
        <w:rPr>
          <w:rFonts w:hint="eastAsia" w:ascii="宋体" w:hAnsi="宋体" w:cs="Times New Roman"/>
          <w:b/>
          <w:color w:val="auto"/>
          <w:sz w:val="24"/>
          <w:szCs w:val="24"/>
          <w:highlight w:val="none"/>
        </w:rPr>
        <w:t>采购人的采购需求</w:t>
      </w:r>
      <w:bookmarkEnd w:id="4"/>
      <w:bookmarkEnd w:id="5"/>
    </w:p>
    <w:p>
      <w:pPr>
        <w:keepNext w:val="0"/>
        <w:keepLines w:val="0"/>
        <w:pageBreakBefore w:val="0"/>
        <w:kinsoku/>
        <w:wordWrap/>
        <w:overflowPunct/>
        <w:topLinePunct w:val="0"/>
        <w:autoSpaceDN/>
        <w:bidi w:val="0"/>
        <w:adjustRightInd w:val="0"/>
        <w:snapToGrid w:val="0"/>
        <w:spacing w:before="50" w:line="360" w:lineRule="exact"/>
        <w:ind w:firstLine="480" w:firstLineChars="200"/>
        <w:textAlignment w:val="auto"/>
        <w:outlineLvl w:val="2"/>
        <w:rPr>
          <w:rFonts w:ascii="宋体" w:hAnsi="宋体"/>
          <w:b/>
          <w:color w:val="auto"/>
          <w:szCs w:val="21"/>
          <w:highlight w:val="none"/>
        </w:rPr>
      </w:pPr>
      <w:bookmarkStart w:id="6" w:name="_Toc3562"/>
      <w:r>
        <w:rPr>
          <w:rFonts w:hint="eastAsia" w:ascii="宋体" w:hAnsi="宋体"/>
          <w:color w:val="auto"/>
          <w:szCs w:val="21"/>
          <w:highlight w:val="none"/>
        </w:rPr>
        <w:t>1、</w:t>
      </w:r>
      <w:r>
        <w:rPr>
          <w:rFonts w:hint="eastAsia" w:ascii="宋体" w:hAnsi="宋体"/>
          <w:b/>
          <w:color w:val="auto"/>
          <w:szCs w:val="21"/>
          <w:highlight w:val="none"/>
        </w:rPr>
        <w:t>采购项目需要落实的政府采购政策</w:t>
      </w:r>
      <w:r>
        <w:rPr>
          <w:rFonts w:hint="eastAsia" w:ascii="宋体" w:hAnsi="宋体"/>
          <w:color w:val="auto"/>
          <w:szCs w:val="21"/>
          <w:highlight w:val="none"/>
        </w:rPr>
        <w:t>：</w:t>
      </w:r>
      <w:bookmarkEnd w:id="6"/>
    </w:p>
    <w:p>
      <w:pPr>
        <w:keepNext w:val="0"/>
        <w:keepLines w:val="0"/>
        <w:pageBreakBefore w:val="0"/>
        <w:kinsoku/>
        <w:wordWrap/>
        <w:overflowPunct/>
        <w:topLinePunct w:val="0"/>
        <w:autoSpaceDN/>
        <w:bidi w:val="0"/>
        <w:adjustRightInd w:val="0"/>
        <w:snapToGrid w:val="0"/>
        <w:spacing w:before="50" w:line="360" w:lineRule="exact"/>
        <w:ind w:firstLine="480" w:firstLineChars="200"/>
        <w:textAlignment w:val="auto"/>
        <w:rPr>
          <w:rFonts w:ascii="宋体" w:hAnsi="宋体"/>
          <w:color w:val="auto"/>
          <w:szCs w:val="21"/>
          <w:highlight w:val="none"/>
        </w:rPr>
      </w:pPr>
      <w:r>
        <w:rPr>
          <w:rFonts w:hint="eastAsia" w:ascii="宋体" w:hAnsi="宋体"/>
          <w:color w:val="auto"/>
          <w:szCs w:val="21"/>
          <w:highlight w:val="none"/>
        </w:rPr>
        <w:t>价格评审优惠：政府采购促进中小企业发展（包括政府采购支持监狱企业发展、政府采购促进残疾人就业）。</w:t>
      </w:r>
    </w:p>
    <w:p>
      <w:pPr>
        <w:keepNext w:val="0"/>
        <w:keepLines w:val="0"/>
        <w:pageBreakBefore w:val="0"/>
        <w:kinsoku/>
        <w:wordWrap/>
        <w:overflowPunct/>
        <w:topLinePunct w:val="0"/>
        <w:autoSpaceDN/>
        <w:bidi w:val="0"/>
        <w:adjustRightInd w:val="0"/>
        <w:snapToGrid w:val="0"/>
        <w:spacing w:line="360" w:lineRule="exact"/>
        <w:textAlignment w:val="auto"/>
        <w:outlineLvl w:val="1"/>
        <w:rPr>
          <w:rFonts w:hint="eastAsia" w:ascii="宋体" w:hAnsi="宋体" w:cs="Times New Roman"/>
          <w:b/>
          <w:color w:val="auto"/>
          <w:sz w:val="24"/>
          <w:szCs w:val="24"/>
          <w:highlight w:val="none"/>
        </w:rPr>
      </w:pPr>
      <w:bookmarkStart w:id="7" w:name="_Toc8999"/>
      <w:bookmarkStart w:id="8" w:name="_Toc11244"/>
      <w:bookmarkStart w:id="9" w:name="_Toc22657513"/>
      <w:bookmarkStart w:id="10" w:name="_Toc34637815"/>
      <w:r>
        <w:rPr>
          <w:rFonts w:hint="eastAsia" w:ascii="宋体" w:hAnsi="宋体" w:cs="Times New Roman"/>
          <w:b/>
          <w:color w:val="auto"/>
          <w:sz w:val="24"/>
          <w:szCs w:val="24"/>
          <w:highlight w:val="none"/>
        </w:rPr>
        <w:t>三、供应商资质要求</w:t>
      </w:r>
      <w:bookmarkEnd w:id="7"/>
      <w:bookmarkEnd w:id="8"/>
      <w:bookmarkEnd w:id="9"/>
      <w:bookmarkEnd w:id="10"/>
    </w:p>
    <w:p>
      <w:pPr>
        <w:pageBreakBefore w:val="0"/>
        <w:widowControl w:val="0"/>
        <w:kinsoku/>
        <w:wordWrap/>
        <w:overflowPunct/>
        <w:topLinePunct w:val="0"/>
        <w:autoSpaceDE/>
        <w:autoSpaceDN/>
        <w:bidi w:val="0"/>
        <w:adjustRightInd w:val="0"/>
        <w:snapToGrid w:val="0"/>
        <w:spacing w:before="156" w:beforeLines="50" w:line="320" w:lineRule="exact"/>
        <w:ind w:firstLine="482" w:firstLineChars="200"/>
        <w:textAlignment w:val="auto"/>
        <w:rPr>
          <w:rFonts w:ascii="宋体" w:hAnsi="宋体"/>
          <w:szCs w:val="21"/>
        </w:rPr>
      </w:pPr>
      <w:r>
        <w:rPr>
          <w:rFonts w:hint="eastAsia" w:ascii="宋体" w:hAnsi="宋体"/>
          <w:b/>
          <w:bCs/>
          <w:szCs w:val="21"/>
          <w:lang w:eastAsia="zh-CN"/>
        </w:rPr>
        <w:t>（一）</w:t>
      </w:r>
      <w:r>
        <w:rPr>
          <w:rFonts w:hint="eastAsia" w:ascii="宋体" w:hAnsi="宋体"/>
          <w:b/>
          <w:bCs/>
          <w:szCs w:val="21"/>
        </w:rPr>
        <w:t>供应商的基本资格条件</w:t>
      </w:r>
      <w:r>
        <w:rPr>
          <w:rFonts w:hint="eastAsia" w:ascii="宋体" w:hAnsi="宋体"/>
          <w:szCs w:val="21"/>
        </w:rPr>
        <w:t>：供应商必须是在中华人民共和国境内注册登记的法人、其他组织或者自然人，且应当符合《政府采购法》第二十二条第一款的规定，即：</w:t>
      </w:r>
    </w:p>
    <w:p>
      <w:pPr>
        <w:pageBreakBefore w:val="0"/>
        <w:widowControl w:val="0"/>
        <w:kinsoku/>
        <w:wordWrap/>
        <w:overflowPunct/>
        <w:topLinePunct w:val="0"/>
        <w:autoSpaceDE/>
        <w:autoSpaceDN/>
        <w:bidi w:val="0"/>
        <w:adjustRightInd w:val="0"/>
        <w:snapToGrid w:val="0"/>
        <w:spacing w:before="156" w:beforeLines="50" w:line="320" w:lineRule="exact"/>
        <w:ind w:firstLine="480" w:firstLineChars="200"/>
        <w:textAlignment w:val="auto"/>
        <w:rPr>
          <w:rFonts w:hint="eastAsia" w:ascii="宋体" w:hAnsi="宋体"/>
          <w:szCs w:val="21"/>
          <w:lang w:val="en-US" w:eastAsia="zh-CN"/>
        </w:rPr>
      </w:pPr>
      <w:r>
        <w:rPr>
          <w:rFonts w:hint="eastAsia" w:ascii="宋体" w:hAnsi="宋体"/>
          <w:szCs w:val="21"/>
          <w:lang w:val="en-US" w:eastAsia="zh-CN"/>
        </w:rPr>
        <w:t>1、法人提交企业法人营业执照副本(或者法人登记证书)；</w:t>
      </w:r>
    </w:p>
    <w:p>
      <w:pPr>
        <w:pageBreakBefore w:val="0"/>
        <w:widowControl w:val="0"/>
        <w:kinsoku/>
        <w:wordWrap/>
        <w:overflowPunct/>
        <w:topLinePunct w:val="0"/>
        <w:autoSpaceDE/>
        <w:autoSpaceDN/>
        <w:bidi w:val="0"/>
        <w:adjustRightInd w:val="0"/>
        <w:snapToGrid w:val="0"/>
        <w:spacing w:before="156" w:beforeLines="50" w:line="320" w:lineRule="exact"/>
        <w:ind w:firstLine="480" w:firstLineChars="200"/>
        <w:textAlignment w:val="auto"/>
        <w:rPr>
          <w:rFonts w:hint="eastAsia" w:ascii="宋体" w:hAnsi="宋体"/>
          <w:szCs w:val="21"/>
          <w:lang w:val="en-US" w:eastAsia="zh-CN"/>
        </w:rPr>
      </w:pPr>
      <w:r>
        <w:rPr>
          <w:rFonts w:hint="eastAsia" w:ascii="宋体" w:hAnsi="宋体"/>
          <w:szCs w:val="21"/>
          <w:lang w:val="en-US" w:eastAsia="zh-CN"/>
        </w:rPr>
        <w:t>2、法定代表人提交法定代表人身份证明原件及有效身份证原件，委托代理人提交授权委托书原件并附法定代表人身份证明原件及有效身份证原件。</w:t>
      </w:r>
    </w:p>
    <w:p>
      <w:pPr>
        <w:pageBreakBefore w:val="0"/>
        <w:widowControl w:val="0"/>
        <w:kinsoku/>
        <w:wordWrap/>
        <w:overflowPunct/>
        <w:topLinePunct w:val="0"/>
        <w:autoSpaceDE/>
        <w:autoSpaceDN/>
        <w:bidi w:val="0"/>
        <w:adjustRightInd w:val="0"/>
        <w:snapToGrid w:val="0"/>
        <w:spacing w:before="156" w:beforeLines="50" w:line="320" w:lineRule="exact"/>
        <w:ind w:firstLine="480" w:firstLineChars="200"/>
        <w:textAlignment w:val="auto"/>
        <w:rPr>
          <w:rFonts w:hint="eastAsia" w:ascii="宋体" w:hAnsi="宋体"/>
          <w:szCs w:val="21"/>
          <w:lang w:val="en-US" w:eastAsia="zh-CN"/>
        </w:rPr>
      </w:pPr>
      <w:bookmarkStart w:id="11" w:name="_Toc26441"/>
      <w:bookmarkEnd w:id="11"/>
      <w:bookmarkStart w:id="12" w:name="_Toc1131"/>
      <w:bookmarkEnd w:id="12"/>
      <w:bookmarkStart w:id="13" w:name="_Toc15619"/>
      <w:r>
        <w:rPr>
          <w:rFonts w:hint="eastAsia" w:ascii="宋体" w:hAnsi="宋体"/>
          <w:szCs w:val="21"/>
          <w:lang w:val="en-US" w:eastAsia="zh-CN"/>
        </w:rPr>
        <w:t>3</w:t>
      </w:r>
      <w:bookmarkEnd w:id="13"/>
      <w:r>
        <w:rPr>
          <w:rFonts w:hint="eastAsia" w:ascii="宋体" w:hAnsi="宋体"/>
          <w:szCs w:val="21"/>
          <w:lang w:val="en-US" w:eastAsia="zh-CN"/>
        </w:rPr>
        <w:t>、依法缴纳税收和社会保险费的证明材料,各提供下列材料之一:</w:t>
      </w:r>
    </w:p>
    <w:p>
      <w:pPr>
        <w:pageBreakBefore w:val="0"/>
        <w:widowControl w:val="0"/>
        <w:kinsoku/>
        <w:wordWrap/>
        <w:overflowPunct/>
        <w:topLinePunct w:val="0"/>
        <w:autoSpaceDE/>
        <w:autoSpaceDN/>
        <w:bidi w:val="0"/>
        <w:adjustRightInd w:val="0"/>
        <w:snapToGrid w:val="0"/>
        <w:spacing w:before="156" w:beforeLines="50" w:line="320" w:lineRule="exact"/>
        <w:ind w:firstLine="480" w:firstLineChars="200"/>
        <w:textAlignment w:val="auto"/>
        <w:rPr>
          <w:rFonts w:hint="eastAsia" w:ascii="宋体" w:hAnsi="宋体"/>
          <w:szCs w:val="21"/>
          <w:lang w:val="en-US" w:eastAsia="zh-CN"/>
        </w:rPr>
      </w:pPr>
      <w:bookmarkStart w:id="14" w:name="_Toc27855"/>
      <w:bookmarkEnd w:id="14"/>
      <w:bookmarkStart w:id="15" w:name="_Toc19378"/>
      <w:bookmarkEnd w:id="15"/>
      <w:bookmarkStart w:id="16" w:name="_Toc15238"/>
      <w:r>
        <w:rPr>
          <w:rFonts w:hint="eastAsia" w:ascii="宋体" w:hAnsi="宋体"/>
          <w:szCs w:val="21"/>
          <w:lang w:val="en-US" w:eastAsia="zh-CN"/>
        </w:rPr>
        <w:t>⑴ 缴纳税收证明资料:《税务登记证》复印件，或者近三个月依法缴纳税收的证明（纳税凭证复印件），或者委托他人缴纳的委托代办协议和近三个月的缴纳证明（收据复印件），或者法定征收机关出具的依法免缴税收的证明原件。</w:t>
      </w:r>
      <w:bookmarkEnd w:id="16"/>
    </w:p>
    <w:p>
      <w:pPr>
        <w:pageBreakBefore w:val="0"/>
        <w:widowControl w:val="0"/>
        <w:kinsoku/>
        <w:wordWrap/>
        <w:overflowPunct/>
        <w:topLinePunct w:val="0"/>
        <w:autoSpaceDE/>
        <w:autoSpaceDN/>
        <w:bidi w:val="0"/>
        <w:adjustRightInd w:val="0"/>
        <w:snapToGrid w:val="0"/>
        <w:spacing w:before="156" w:beforeLines="50" w:line="320" w:lineRule="exact"/>
        <w:ind w:firstLine="480" w:firstLineChars="200"/>
        <w:textAlignment w:val="auto"/>
        <w:rPr>
          <w:rFonts w:hint="eastAsia" w:ascii="宋体" w:hAnsi="宋体"/>
          <w:szCs w:val="21"/>
          <w:lang w:val="en-US" w:eastAsia="zh-CN"/>
        </w:rPr>
      </w:pPr>
      <w:bookmarkStart w:id="17" w:name="_Toc4298"/>
      <w:bookmarkEnd w:id="17"/>
      <w:bookmarkStart w:id="18" w:name="_Toc27508"/>
      <w:bookmarkEnd w:id="18"/>
      <w:bookmarkStart w:id="19" w:name="_Toc20222"/>
      <w:r>
        <w:rPr>
          <w:rFonts w:hint="eastAsia" w:ascii="宋体" w:hAnsi="宋体"/>
          <w:szCs w:val="21"/>
          <w:lang w:val="en-US" w:eastAsia="zh-CN"/>
        </w:rPr>
        <w:t>⑵ 缴纳社会保险证明资料：《社会保险登记证》复印件，或者近三个月依法缴纳社会保险的证明（缴费凭证复印件），或者委托他人缴纳的委托代办协议和近三个月的缴纳证明（收据复印件），或者法定征收机关出具的依法免缴保险费的证明原件。</w:t>
      </w:r>
      <w:bookmarkEnd w:id="19"/>
    </w:p>
    <w:p>
      <w:pPr>
        <w:pageBreakBefore w:val="0"/>
        <w:widowControl w:val="0"/>
        <w:kinsoku/>
        <w:wordWrap/>
        <w:overflowPunct/>
        <w:topLinePunct w:val="0"/>
        <w:autoSpaceDE/>
        <w:autoSpaceDN/>
        <w:bidi w:val="0"/>
        <w:adjustRightInd w:val="0"/>
        <w:snapToGrid w:val="0"/>
        <w:spacing w:before="156" w:beforeLines="50" w:line="320" w:lineRule="exact"/>
        <w:ind w:firstLine="480" w:firstLineChars="200"/>
        <w:textAlignment w:val="auto"/>
        <w:rPr>
          <w:rFonts w:hint="eastAsia" w:ascii="宋体" w:hAnsi="宋体"/>
          <w:szCs w:val="21"/>
          <w:lang w:val="en-US" w:eastAsia="zh-CN"/>
        </w:rPr>
      </w:pPr>
      <w:bookmarkStart w:id="20" w:name="_Toc10497"/>
      <w:bookmarkEnd w:id="20"/>
      <w:bookmarkStart w:id="21" w:name="_Toc28344"/>
      <w:bookmarkEnd w:id="21"/>
      <w:bookmarkStart w:id="22" w:name="_Toc28163"/>
      <w:r>
        <w:rPr>
          <w:rFonts w:hint="eastAsia" w:ascii="宋体" w:hAnsi="宋体"/>
          <w:szCs w:val="21"/>
          <w:lang w:val="en-US" w:eastAsia="zh-CN"/>
        </w:rPr>
        <w:t>4、供应商提供2020年度经审计的财务报告（至少包含资产负债表、利润表和现金流量表）</w:t>
      </w:r>
      <w:bookmarkEnd w:id="22"/>
      <w:r>
        <w:rPr>
          <w:rFonts w:hint="eastAsia" w:ascii="宋体" w:hAnsi="宋体"/>
          <w:szCs w:val="21"/>
          <w:lang w:val="en-US" w:eastAsia="zh-CN"/>
        </w:rPr>
        <w:t>或银行资信证明或专业担保机构对供应商进行资信审查后出具投标担保函；</w:t>
      </w:r>
    </w:p>
    <w:p>
      <w:pPr>
        <w:pageBreakBefore w:val="0"/>
        <w:widowControl w:val="0"/>
        <w:kinsoku/>
        <w:wordWrap/>
        <w:overflowPunct/>
        <w:topLinePunct w:val="0"/>
        <w:autoSpaceDE/>
        <w:autoSpaceDN/>
        <w:bidi w:val="0"/>
        <w:adjustRightInd w:val="0"/>
        <w:snapToGrid w:val="0"/>
        <w:spacing w:before="156" w:beforeLines="50" w:line="320" w:lineRule="exact"/>
        <w:ind w:firstLine="482" w:firstLineChars="200"/>
        <w:textAlignment w:val="auto"/>
        <w:rPr>
          <w:rFonts w:ascii="宋体" w:hAnsi="宋体"/>
          <w:color w:val="auto"/>
          <w:szCs w:val="21"/>
        </w:rPr>
      </w:pPr>
      <w:r>
        <w:rPr>
          <w:rFonts w:hint="eastAsia" w:ascii="宋体" w:hAnsi="宋体"/>
          <w:b/>
          <w:bCs/>
          <w:szCs w:val="21"/>
          <w:lang w:eastAsia="zh-CN"/>
        </w:rPr>
        <w:t>（二）</w:t>
      </w:r>
      <w:r>
        <w:rPr>
          <w:rFonts w:hint="eastAsia" w:ascii="宋体" w:hAnsi="宋体"/>
          <w:b/>
          <w:bCs/>
          <w:szCs w:val="21"/>
        </w:rPr>
        <w:t>采购项目的特定资格条件：</w:t>
      </w:r>
      <w:r>
        <w:rPr>
          <w:rFonts w:hint="eastAsia"/>
          <w:color w:val="auto"/>
        </w:rPr>
        <w:t>须同时具备</w:t>
      </w:r>
      <w:r>
        <w:rPr>
          <w:rFonts w:hint="eastAsia"/>
          <w:color w:val="auto"/>
          <w:lang w:eastAsia="zh-CN"/>
        </w:rPr>
        <w:t>国土空间</w:t>
      </w:r>
      <w:r>
        <w:rPr>
          <w:rFonts w:hint="eastAsia"/>
          <w:color w:val="auto"/>
        </w:rPr>
        <w:t>规划</w:t>
      </w:r>
      <w:r>
        <w:rPr>
          <w:rFonts w:hint="eastAsia"/>
          <w:color w:val="auto"/>
          <w:lang w:eastAsia="zh-CN"/>
        </w:rPr>
        <w:t>编制技术单位资质</w:t>
      </w:r>
      <w:r>
        <w:rPr>
          <w:rFonts w:hint="eastAsia"/>
          <w:color w:val="auto"/>
        </w:rPr>
        <w:t>、测绘</w:t>
      </w:r>
      <w:r>
        <w:rPr>
          <w:rFonts w:hint="eastAsia"/>
          <w:color w:val="auto"/>
          <w:lang w:eastAsia="zh-CN"/>
        </w:rPr>
        <w:t>丙</w:t>
      </w:r>
      <w:r>
        <w:rPr>
          <w:rFonts w:hint="eastAsia"/>
          <w:color w:val="auto"/>
        </w:rPr>
        <w:t>级及以上资质</w:t>
      </w:r>
      <w:r>
        <w:rPr>
          <w:rFonts w:hint="eastAsia" w:ascii="宋体" w:hAnsi="宋体"/>
          <w:color w:val="auto"/>
          <w:szCs w:val="21"/>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241" w:firstLineChars="100"/>
        <w:jc w:val="both"/>
        <w:textAlignment w:val="auto"/>
        <w:outlineLvl w:val="9"/>
        <w:rPr>
          <w:rFonts w:hint="eastAsia" w:hAnsi="宋体"/>
          <w:b/>
          <w:bCs/>
          <w:color w:val="auto"/>
          <w:highlight w:val="none"/>
          <w:lang w:eastAsia="zh-CN"/>
        </w:rPr>
      </w:pPr>
      <w:r>
        <w:rPr>
          <w:rFonts w:hint="eastAsia" w:hAnsi="宋体"/>
          <w:b/>
          <w:bCs/>
          <w:color w:val="auto"/>
          <w:highlight w:val="none"/>
          <w:lang w:eastAsia="zh-CN"/>
        </w:rPr>
        <w:t>（三）说明：</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outlineLvl w:val="9"/>
        <w:rPr>
          <w:rFonts w:hint="eastAsia" w:ascii="宋体" w:hAnsi="宋体"/>
          <w:color w:val="auto"/>
          <w:szCs w:val="21"/>
          <w:highlight w:val="none"/>
          <w:lang w:eastAsia="zh-CN"/>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证明材料复印件须加盖供应商公章，原件需单独提交验证。</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outlineLvl w:val="9"/>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、单位负责人为同一人或者存在直接控股、管理关系的不同</w:t>
      </w:r>
      <w:r>
        <w:rPr>
          <w:rFonts w:hint="eastAsia" w:ascii="宋体" w:hAnsi="宋体"/>
          <w:color w:val="auto"/>
          <w:szCs w:val="21"/>
          <w:highlight w:val="none"/>
          <w:lang w:eastAsia="zh-CN"/>
        </w:rPr>
        <w:t>供应商</w:t>
      </w:r>
      <w:r>
        <w:rPr>
          <w:rFonts w:hint="eastAsia" w:ascii="宋体" w:hAnsi="宋体"/>
          <w:color w:val="auto"/>
          <w:szCs w:val="21"/>
          <w:highlight w:val="none"/>
        </w:rPr>
        <w:t>，不得参加同一合同项下的政府采购活动。</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outlineLvl w:val="9"/>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、列入失信被执行人、重大税收违法案件当事人名单，列入政府采购严重违法失信行为记录名单的，拒绝其参与政府采购活动。</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outlineLvl w:val="9"/>
        <w:rPr>
          <w:rFonts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、本次采购不接受联合体形式。</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outlineLvl w:val="9"/>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5、供应商具有实行了“三证合一”登记制度改革的新证，视同为持有工商营业执照、组织机构代码证和税务登记证，符合基本资格条件的相关条款；供应商具有实行了“五证合一”登记制度改革的新证，视同为持有工商营业执照、组织机构代码证、税务登记证、社会保险登记证和统计登记证，符合基本资格条件的相关条款。（供应商实行了“三证合一”或“五证合一”的，请自行在响应文件中注明）。</w:t>
      </w:r>
    </w:p>
    <w:p>
      <w:pPr>
        <w:keepNext w:val="0"/>
        <w:keepLines w:val="0"/>
        <w:pageBreakBefore w:val="0"/>
        <w:kinsoku/>
        <w:wordWrap/>
        <w:overflowPunct/>
        <w:topLinePunct w:val="0"/>
        <w:autoSpaceDN/>
        <w:bidi w:val="0"/>
        <w:adjustRightInd w:val="0"/>
        <w:snapToGrid w:val="0"/>
        <w:spacing w:line="360" w:lineRule="exact"/>
        <w:textAlignment w:val="auto"/>
        <w:outlineLvl w:val="0"/>
        <w:rPr>
          <w:rFonts w:hint="eastAsia" w:ascii="宋体" w:hAnsi="宋体" w:cs="Times New Roman"/>
          <w:b/>
          <w:color w:val="auto"/>
          <w:sz w:val="24"/>
          <w:szCs w:val="24"/>
          <w:highlight w:val="none"/>
        </w:rPr>
      </w:pPr>
      <w:bookmarkStart w:id="23" w:name="_Toc34637817"/>
      <w:bookmarkStart w:id="24" w:name="_Toc22657515"/>
      <w:bookmarkStart w:id="25" w:name="_Toc4203"/>
      <w:bookmarkStart w:id="26" w:name="_Toc19841"/>
      <w:r>
        <w:rPr>
          <w:rFonts w:hint="eastAsia" w:ascii="宋体" w:hAnsi="宋体" w:cs="Times New Roman"/>
          <w:b/>
          <w:color w:val="auto"/>
          <w:sz w:val="24"/>
          <w:szCs w:val="24"/>
          <w:highlight w:val="none"/>
          <w:lang w:eastAsia="zh-CN"/>
        </w:rPr>
        <w:t>四</w:t>
      </w:r>
      <w:r>
        <w:rPr>
          <w:rFonts w:hint="eastAsia" w:ascii="宋体" w:hAnsi="宋体" w:cs="Times New Roman"/>
          <w:b/>
          <w:color w:val="auto"/>
          <w:sz w:val="24"/>
          <w:szCs w:val="24"/>
          <w:highlight w:val="none"/>
        </w:rPr>
        <w:t>、资格审查证明材料的递交</w:t>
      </w:r>
      <w:bookmarkEnd w:id="23"/>
      <w:bookmarkEnd w:id="24"/>
      <w:bookmarkEnd w:id="25"/>
      <w:bookmarkEnd w:id="26"/>
    </w:p>
    <w:p>
      <w:pPr>
        <w:keepNext w:val="0"/>
        <w:keepLines w:val="0"/>
        <w:pageBreakBefore w:val="0"/>
        <w:widowControl w:val="0"/>
        <w:kinsoku/>
        <w:wordWrap/>
        <w:overflowPunct/>
        <w:topLinePunct w:val="0"/>
        <w:autoSpaceDE/>
        <w:autoSpaceDN/>
        <w:bidi w:val="0"/>
        <w:adjustRightInd w:val="0"/>
        <w:snapToGrid w:val="0"/>
        <w:spacing w:before="156" w:beforeLines="50" w:line="360" w:lineRule="exact"/>
        <w:ind w:firstLine="420" w:firstLineChars="175"/>
        <w:textAlignment w:val="auto"/>
        <w:rPr>
          <w:rFonts w:ascii="宋体"/>
          <w:color w:val="auto"/>
          <w:szCs w:val="21"/>
          <w:highlight w:val="none"/>
        </w:rPr>
      </w:pPr>
      <w:r>
        <w:rPr>
          <w:rFonts w:hint="eastAsia" w:ascii="宋体" w:hAnsi="宋体"/>
          <w:color w:val="auto"/>
          <w:szCs w:val="21"/>
          <w:highlight w:val="none"/>
        </w:rPr>
        <w:t>1、按本邀请公告第</w:t>
      </w:r>
      <w:r>
        <w:rPr>
          <w:rFonts w:hint="eastAsia" w:ascii="宋体" w:hAnsi="宋体"/>
          <w:color w:val="auto"/>
          <w:szCs w:val="21"/>
          <w:highlight w:val="none"/>
          <w:lang w:eastAsia="zh-CN"/>
        </w:rPr>
        <w:t>三</w:t>
      </w:r>
      <w:r>
        <w:rPr>
          <w:rFonts w:hint="eastAsia" w:ascii="宋体" w:hAnsi="宋体"/>
          <w:color w:val="auto"/>
          <w:szCs w:val="21"/>
          <w:highlight w:val="none"/>
        </w:rPr>
        <w:t>条规定</w:t>
      </w:r>
      <w:r>
        <w:rPr>
          <w:rFonts w:hint="eastAsia" w:ascii="宋体" w:hAnsi="宋体" w:cs="宋体"/>
          <w:color w:val="auto"/>
          <w:szCs w:val="21"/>
          <w:highlight w:val="none"/>
        </w:rPr>
        <w:t>提</w:t>
      </w:r>
      <w:r>
        <w:rPr>
          <w:rFonts w:hint="eastAsia" w:ascii="宋体" w:hAnsi="宋体"/>
          <w:color w:val="auto"/>
          <w:szCs w:val="21"/>
          <w:highlight w:val="none"/>
        </w:rPr>
        <w:t>交的证明材料及说明应装订成册，一式</w:t>
      </w:r>
      <w:r>
        <w:rPr>
          <w:rFonts w:hint="eastAsia" w:ascii="宋体" w:hAnsi="宋体"/>
          <w:color w:val="auto"/>
          <w:szCs w:val="21"/>
          <w:highlight w:val="none"/>
          <w:lang w:eastAsia="zh-CN"/>
        </w:rPr>
        <w:t>四</w:t>
      </w:r>
      <w:r>
        <w:rPr>
          <w:rFonts w:hint="eastAsia" w:ascii="宋体" w:hAnsi="宋体"/>
          <w:color w:val="auto"/>
          <w:szCs w:val="21"/>
          <w:highlight w:val="none"/>
        </w:rPr>
        <w:t>份。</w:t>
      </w:r>
    </w:p>
    <w:p>
      <w:pPr>
        <w:keepNext w:val="0"/>
        <w:keepLines w:val="0"/>
        <w:pageBreakBefore w:val="0"/>
        <w:kinsoku/>
        <w:wordWrap/>
        <w:overflowPunct/>
        <w:topLinePunct w:val="0"/>
        <w:autoSpaceDN/>
        <w:bidi w:val="0"/>
        <w:adjustRightInd w:val="0"/>
        <w:snapToGrid w:val="0"/>
        <w:spacing w:before="156" w:beforeLines="50" w:line="360" w:lineRule="exact"/>
        <w:ind w:firstLine="420" w:firstLineChars="175"/>
        <w:textAlignment w:val="auto"/>
        <w:rPr>
          <w:rFonts w:ascii="宋体" w:hAnsi="宋体"/>
          <w:color w:val="auto"/>
          <w:szCs w:val="21"/>
          <w:highlight w:val="none"/>
        </w:rPr>
      </w:pPr>
      <w:r>
        <w:rPr>
          <w:rFonts w:hint="eastAsia" w:ascii="宋体" w:hAnsi="宋体"/>
          <w:color w:val="auto"/>
          <w:szCs w:val="21"/>
          <w:highlight w:val="none"/>
        </w:rPr>
        <w:t>2、资格审查证明材料的递交截止时间为</w:t>
      </w:r>
      <w:r>
        <w:rPr>
          <w:rFonts w:hint="eastAsia" w:ascii="宋体" w:hAnsi="宋体"/>
          <w:color w:val="auto"/>
          <w:szCs w:val="21"/>
          <w:highlight w:val="none"/>
          <w:u w:val="single"/>
          <w:lang w:val="en-US" w:eastAsia="zh-CN"/>
        </w:rPr>
        <w:t>2021</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8 </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 xml:space="preserve"> 5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9 </w:t>
      </w:r>
      <w:r>
        <w:rPr>
          <w:rFonts w:hint="eastAsia" w:ascii="宋体" w:hAnsi="宋体"/>
          <w:color w:val="auto"/>
          <w:szCs w:val="21"/>
          <w:highlight w:val="none"/>
        </w:rPr>
        <w:t>时</w:t>
      </w:r>
      <w:r>
        <w:rPr>
          <w:rFonts w:hint="eastAsia" w:ascii="宋体" w:hAnsi="宋体"/>
          <w:color w:val="auto"/>
          <w:szCs w:val="21"/>
          <w:highlight w:val="none"/>
          <w:u w:val="single"/>
          <w:lang w:val="en-US" w:eastAsia="zh-CN"/>
        </w:rPr>
        <w:t xml:space="preserve"> 30</w:t>
      </w:r>
      <w:r>
        <w:rPr>
          <w:rFonts w:ascii="宋体" w:hAnsi="宋体"/>
          <w:color w:val="auto"/>
          <w:szCs w:val="21"/>
          <w:highlight w:val="none"/>
          <w:u w:val="single"/>
        </w:rPr>
        <w:t xml:space="preserve"> </w:t>
      </w:r>
      <w:r>
        <w:rPr>
          <w:rFonts w:hint="eastAsia" w:ascii="宋体" w:hAnsi="宋体"/>
          <w:color w:val="auto"/>
          <w:szCs w:val="21"/>
          <w:highlight w:val="none"/>
        </w:rPr>
        <w:t>分（北京时间），地点为</w:t>
      </w:r>
      <w:r>
        <w:rPr>
          <w:rFonts w:hint="eastAsia" w:ascii="宋体" w:hAnsi="宋体"/>
          <w:color w:val="auto"/>
          <w:szCs w:val="21"/>
          <w:highlight w:val="none"/>
          <w:u w:val="single"/>
          <w:lang w:eastAsia="zh-CN"/>
        </w:rPr>
        <w:t>龙武国际工程咨询有限公司隆回分公司</w:t>
      </w:r>
      <w:r>
        <w:rPr>
          <w:rFonts w:hint="eastAsia" w:ascii="宋体" w:hAnsi="宋体"/>
          <w:color w:val="auto"/>
          <w:szCs w:val="21"/>
          <w:highlight w:val="none"/>
          <w:u w:val="single"/>
        </w:rPr>
        <w:t>(隆回县广电大厦阳光家园对面）</w:t>
      </w:r>
      <w:r>
        <w:rPr>
          <w:rFonts w:hint="eastAsia" w:ascii="宋体" w:hAnsi="宋体"/>
          <w:color w:val="auto"/>
          <w:szCs w:val="21"/>
          <w:highlight w:val="none"/>
        </w:rPr>
        <w:t>。逾期送达的，不予受理。</w:t>
      </w:r>
    </w:p>
    <w:p>
      <w:pPr>
        <w:keepNext w:val="0"/>
        <w:keepLines w:val="0"/>
        <w:pageBreakBefore w:val="0"/>
        <w:kinsoku/>
        <w:wordWrap/>
        <w:overflowPunct/>
        <w:topLinePunct w:val="0"/>
        <w:autoSpaceDN/>
        <w:bidi w:val="0"/>
        <w:adjustRightInd w:val="0"/>
        <w:snapToGrid w:val="0"/>
        <w:spacing w:line="360" w:lineRule="exact"/>
        <w:textAlignment w:val="auto"/>
        <w:outlineLvl w:val="0"/>
        <w:rPr>
          <w:rFonts w:hint="eastAsia" w:ascii="宋体" w:hAnsi="宋体" w:cs="Times New Roman"/>
          <w:b/>
          <w:color w:val="auto"/>
          <w:sz w:val="24"/>
          <w:szCs w:val="24"/>
          <w:highlight w:val="none"/>
        </w:rPr>
      </w:pPr>
      <w:bookmarkStart w:id="27" w:name="_Toc23499"/>
      <w:bookmarkStart w:id="28" w:name="_Toc11728"/>
      <w:bookmarkStart w:id="29" w:name="_Toc34637818"/>
      <w:r>
        <w:rPr>
          <w:rFonts w:hint="eastAsia" w:ascii="宋体" w:hAnsi="宋体" w:cs="Times New Roman"/>
          <w:b/>
          <w:color w:val="auto"/>
          <w:sz w:val="24"/>
          <w:szCs w:val="24"/>
          <w:highlight w:val="none"/>
          <w:lang w:eastAsia="zh-CN"/>
        </w:rPr>
        <w:t>五</w:t>
      </w:r>
      <w:r>
        <w:rPr>
          <w:rFonts w:hint="eastAsia" w:ascii="宋体" w:hAnsi="宋体" w:cs="Times New Roman"/>
          <w:b/>
          <w:color w:val="auto"/>
          <w:sz w:val="24"/>
          <w:szCs w:val="24"/>
          <w:highlight w:val="none"/>
        </w:rPr>
        <w:t>、资格审查方法及标准</w:t>
      </w:r>
      <w:bookmarkEnd w:id="27"/>
      <w:bookmarkEnd w:id="28"/>
      <w:bookmarkEnd w:id="29"/>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color w:val="auto"/>
          <w:highlight w:val="none"/>
        </w:rPr>
      </w:pPr>
      <w:r>
        <w:rPr>
          <w:rFonts w:hint="eastAsia"/>
          <w:color w:val="auto"/>
          <w:highlight w:val="none"/>
        </w:rPr>
        <w:t>1、采购人、采购代理机构按本邀请公告第三、四条规定，采用合格制方法进行资格审查。</w:t>
      </w:r>
    </w:p>
    <w:p>
      <w:pPr>
        <w:keepNext w:val="0"/>
        <w:keepLines w:val="0"/>
        <w:pageBreakBefore w:val="0"/>
        <w:kinsoku/>
        <w:wordWrap/>
        <w:overflowPunct/>
        <w:topLinePunct w:val="0"/>
        <w:autoSpaceDN/>
        <w:bidi w:val="0"/>
        <w:adjustRightInd w:val="0"/>
        <w:snapToGrid w:val="0"/>
        <w:spacing w:line="360" w:lineRule="exact"/>
        <w:ind w:firstLine="480" w:firstLineChars="200"/>
        <w:textAlignment w:val="auto"/>
        <w:rPr>
          <w:color w:val="auto"/>
          <w:highlight w:val="none"/>
        </w:rPr>
      </w:pPr>
      <w:r>
        <w:rPr>
          <w:rFonts w:hint="eastAsia"/>
          <w:color w:val="auto"/>
          <w:highlight w:val="none"/>
        </w:rPr>
        <w:t>2、未通过资格审查的供应商，采购人、采购代理机构应当及时告知其未通过的原因。</w:t>
      </w:r>
    </w:p>
    <w:p>
      <w:pPr>
        <w:keepNext w:val="0"/>
        <w:keepLines w:val="0"/>
        <w:pageBreakBefore w:val="0"/>
        <w:kinsoku/>
        <w:wordWrap/>
        <w:overflowPunct/>
        <w:topLinePunct w:val="0"/>
        <w:autoSpaceDN/>
        <w:bidi w:val="0"/>
        <w:adjustRightInd w:val="0"/>
        <w:snapToGrid w:val="0"/>
        <w:spacing w:line="360" w:lineRule="exact"/>
        <w:textAlignment w:val="auto"/>
        <w:outlineLvl w:val="0"/>
        <w:rPr>
          <w:rFonts w:hint="eastAsia" w:ascii="宋体" w:hAnsi="宋体" w:cs="Times New Roman"/>
          <w:b/>
          <w:color w:val="auto"/>
          <w:sz w:val="24"/>
          <w:szCs w:val="24"/>
          <w:highlight w:val="none"/>
        </w:rPr>
      </w:pPr>
      <w:bookmarkStart w:id="30" w:name="_Toc23705"/>
      <w:bookmarkStart w:id="31" w:name="_Toc12237"/>
      <w:r>
        <w:rPr>
          <w:rFonts w:hint="eastAsia" w:ascii="宋体" w:hAnsi="宋体" w:cs="Times New Roman"/>
          <w:b/>
          <w:color w:val="auto"/>
          <w:sz w:val="24"/>
          <w:szCs w:val="24"/>
          <w:highlight w:val="none"/>
          <w:lang w:eastAsia="zh-CN"/>
        </w:rPr>
        <w:t>六</w:t>
      </w:r>
      <w:r>
        <w:rPr>
          <w:rFonts w:hint="eastAsia" w:ascii="宋体" w:hAnsi="宋体" w:cs="Times New Roman"/>
          <w:b/>
          <w:color w:val="auto"/>
          <w:sz w:val="24"/>
          <w:szCs w:val="24"/>
          <w:highlight w:val="none"/>
        </w:rPr>
        <w:t>、获取磋商文件的时间、地点、方式及磋商文件售价</w:t>
      </w:r>
      <w:bookmarkEnd w:id="30"/>
      <w:bookmarkEnd w:id="31"/>
    </w:p>
    <w:p>
      <w:pPr>
        <w:keepNext w:val="0"/>
        <w:keepLines w:val="0"/>
        <w:pageBreakBefore w:val="0"/>
        <w:kinsoku/>
        <w:wordWrap/>
        <w:overflowPunct/>
        <w:topLinePunct w:val="0"/>
        <w:autoSpaceDN/>
        <w:bidi w:val="0"/>
        <w:adjustRightInd w:val="0"/>
        <w:snapToGrid w:val="0"/>
        <w:spacing w:line="360" w:lineRule="exact"/>
        <w:ind w:firstLine="480" w:firstLineChars="200"/>
        <w:textAlignment w:val="auto"/>
        <w:outlineLvl w:val="0"/>
        <w:rPr>
          <w:rFonts w:hint="eastAsia" w:ascii="宋体" w:hAnsi="宋体"/>
          <w:color w:val="auto"/>
          <w:szCs w:val="21"/>
          <w:highlight w:val="none"/>
        </w:rPr>
      </w:pPr>
      <w:bookmarkStart w:id="32" w:name="_Toc21702"/>
      <w:bookmarkStart w:id="33" w:name="_Toc7446"/>
      <w:r>
        <w:rPr>
          <w:rFonts w:hint="eastAsia" w:ascii="宋体" w:hAnsi="宋体"/>
          <w:color w:val="auto"/>
          <w:szCs w:val="21"/>
          <w:highlight w:val="none"/>
        </w:rPr>
        <w:t>1、凡有意参加磋商采购活动的，请于</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2021</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 xml:space="preserve"> 7 </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 xml:space="preserve"> 22 </w:t>
      </w:r>
      <w:r>
        <w:rPr>
          <w:rFonts w:hint="eastAsia" w:ascii="宋体" w:hAnsi="宋体"/>
          <w:color w:val="auto"/>
          <w:szCs w:val="21"/>
          <w:highlight w:val="none"/>
        </w:rPr>
        <w:t>日起至</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2021 </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 xml:space="preserve"> 7 </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 xml:space="preserve">29 </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日(节假日除外)，每日上午8：30～12:00，下午14:30～17:30(北京时间)，</w:t>
      </w:r>
      <w:r>
        <w:rPr>
          <w:rFonts w:hint="eastAsia" w:ascii="宋体" w:hAnsi="宋体"/>
          <w:color w:val="auto"/>
          <w:szCs w:val="21"/>
          <w:highlight w:val="none"/>
          <w:lang w:val="en-US" w:eastAsia="zh-CN"/>
        </w:rPr>
        <w:t>由法定代表人或授权委托人携带邀请公告第三条“供应商资质要求”规定的资料一套（复印件需加盖单位公章，原件备查）</w:t>
      </w:r>
      <w:r>
        <w:rPr>
          <w:rFonts w:hint="eastAsia" w:ascii="宋体"/>
          <w:color w:val="auto"/>
          <w:szCs w:val="21"/>
          <w:highlight w:val="none"/>
          <w:lang w:val="en-US" w:eastAsia="zh-CN"/>
        </w:rPr>
        <w:t>到</w:t>
      </w:r>
      <w:r>
        <w:rPr>
          <w:rFonts w:hint="eastAsia" w:ascii="宋体" w:hAnsi="宋体"/>
          <w:color w:val="auto"/>
          <w:szCs w:val="21"/>
          <w:highlight w:val="none"/>
        </w:rPr>
        <w:t>到</w:t>
      </w:r>
      <w:r>
        <w:rPr>
          <w:rFonts w:hint="eastAsia" w:ascii="宋体" w:hAnsi="宋体"/>
          <w:color w:val="auto"/>
          <w:szCs w:val="21"/>
          <w:highlight w:val="none"/>
          <w:u w:val="single"/>
          <w:lang w:eastAsia="zh-CN"/>
        </w:rPr>
        <w:t>龙武国际工程咨询有限公司隆回分公司</w:t>
      </w:r>
      <w:r>
        <w:rPr>
          <w:rFonts w:hint="eastAsia" w:ascii="宋体" w:hAnsi="宋体"/>
          <w:color w:val="auto"/>
          <w:szCs w:val="21"/>
          <w:highlight w:val="none"/>
          <w:u w:val="single"/>
        </w:rPr>
        <w:t>(隆回县广电大厦阳光家园对面）</w:t>
      </w:r>
      <w:r>
        <w:rPr>
          <w:rFonts w:hint="eastAsia" w:ascii="宋体" w:hAnsi="宋体"/>
          <w:color w:val="auto"/>
          <w:szCs w:val="21"/>
          <w:highlight w:val="none"/>
        </w:rPr>
        <w:t>购买磋商文件。</w:t>
      </w:r>
      <w:bookmarkEnd w:id="32"/>
      <w:bookmarkEnd w:id="33"/>
      <w:r>
        <w:rPr>
          <w:rFonts w:hint="eastAsia" w:ascii="宋体" w:hAnsi="宋体"/>
          <w:color w:val="auto"/>
          <w:szCs w:val="21"/>
          <w:highlight w:val="none"/>
        </w:rPr>
        <w:t xml:space="preserve"> </w:t>
      </w:r>
    </w:p>
    <w:p>
      <w:pPr>
        <w:keepNext w:val="0"/>
        <w:keepLines w:val="0"/>
        <w:pageBreakBefore w:val="0"/>
        <w:kinsoku/>
        <w:wordWrap/>
        <w:overflowPunct/>
        <w:topLinePunct w:val="0"/>
        <w:autoSpaceDN/>
        <w:bidi w:val="0"/>
        <w:adjustRightInd w:val="0"/>
        <w:snapToGrid w:val="0"/>
        <w:spacing w:line="360" w:lineRule="exact"/>
        <w:ind w:firstLine="480" w:firstLineChars="200"/>
        <w:textAlignment w:val="auto"/>
        <w:outlineLvl w:val="0"/>
        <w:rPr>
          <w:rFonts w:hint="eastAsia" w:ascii="宋体" w:hAnsi="宋体"/>
          <w:color w:val="auto"/>
          <w:szCs w:val="21"/>
          <w:highlight w:val="none"/>
        </w:rPr>
      </w:pPr>
      <w:bookmarkStart w:id="34" w:name="_Toc10113"/>
      <w:bookmarkStart w:id="35" w:name="_Toc21075"/>
      <w:r>
        <w:rPr>
          <w:rFonts w:hint="eastAsia" w:ascii="宋体" w:hAnsi="宋体"/>
          <w:color w:val="auto"/>
          <w:szCs w:val="21"/>
          <w:highlight w:val="none"/>
        </w:rPr>
        <w:t>2、磋商文件每份人民币</w:t>
      </w:r>
      <w:r>
        <w:rPr>
          <w:rFonts w:hint="eastAsia" w:ascii="宋体" w:hAnsi="宋体"/>
          <w:color w:val="auto"/>
          <w:szCs w:val="21"/>
          <w:highlight w:val="none"/>
          <w:u w:val="single"/>
          <w:lang w:val="en-US" w:eastAsia="zh-CN"/>
        </w:rPr>
        <w:t>400</w:t>
      </w:r>
      <w:r>
        <w:rPr>
          <w:rFonts w:hint="eastAsia" w:ascii="宋体" w:hAnsi="宋体"/>
          <w:color w:val="auto"/>
          <w:szCs w:val="21"/>
          <w:highlight w:val="none"/>
        </w:rPr>
        <w:t>元，售后不退。</w:t>
      </w:r>
      <w:bookmarkEnd w:id="34"/>
      <w:bookmarkEnd w:id="35"/>
    </w:p>
    <w:p>
      <w:pPr>
        <w:keepNext w:val="0"/>
        <w:keepLines w:val="0"/>
        <w:pageBreakBefore w:val="0"/>
        <w:kinsoku/>
        <w:wordWrap/>
        <w:overflowPunct/>
        <w:topLinePunct w:val="0"/>
        <w:autoSpaceDN/>
        <w:bidi w:val="0"/>
        <w:adjustRightInd w:val="0"/>
        <w:snapToGrid w:val="0"/>
        <w:spacing w:line="360" w:lineRule="exact"/>
        <w:textAlignment w:val="auto"/>
        <w:outlineLvl w:val="0"/>
        <w:rPr>
          <w:rFonts w:hint="eastAsia" w:ascii="宋体" w:hAnsi="宋体" w:cs="Times New Roman"/>
          <w:b/>
          <w:color w:val="auto"/>
          <w:sz w:val="24"/>
          <w:szCs w:val="24"/>
          <w:highlight w:val="none"/>
        </w:rPr>
      </w:pPr>
      <w:bookmarkStart w:id="36" w:name="_Toc3166"/>
      <w:bookmarkStart w:id="37" w:name="_Toc9949"/>
      <w:r>
        <w:rPr>
          <w:rFonts w:hint="eastAsia" w:ascii="宋体" w:hAnsi="宋体" w:cs="Times New Roman"/>
          <w:b/>
          <w:color w:val="auto"/>
          <w:sz w:val="24"/>
          <w:szCs w:val="24"/>
          <w:highlight w:val="none"/>
          <w:lang w:eastAsia="zh-CN"/>
        </w:rPr>
        <w:t>七</w:t>
      </w:r>
      <w:r>
        <w:rPr>
          <w:rFonts w:hint="eastAsia" w:ascii="宋体" w:hAnsi="宋体" w:cs="Times New Roman"/>
          <w:b/>
          <w:color w:val="auto"/>
          <w:sz w:val="24"/>
          <w:szCs w:val="24"/>
          <w:highlight w:val="none"/>
        </w:rPr>
        <w:t>、响应文件提交的截止时间、开启时间及地点</w:t>
      </w:r>
      <w:bookmarkEnd w:id="36"/>
      <w:bookmarkEnd w:id="37"/>
    </w:p>
    <w:p>
      <w:pPr>
        <w:keepNext w:val="0"/>
        <w:keepLines w:val="0"/>
        <w:pageBreakBefore w:val="0"/>
        <w:kinsoku/>
        <w:wordWrap/>
        <w:overflowPunct/>
        <w:topLinePunct w:val="0"/>
        <w:autoSpaceDN/>
        <w:bidi w:val="0"/>
        <w:adjustRightInd w:val="0"/>
        <w:snapToGrid w:val="0"/>
        <w:spacing w:line="360" w:lineRule="exact"/>
        <w:ind w:firstLine="480" w:firstLineChars="200"/>
        <w:textAlignment w:val="auto"/>
        <w:rPr>
          <w:rFonts w:hint="eastAsia" w:ascii="宋体" w:hAnsi="宋体"/>
          <w:color w:val="auto"/>
          <w:szCs w:val="21"/>
          <w:highlight w:val="none"/>
        </w:rPr>
      </w:pPr>
      <w:r>
        <w:rPr>
          <w:rFonts w:hint="eastAsia" w:ascii="宋体" w:hAnsi="宋体"/>
          <w:color w:val="auto"/>
          <w:szCs w:val="21"/>
          <w:highlight w:val="none"/>
        </w:rPr>
        <w:t>1、提</w:t>
      </w:r>
      <w:r>
        <w:rPr>
          <w:rFonts w:ascii="宋体" w:hAnsi="宋体"/>
          <w:color w:val="auto"/>
          <w:szCs w:val="21"/>
          <w:highlight w:val="none"/>
        </w:rPr>
        <w:t>交</w:t>
      </w:r>
      <w:r>
        <w:rPr>
          <w:rFonts w:hint="eastAsia" w:ascii="宋体" w:hAnsi="宋体"/>
          <w:color w:val="auto"/>
          <w:szCs w:val="21"/>
          <w:highlight w:val="none"/>
        </w:rPr>
        <w:t>首次响应</w:t>
      </w:r>
      <w:r>
        <w:rPr>
          <w:rFonts w:ascii="宋体" w:hAnsi="宋体"/>
          <w:color w:val="auto"/>
          <w:szCs w:val="21"/>
          <w:highlight w:val="none"/>
        </w:rPr>
        <w:t>文件的截止时间为</w:t>
      </w:r>
      <w:r>
        <w:rPr>
          <w:rFonts w:hint="eastAsia" w:ascii="宋体" w:hAnsi="宋体"/>
          <w:color w:val="auto"/>
          <w:szCs w:val="21"/>
          <w:highlight w:val="none"/>
          <w:u w:val="single"/>
          <w:lang w:val="en-US" w:eastAsia="zh-CN"/>
        </w:rPr>
        <w:t xml:space="preserve"> 2021 </w:t>
      </w:r>
      <w:r>
        <w:rPr>
          <w:rFonts w:ascii="宋体" w:hAnsi="宋体"/>
          <w:color w:val="auto"/>
          <w:szCs w:val="21"/>
          <w:highlight w:val="none"/>
        </w:rPr>
        <w:t>年</w:t>
      </w:r>
      <w:r>
        <w:rPr>
          <w:rFonts w:hint="eastAsia" w:ascii="宋体" w:hAnsi="宋体"/>
          <w:color w:val="auto"/>
          <w:szCs w:val="21"/>
          <w:highlight w:val="none"/>
          <w:u w:val="single"/>
          <w:lang w:val="en-US" w:eastAsia="zh-CN"/>
        </w:rPr>
        <w:t xml:space="preserve"> 8 </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 xml:space="preserve"> 5</w:t>
      </w:r>
      <w:r>
        <w:rPr>
          <w:rFonts w:hint="eastAsia" w:ascii="宋体" w:hAnsi="宋体"/>
          <w:color w:val="auto"/>
          <w:szCs w:val="21"/>
          <w:highlight w:val="none"/>
        </w:rPr>
        <w:t>日</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9 </w:t>
      </w:r>
      <w:r>
        <w:rPr>
          <w:rFonts w:hint="eastAsia" w:ascii="宋体" w:hAnsi="宋体"/>
          <w:color w:val="auto"/>
          <w:szCs w:val="21"/>
          <w:highlight w:val="none"/>
          <w:u w:val="single"/>
        </w:rPr>
        <w:t xml:space="preserve"> </w:t>
      </w:r>
      <w:r>
        <w:rPr>
          <w:rFonts w:ascii="宋体" w:hAnsi="宋体"/>
          <w:color w:val="auto"/>
          <w:szCs w:val="21"/>
          <w:highlight w:val="none"/>
        </w:rPr>
        <w:t>时</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30</w:t>
      </w:r>
      <w:r>
        <w:rPr>
          <w:rFonts w:hint="eastAsia" w:ascii="宋体" w:hAnsi="宋体"/>
          <w:color w:val="auto"/>
          <w:szCs w:val="21"/>
          <w:highlight w:val="none"/>
          <w:u w:val="single"/>
        </w:rPr>
        <w:t xml:space="preserve"> </w:t>
      </w:r>
      <w:r>
        <w:rPr>
          <w:rFonts w:ascii="宋体" w:hAnsi="宋体"/>
          <w:color w:val="auto"/>
          <w:szCs w:val="21"/>
          <w:highlight w:val="none"/>
        </w:rPr>
        <w:t>分</w:t>
      </w:r>
      <w:r>
        <w:rPr>
          <w:rFonts w:hint="eastAsia" w:ascii="宋体" w:hAnsi="宋体"/>
          <w:color w:val="auto"/>
          <w:szCs w:val="21"/>
          <w:highlight w:val="none"/>
        </w:rPr>
        <w:t>（北京时间）</w:t>
      </w:r>
      <w:r>
        <w:rPr>
          <w:rFonts w:ascii="宋体" w:hAnsi="宋体"/>
          <w:color w:val="auto"/>
          <w:szCs w:val="21"/>
          <w:highlight w:val="none"/>
        </w:rPr>
        <w:t>，地点为</w:t>
      </w:r>
      <w:r>
        <w:rPr>
          <w:rFonts w:hint="eastAsia" w:ascii="宋体" w:hAnsi="宋体"/>
          <w:color w:val="auto"/>
          <w:szCs w:val="21"/>
          <w:highlight w:val="none"/>
          <w:u w:val="single"/>
          <w:lang w:eastAsia="zh-CN"/>
        </w:rPr>
        <w:t>龙武国际工程咨询有限公司隆回分公司</w:t>
      </w:r>
      <w:r>
        <w:rPr>
          <w:rFonts w:hint="eastAsia" w:ascii="宋体" w:hAnsi="宋体"/>
          <w:color w:val="auto"/>
          <w:szCs w:val="21"/>
          <w:highlight w:val="none"/>
          <w:u w:val="single"/>
        </w:rPr>
        <w:t>(隆回县广电大厦阳光家园对面）</w:t>
      </w:r>
      <w:r>
        <w:rPr>
          <w:rFonts w:hint="eastAsia" w:ascii="宋体" w:hAnsi="宋体"/>
          <w:color w:val="auto"/>
          <w:szCs w:val="21"/>
          <w:highlight w:val="none"/>
        </w:rPr>
        <w:t>。在截止时间后送达的响应文件为无效文件，采购人、采购代理机构或者磋商小组应当拒收。</w:t>
      </w:r>
    </w:p>
    <w:p>
      <w:pPr>
        <w:keepNext w:val="0"/>
        <w:keepLines w:val="0"/>
        <w:pageBreakBefore w:val="0"/>
        <w:tabs>
          <w:tab w:val="left" w:pos="360"/>
        </w:tabs>
        <w:kinsoku/>
        <w:wordWrap/>
        <w:overflowPunct/>
        <w:topLinePunct w:val="0"/>
        <w:autoSpaceDN/>
        <w:bidi w:val="0"/>
        <w:adjustRightInd w:val="0"/>
        <w:snapToGrid w:val="0"/>
        <w:spacing w:line="360" w:lineRule="exact"/>
        <w:ind w:firstLine="480" w:firstLineChars="200"/>
        <w:textAlignment w:val="auto"/>
        <w:rPr>
          <w:rFonts w:hint="eastAsia" w:ascii="宋体" w:hAnsi="宋体"/>
          <w:color w:val="auto"/>
          <w:szCs w:val="21"/>
          <w:highlight w:val="none"/>
        </w:rPr>
      </w:pPr>
      <w:r>
        <w:rPr>
          <w:rFonts w:hint="eastAsia" w:ascii="宋体" w:hAnsi="宋体"/>
          <w:color w:val="auto"/>
          <w:szCs w:val="21"/>
          <w:highlight w:val="none"/>
        </w:rPr>
        <w:t>2、首次响应文件的开启时间及地点与提交首次响应文件的截止时间及地点为同一时间及地点。</w:t>
      </w:r>
    </w:p>
    <w:p>
      <w:pPr>
        <w:keepNext w:val="0"/>
        <w:keepLines w:val="0"/>
        <w:pageBreakBefore w:val="0"/>
        <w:kinsoku/>
        <w:wordWrap/>
        <w:overflowPunct/>
        <w:topLinePunct w:val="0"/>
        <w:autoSpaceDN/>
        <w:bidi w:val="0"/>
        <w:adjustRightInd w:val="0"/>
        <w:snapToGrid w:val="0"/>
        <w:spacing w:line="360" w:lineRule="exact"/>
        <w:textAlignment w:val="auto"/>
        <w:outlineLvl w:val="0"/>
        <w:rPr>
          <w:rFonts w:hint="eastAsia" w:ascii="宋体" w:hAnsi="宋体" w:cs="Times New Roman"/>
          <w:b/>
          <w:color w:val="auto"/>
          <w:sz w:val="24"/>
          <w:szCs w:val="24"/>
          <w:highlight w:val="none"/>
          <w:lang w:eastAsia="zh-CN"/>
        </w:rPr>
      </w:pPr>
      <w:bookmarkStart w:id="38" w:name="_Toc19620"/>
      <w:bookmarkStart w:id="39" w:name="_Toc22357"/>
      <w:r>
        <w:rPr>
          <w:rFonts w:hint="eastAsia" w:ascii="宋体" w:hAnsi="宋体" w:cs="Times New Roman"/>
          <w:b/>
          <w:color w:val="auto"/>
          <w:sz w:val="24"/>
          <w:szCs w:val="24"/>
          <w:highlight w:val="none"/>
          <w:lang w:eastAsia="zh-CN"/>
        </w:rPr>
        <w:t>八、公告期限</w:t>
      </w:r>
      <w:bookmarkEnd w:id="38"/>
      <w:bookmarkEnd w:id="39"/>
    </w:p>
    <w:p>
      <w:pPr>
        <w:keepNext w:val="0"/>
        <w:keepLines w:val="0"/>
        <w:pageBreakBefore w:val="0"/>
        <w:widowControl w:val="0"/>
        <w:kinsoku/>
        <w:wordWrap/>
        <w:overflowPunct/>
        <w:topLinePunct w:val="0"/>
        <w:autoSpaceDE/>
        <w:autoSpaceDN/>
        <w:bidi w:val="0"/>
        <w:adjustRightInd w:val="0"/>
        <w:snapToGrid w:val="0"/>
        <w:spacing w:before="50" w:line="360" w:lineRule="exact"/>
        <w:ind w:firstLine="480" w:firstLineChars="200"/>
        <w:textAlignment w:val="auto"/>
        <w:rPr>
          <w:rFonts w:ascii="宋体" w:hAnsi="宋体"/>
          <w:color w:val="auto"/>
          <w:szCs w:val="21"/>
          <w:highlight w:val="none"/>
        </w:rPr>
      </w:pPr>
      <w:r>
        <w:rPr>
          <w:rFonts w:hint="eastAsia" w:ascii="宋体" w:hAnsi="宋体"/>
          <w:color w:val="auto"/>
          <w:szCs w:val="21"/>
          <w:highlight w:val="none"/>
        </w:rPr>
        <w:t>1、本邀请公告在中国湖南政府采购网（www.ccgp-hunan.gov.cn）发布。公告期限从本邀请公告发布之日起5个工作日。</w:t>
      </w:r>
    </w:p>
    <w:p>
      <w:pPr>
        <w:keepNext w:val="0"/>
        <w:keepLines w:val="0"/>
        <w:pageBreakBefore w:val="0"/>
        <w:widowControl w:val="0"/>
        <w:kinsoku/>
        <w:wordWrap/>
        <w:overflowPunct/>
        <w:topLinePunct w:val="0"/>
        <w:autoSpaceDE/>
        <w:autoSpaceDN/>
        <w:bidi w:val="0"/>
        <w:adjustRightInd w:val="0"/>
        <w:snapToGrid w:val="0"/>
        <w:spacing w:before="50" w:line="360" w:lineRule="exact"/>
        <w:ind w:firstLine="480" w:firstLineChars="200"/>
        <w:textAlignment w:val="auto"/>
        <w:rPr>
          <w:rFonts w:ascii="宋体" w:hAnsi="宋体"/>
          <w:color w:val="auto"/>
          <w:szCs w:val="21"/>
          <w:highlight w:val="none"/>
        </w:rPr>
      </w:pPr>
      <w:r>
        <w:rPr>
          <w:rFonts w:hint="eastAsia" w:ascii="宋体" w:hAnsi="宋体"/>
          <w:color w:val="auto"/>
          <w:szCs w:val="21"/>
          <w:highlight w:val="none"/>
        </w:rPr>
        <w:t>2、在其他媒体发布的邀请公告，公告内容以本邀请公告指定媒体发布的公告为准；公告期限自本邀请公告指定媒体最先发布公告之日起算。</w:t>
      </w:r>
    </w:p>
    <w:p>
      <w:pPr>
        <w:keepNext w:val="0"/>
        <w:keepLines w:val="0"/>
        <w:pageBreakBefore w:val="0"/>
        <w:kinsoku/>
        <w:wordWrap/>
        <w:overflowPunct/>
        <w:topLinePunct w:val="0"/>
        <w:autoSpaceDN/>
        <w:bidi w:val="0"/>
        <w:adjustRightInd w:val="0"/>
        <w:snapToGrid w:val="0"/>
        <w:spacing w:line="360" w:lineRule="exact"/>
        <w:textAlignment w:val="auto"/>
        <w:outlineLvl w:val="0"/>
        <w:rPr>
          <w:rFonts w:hint="eastAsia" w:ascii="宋体" w:hAnsi="宋体" w:cs="Times New Roman"/>
          <w:b/>
          <w:color w:val="auto"/>
          <w:sz w:val="24"/>
          <w:szCs w:val="24"/>
          <w:highlight w:val="none"/>
          <w:lang w:eastAsia="zh-CN"/>
        </w:rPr>
      </w:pPr>
      <w:bookmarkStart w:id="40" w:name="_Toc22657518"/>
      <w:bookmarkStart w:id="41" w:name="_Toc6041"/>
      <w:bookmarkStart w:id="42" w:name="_Toc34637821"/>
      <w:bookmarkStart w:id="43" w:name="_Toc12459"/>
      <w:r>
        <w:rPr>
          <w:rFonts w:hint="eastAsia" w:ascii="宋体" w:hAnsi="宋体" w:cs="Times New Roman"/>
          <w:b/>
          <w:color w:val="auto"/>
          <w:sz w:val="24"/>
          <w:szCs w:val="24"/>
          <w:highlight w:val="none"/>
          <w:lang w:eastAsia="zh-CN"/>
        </w:rPr>
        <w:t>九、疑问及质疑</w:t>
      </w:r>
      <w:bookmarkEnd w:id="40"/>
      <w:bookmarkEnd w:id="41"/>
      <w:bookmarkEnd w:id="42"/>
      <w:bookmarkEnd w:id="43"/>
    </w:p>
    <w:p>
      <w:pPr>
        <w:keepNext w:val="0"/>
        <w:keepLines w:val="0"/>
        <w:pageBreakBefore w:val="0"/>
        <w:kinsoku/>
        <w:wordWrap/>
        <w:overflowPunct/>
        <w:topLinePunct w:val="0"/>
        <w:autoSpaceDN/>
        <w:bidi w:val="0"/>
        <w:adjustRightInd w:val="0"/>
        <w:snapToGrid w:val="0"/>
        <w:spacing w:before="50" w:line="360" w:lineRule="exact"/>
        <w:ind w:firstLine="480" w:firstLineChars="200"/>
        <w:textAlignment w:val="auto"/>
        <w:rPr>
          <w:rFonts w:ascii="宋体" w:hAnsi="宋体"/>
          <w:color w:val="auto"/>
          <w:szCs w:val="21"/>
          <w:highlight w:val="none"/>
        </w:rPr>
      </w:pPr>
      <w:r>
        <w:rPr>
          <w:rFonts w:hint="eastAsia" w:ascii="宋体" w:hAnsi="宋体"/>
          <w:color w:val="auto"/>
          <w:szCs w:val="21"/>
          <w:highlight w:val="none"/>
        </w:rPr>
        <w:t>1、供应商对政府采购活动事项如有疑问的，可以向采购人、采购代理机构提出询问。采购人、采购代理机构将在3个工作日内作出答复。</w:t>
      </w:r>
    </w:p>
    <w:p>
      <w:pPr>
        <w:keepNext w:val="0"/>
        <w:keepLines w:val="0"/>
        <w:pageBreakBefore w:val="0"/>
        <w:kinsoku/>
        <w:wordWrap/>
        <w:overflowPunct/>
        <w:topLinePunct w:val="0"/>
        <w:autoSpaceDN/>
        <w:bidi w:val="0"/>
        <w:adjustRightInd w:val="0"/>
        <w:snapToGrid w:val="0"/>
        <w:spacing w:before="50" w:line="360" w:lineRule="exact"/>
        <w:ind w:firstLine="480" w:firstLineChars="200"/>
        <w:textAlignment w:val="auto"/>
        <w:rPr>
          <w:rFonts w:ascii="宋体" w:hAnsi="宋体"/>
          <w:color w:val="auto"/>
          <w:szCs w:val="21"/>
          <w:highlight w:val="none"/>
        </w:rPr>
      </w:pPr>
      <w:r>
        <w:rPr>
          <w:rFonts w:hint="eastAsia" w:ascii="宋体" w:hAnsi="宋体"/>
          <w:color w:val="auto"/>
          <w:szCs w:val="21"/>
          <w:highlight w:val="none"/>
        </w:rPr>
        <w:t>2、供应商认为本邀请公告使自己的合法权益受到损害的，可以在邀请公告期限届满之日起7个工作日内，按《湖南省财政厅关于印发＜政府采购质疑答复和投诉处理操作规程＞的通知》(湘财购〔2019〕20号)规定，以书面形式向采购人、采购代理机构提出质疑。</w:t>
      </w:r>
    </w:p>
    <w:p>
      <w:pPr>
        <w:keepNext w:val="0"/>
        <w:keepLines w:val="0"/>
        <w:pageBreakBefore w:val="0"/>
        <w:kinsoku/>
        <w:wordWrap/>
        <w:overflowPunct/>
        <w:topLinePunct w:val="0"/>
        <w:autoSpaceDN/>
        <w:bidi w:val="0"/>
        <w:adjustRightInd w:val="0"/>
        <w:snapToGrid w:val="0"/>
        <w:spacing w:line="360" w:lineRule="exact"/>
        <w:textAlignment w:val="auto"/>
        <w:outlineLvl w:val="0"/>
        <w:rPr>
          <w:rFonts w:hint="eastAsia" w:ascii="宋体" w:hAnsi="宋体" w:cs="Times New Roman"/>
          <w:b/>
          <w:color w:val="auto"/>
          <w:sz w:val="24"/>
          <w:szCs w:val="24"/>
          <w:highlight w:val="none"/>
          <w:lang w:eastAsia="zh-CN"/>
        </w:rPr>
      </w:pPr>
      <w:bookmarkStart w:id="44" w:name="_Toc431"/>
      <w:bookmarkStart w:id="45" w:name="_Toc22657519"/>
      <w:bookmarkStart w:id="46" w:name="_Toc3593"/>
      <w:bookmarkStart w:id="47" w:name="_Toc34637822"/>
      <w:r>
        <w:rPr>
          <w:rFonts w:hint="eastAsia" w:ascii="宋体" w:hAnsi="宋体" w:cs="Times New Roman"/>
          <w:b/>
          <w:color w:val="auto"/>
          <w:sz w:val="24"/>
          <w:szCs w:val="24"/>
          <w:highlight w:val="none"/>
          <w:lang w:eastAsia="zh-CN"/>
        </w:rPr>
        <w:t>十、联系方式</w:t>
      </w:r>
      <w:bookmarkEnd w:id="44"/>
      <w:bookmarkEnd w:id="45"/>
      <w:bookmarkEnd w:id="46"/>
      <w:bookmarkEnd w:id="47"/>
    </w:p>
    <w:p>
      <w:pPr>
        <w:keepNext w:val="0"/>
        <w:keepLines w:val="0"/>
        <w:pageBreakBefore w:val="0"/>
        <w:kinsoku/>
        <w:wordWrap/>
        <w:overflowPunct/>
        <w:topLinePunct w:val="0"/>
        <w:autoSpaceDE w:val="0"/>
        <w:autoSpaceDN/>
        <w:bidi w:val="0"/>
        <w:adjustRightInd w:val="0"/>
        <w:snapToGrid w:val="0"/>
        <w:spacing w:line="360" w:lineRule="exact"/>
        <w:textAlignment w:val="auto"/>
        <w:rPr>
          <w:rFonts w:hint="eastAsia" w:ascii="宋体" w:hAnsi="宋体"/>
          <w:color w:val="auto"/>
          <w:highlight w:val="none"/>
          <w:u w:val="single"/>
        </w:rPr>
      </w:pPr>
      <w:r>
        <w:rPr>
          <w:rFonts w:hint="eastAsia" w:ascii="宋体" w:hAnsi="宋体"/>
          <w:color w:val="auto"/>
          <w:highlight w:val="none"/>
        </w:rPr>
        <w:t>采 购 人：</w:t>
      </w:r>
      <w:r>
        <w:rPr>
          <w:rFonts w:hint="eastAsia" w:ascii="宋体" w:hAnsi="宋体"/>
          <w:color w:val="auto"/>
          <w:highlight w:val="none"/>
          <w:u w:val="single"/>
          <w:lang w:eastAsia="zh-CN"/>
        </w:rPr>
        <w:t>隆回县自然资源局</w:t>
      </w:r>
      <w:r>
        <w:rPr>
          <w:rFonts w:hint="eastAsia" w:ascii="宋体" w:hAnsi="宋体"/>
          <w:color w:val="auto"/>
          <w:highlight w:val="none"/>
        </w:rPr>
        <w:t xml:space="preserve">  </w:t>
      </w:r>
      <w:r>
        <w:rPr>
          <w:rFonts w:hint="eastAsia" w:ascii="宋体" w:hAnsi="宋体"/>
          <w:color w:val="auto"/>
          <w:highlight w:val="none"/>
          <w:lang w:val="en-US" w:eastAsia="zh-CN"/>
        </w:rPr>
        <w:t xml:space="preserve">              </w:t>
      </w:r>
      <w:r>
        <w:rPr>
          <w:rFonts w:hint="eastAsia"/>
          <w:color w:val="auto"/>
          <w:highlight w:val="none"/>
        </w:rPr>
        <w:t>代理机构：</w:t>
      </w:r>
      <w:r>
        <w:rPr>
          <w:rFonts w:hint="eastAsia"/>
          <w:color w:val="auto"/>
          <w:highlight w:val="none"/>
          <w:u w:val="single"/>
          <w:lang w:eastAsia="zh-CN"/>
        </w:rPr>
        <w:t>龙武国际工程咨询有限公司</w:t>
      </w:r>
    </w:p>
    <w:p>
      <w:pPr>
        <w:keepNext w:val="0"/>
        <w:keepLines w:val="0"/>
        <w:pageBreakBefore w:val="0"/>
        <w:widowControl w:val="0"/>
        <w:kinsoku/>
        <w:wordWrap/>
        <w:overflowPunct/>
        <w:topLinePunct w:val="0"/>
        <w:autoSpaceDE/>
        <w:autoSpaceDN/>
        <w:bidi w:val="0"/>
        <w:adjustRightInd/>
        <w:snapToGrid/>
        <w:spacing w:line="360" w:lineRule="exact"/>
        <w:ind w:left="4830" w:hanging="5520" w:hangingChars="2300"/>
        <w:textAlignment w:val="auto"/>
        <w:rPr>
          <w:rFonts w:hint="eastAsia" w:ascii="宋体" w:hAnsi="宋体" w:cs="宋体"/>
          <w:color w:val="auto"/>
          <w:szCs w:val="21"/>
          <w:highlight w:val="none"/>
          <w:u w:val="single"/>
        </w:rPr>
      </w:pPr>
      <w:r>
        <w:rPr>
          <w:rFonts w:hint="eastAsia" w:ascii="宋体" w:hAnsi="宋体"/>
          <w:color w:val="auto"/>
          <w:highlight w:val="none"/>
        </w:rPr>
        <w:t>地    址：</w:t>
      </w:r>
      <w:r>
        <w:rPr>
          <w:rFonts w:hint="eastAsia" w:ascii="宋体" w:hAnsi="宋体"/>
          <w:color w:val="auto"/>
          <w:highlight w:val="none"/>
          <w:u w:val="single"/>
          <w:lang w:eastAsia="zh-CN"/>
        </w:rPr>
        <w:t>隆回县花门街道办桃洪西路141号</w:t>
      </w:r>
      <w:r>
        <w:rPr>
          <w:rFonts w:hint="eastAsia"/>
          <w:color w:val="auto"/>
          <w:highlight w:val="none"/>
          <w:lang w:val="en-US" w:eastAsia="zh-CN"/>
        </w:rPr>
        <w:t xml:space="preserve">  </w:t>
      </w:r>
      <w:r>
        <w:rPr>
          <w:rFonts w:hint="eastAsia"/>
          <w:color w:val="auto"/>
          <w:highlight w:val="none"/>
        </w:rPr>
        <w:t>地</w:t>
      </w:r>
      <w:r>
        <w:rPr>
          <w:rFonts w:hint="eastAsia"/>
          <w:color w:val="auto"/>
          <w:highlight w:val="none"/>
          <w:lang w:val="en-US" w:eastAsia="zh-CN"/>
        </w:rPr>
        <w:t xml:space="preserve">  </w:t>
      </w:r>
      <w:r>
        <w:rPr>
          <w:rFonts w:hint="eastAsia"/>
          <w:color w:val="auto"/>
          <w:highlight w:val="none"/>
        </w:rPr>
        <w:t>址：</w:t>
      </w:r>
      <w:r>
        <w:rPr>
          <w:rFonts w:hint="eastAsia" w:ascii="宋体" w:hAnsi="宋体" w:cs="宋体"/>
          <w:color w:val="auto"/>
          <w:szCs w:val="21"/>
          <w:highlight w:val="none"/>
          <w:u w:val="single"/>
        </w:rPr>
        <w:t>隆回县广电大厦阳光家园对面</w:t>
      </w:r>
    </w:p>
    <w:p>
      <w:pPr>
        <w:keepNext w:val="0"/>
        <w:keepLines w:val="0"/>
        <w:pageBreakBefore w:val="0"/>
        <w:kinsoku/>
        <w:wordWrap/>
        <w:overflowPunct/>
        <w:topLinePunct w:val="0"/>
        <w:autoSpaceDE w:val="0"/>
        <w:autoSpaceDN/>
        <w:bidi w:val="0"/>
        <w:adjustRightInd w:val="0"/>
        <w:snapToGrid w:val="0"/>
        <w:spacing w:line="360" w:lineRule="exact"/>
        <w:textAlignment w:val="auto"/>
        <w:rPr>
          <w:rFonts w:hint="eastAsia" w:ascii="宋体" w:hAnsi="宋体"/>
          <w:color w:val="auto"/>
          <w:highlight w:val="none"/>
        </w:rPr>
      </w:pPr>
      <w:r>
        <w:rPr>
          <w:rFonts w:hint="eastAsia" w:ascii="宋体" w:hAnsi="宋体"/>
          <w:color w:val="auto"/>
          <w:highlight w:val="none"/>
        </w:rPr>
        <w:t>联 系 人：</w:t>
      </w:r>
      <w:r>
        <w:rPr>
          <w:rFonts w:hint="eastAsia" w:ascii="宋体" w:hAnsi="宋体"/>
          <w:color w:val="auto"/>
          <w:highlight w:val="none"/>
          <w:lang w:val="en-US" w:eastAsia="zh-CN"/>
        </w:rPr>
        <w:t xml:space="preserve">康女士      </w:t>
      </w:r>
      <w:r>
        <w:rPr>
          <w:rFonts w:hint="eastAsia" w:ascii="宋体" w:hAnsi="宋体"/>
          <w:color w:val="auto"/>
          <w:highlight w:val="none"/>
        </w:rPr>
        <w:t xml:space="preserve">              </w:t>
      </w:r>
      <w:r>
        <w:rPr>
          <w:rFonts w:hint="eastAsia" w:ascii="宋体" w:hAnsi="宋体"/>
          <w:color w:val="auto"/>
          <w:highlight w:val="none"/>
          <w:lang w:val="en-US" w:eastAsia="zh-CN"/>
        </w:rPr>
        <w:t xml:space="preserve">      </w:t>
      </w:r>
      <w:r>
        <w:rPr>
          <w:rFonts w:hint="eastAsia" w:ascii="宋体" w:hAnsi="宋体"/>
          <w:color w:val="auto"/>
          <w:highlight w:val="none"/>
        </w:rPr>
        <w:t>联</w:t>
      </w:r>
      <w:r>
        <w:rPr>
          <w:rFonts w:hint="eastAsia" w:ascii="宋体" w:hAnsi="宋体"/>
          <w:color w:val="auto"/>
          <w:highlight w:val="none"/>
          <w:lang w:val="en-US" w:eastAsia="zh-CN"/>
        </w:rPr>
        <w:t xml:space="preserve"> </w:t>
      </w:r>
      <w:r>
        <w:rPr>
          <w:rFonts w:hint="eastAsia" w:ascii="宋体" w:hAnsi="宋体"/>
          <w:color w:val="auto"/>
          <w:highlight w:val="none"/>
        </w:rPr>
        <w:t>系</w:t>
      </w:r>
      <w:r>
        <w:rPr>
          <w:rFonts w:hint="eastAsia" w:ascii="宋体" w:hAnsi="宋体"/>
          <w:color w:val="auto"/>
          <w:highlight w:val="none"/>
          <w:lang w:val="en-US" w:eastAsia="zh-CN"/>
        </w:rPr>
        <w:t xml:space="preserve"> </w:t>
      </w:r>
      <w:r>
        <w:rPr>
          <w:rFonts w:hint="eastAsia" w:ascii="宋体" w:hAnsi="宋体"/>
          <w:color w:val="auto"/>
          <w:highlight w:val="none"/>
        </w:rPr>
        <w:t>人：</w:t>
      </w:r>
      <w:r>
        <w:rPr>
          <w:rFonts w:hint="eastAsia" w:ascii="宋体" w:hAnsi="宋体"/>
          <w:color w:val="auto"/>
          <w:highlight w:val="none"/>
          <w:u w:val="single"/>
          <w:lang w:eastAsia="zh-CN"/>
        </w:rPr>
        <w:t>刘女士</w:t>
      </w:r>
      <w:r>
        <w:rPr>
          <w:rFonts w:hint="eastAsia" w:ascii="宋体" w:hAnsi="宋体"/>
          <w:color w:val="auto"/>
          <w:highlight w:val="none"/>
          <w:u w:val="single"/>
          <w:lang w:val="en-US" w:eastAsia="zh-CN"/>
        </w:rPr>
        <w:t xml:space="preserve"> </w:t>
      </w:r>
    </w:p>
    <w:p>
      <w:pPr>
        <w:keepNext w:val="0"/>
        <w:keepLines w:val="0"/>
        <w:pageBreakBefore w:val="0"/>
        <w:kinsoku/>
        <w:wordWrap/>
        <w:overflowPunct/>
        <w:topLinePunct w:val="0"/>
        <w:autoSpaceDE w:val="0"/>
        <w:autoSpaceDN/>
        <w:bidi w:val="0"/>
        <w:adjustRightInd w:val="0"/>
        <w:snapToGrid w:val="0"/>
        <w:spacing w:line="360" w:lineRule="exact"/>
        <w:textAlignment w:val="auto"/>
        <w:rPr>
          <w:rFonts w:hint="eastAsia" w:ascii="宋体" w:hAnsi="宋体"/>
          <w:color w:val="auto"/>
          <w:highlight w:val="none"/>
          <w:u w:val="single"/>
        </w:rPr>
      </w:pPr>
      <w:r>
        <w:rPr>
          <w:rFonts w:hint="eastAsia" w:ascii="宋体" w:hAnsi="宋体"/>
          <w:color w:val="auto"/>
          <w:highlight w:val="none"/>
        </w:rPr>
        <w:t>电    话：</w:t>
      </w:r>
      <w:r>
        <w:rPr>
          <w:rFonts w:hint="eastAsia" w:ascii="宋体" w:hAnsi="宋体"/>
          <w:color w:val="auto"/>
          <w:highlight w:val="none"/>
          <w:lang w:val="en-US" w:eastAsia="zh-CN"/>
        </w:rPr>
        <w:t xml:space="preserve">13036708998          </w:t>
      </w:r>
      <w:r>
        <w:rPr>
          <w:rFonts w:hint="eastAsia" w:ascii="宋体" w:hAnsi="宋体"/>
          <w:color w:val="auto"/>
          <w:highlight w:val="none"/>
        </w:rPr>
        <w:t xml:space="preserve">     </w:t>
      </w:r>
      <w:r>
        <w:rPr>
          <w:rFonts w:hint="eastAsia" w:ascii="宋体" w:hAnsi="宋体"/>
          <w:color w:val="auto"/>
          <w:highlight w:val="none"/>
          <w:lang w:val="en-US" w:eastAsia="zh-CN"/>
        </w:rPr>
        <w:t xml:space="preserve">      </w:t>
      </w:r>
      <w:r>
        <w:rPr>
          <w:rFonts w:hint="eastAsia"/>
          <w:color w:val="auto"/>
          <w:highlight w:val="none"/>
        </w:rPr>
        <w:t>联系电话：</w:t>
      </w:r>
      <w:r>
        <w:rPr>
          <w:rFonts w:hint="eastAsia"/>
          <w:color w:val="auto"/>
          <w:highlight w:val="none"/>
          <w:u w:val="single"/>
          <w:lang w:val="en-US" w:eastAsia="zh-CN"/>
        </w:rPr>
        <w:t>18944901158</w:t>
      </w:r>
    </w:p>
    <w:p>
      <w:pPr>
        <w:keepNext w:val="0"/>
        <w:keepLines w:val="0"/>
        <w:pageBreakBefore w:val="0"/>
        <w:kinsoku/>
        <w:wordWrap/>
        <w:overflowPunct/>
        <w:topLinePunct w:val="0"/>
        <w:autoSpaceDN/>
        <w:bidi w:val="0"/>
        <w:adjustRightInd w:val="0"/>
        <w:snapToGrid w:val="0"/>
        <w:spacing w:line="360" w:lineRule="exact"/>
        <w:textAlignment w:val="auto"/>
        <w:outlineLvl w:val="0"/>
        <w:rPr>
          <w:rFonts w:hint="eastAsia" w:ascii="宋体" w:hAnsi="宋体" w:cs="Times New Roman"/>
          <w:b/>
          <w:color w:val="auto"/>
          <w:sz w:val="24"/>
          <w:szCs w:val="24"/>
          <w:highlight w:val="none"/>
          <w:lang w:eastAsia="zh-CN"/>
        </w:rPr>
      </w:pPr>
      <w:bookmarkStart w:id="48" w:name="_Toc22201064"/>
      <w:bookmarkStart w:id="49" w:name="_Toc34637760"/>
      <w:r>
        <w:rPr>
          <w:rFonts w:hint="eastAsia" w:ascii="宋体" w:hAnsi="宋体" w:cs="Times New Roman"/>
          <w:b/>
          <w:color w:val="auto"/>
          <w:sz w:val="24"/>
          <w:szCs w:val="24"/>
          <w:highlight w:val="none"/>
          <w:lang w:eastAsia="zh-CN"/>
        </w:rPr>
        <w:t>十一、其它补充事宜</w:t>
      </w:r>
      <w:bookmarkEnd w:id="48"/>
      <w:bookmarkEnd w:id="49"/>
      <w:r>
        <w:rPr>
          <w:rFonts w:hint="eastAsia" w:ascii="宋体" w:hAnsi="宋体" w:cs="Times New Roman"/>
          <w:b/>
          <w:color w:val="auto"/>
          <w:sz w:val="24"/>
          <w:szCs w:val="24"/>
          <w:highlight w:val="none"/>
          <w:lang w:eastAsia="zh-CN"/>
        </w:rPr>
        <w:t xml:space="preserve"> </w:t>
      </w:r>
    </w:p>
    <w:p>
      <w:pPr>
        <w:keepNext w:val="0"/>
        <w:keepLines w:val="0"/>
        <w:pageBreakBefore w:val="0"/>
        <w:kinsoku/>
        <w:wordWrap/>
        <w:overflowPunct/>
        <w:topLinePunct w:val="0"/>
        <w:autoSpaceDN/>
        <w:bidi w:val="0"/>
        <w:adjustRightInd w:val="0"/>
        <w:snapToGrid w:val="0"/>
        <w:spacing w:before="156" w:beforeLines="50" w:line="360" w:lineRule="exact"/>
        <w:ind w:firstLine="482" w:firstLineChars="200"/>
        <w:jc w:val="left"/>
        <w:textAlignment w:val="auto"/>
        <w:rPr>
          <w:rFonts w:ascii="宋体" w:hAnsi="宋体"/>
          <w:color w:val="auto"/>
          <w:szCs w:val="21"/>
          <w:highlight w:val="none"/>
        </w:rPr>
      </w:pPr>
      <w:r>
        <w:rPr>
          <w:rFonts w:hint="eastAsia" w:ascii="宋体" w:hAnsi="宋体"/>
          <w:b/>
          <w:color w:val="auto"/>
          <w:szCs w:val="21"/>
          <w:highlight w:val="none"/>
          <w:lang w:eastAsia="zh-CN"/>
        </w:rPr>
        <w:t>（</w:t>
      </w:r>
      <w:r>
        <w:rPr>
          <w:rFonts w:hint="eastAsia" w:ascii="宋体" w:hAnsi="宋体"/>
          <w:b/>
          <w:color w:val="auto"/>
          <w:szCs w:val="21"/>
          <w:highlight w:val="none"/>
          <w:lang w:val="en-US" w:eastAsia="zh-CN"/>
        </w:rPr>
        <w:t>1</w:t>
      </w:r>
      <w:r>
        <w:rPr>
          <w:rFonts w:hint="eastAsia" w:ascii="宋体" w:hAnsi="宋体"/>
          <w:b/>
          <w:color w:val="auto"/>
          <w:szCs w:val="21"/>
          <w:highlight w:val="none"/>
          <w:lang w:eastAsia="zh-CN"/>
        </w:rPr>
        <w:t>）</w:t>
      </w:r>
      <w:r>
        <w:rPr>
          <w:rFonts w:hint="eastAsia" w:ascii="宋体" w:hAnsi="宋体"/>
          <w:b/>
          <w:color w:val="auto"/>
          <w:szCs w:val="21"/>
          <w:highlight w:val="none"/>
        </w:rPr>
        <w:t>保证金</w:t>
      </w:r>
      <w:r>
        <w:rPr>
          <w:rFonts w:ascii="宋体" w:hAnsi="宋体"/>
          <w:color w:val="auto"/>
          <w:szCs w:val="21"/>
          <w:highlight w:val="none"/>
        </w:rPr>
        <w:t xml:space="preserve"> </w:t>
      </w:r>
    </w:p>
    <w:p>
      <w:pPr>
        <w:keepNext w:val="0"/>
        <w:keepLines w:val="0"/>
        <w:pageBreakBefore w:val="0"/>
        <w:kinsoku/>
        <w:wordWrap/>
        <w:overflowPunct/>
        <w:topLinePunct w:val="0"/>
        <w:autoSpaceDN/>
        <w:bidi w:val="0"/>
        <w:adjustRightInd w:val="0"/>
        <w:snapToGrid w:val="0"/>
        <w:spacing w:before="156" w:beforeLines="50" w:line="360" w:lineRule="exact"/>
        <w:ind w:firstLine="480" w:firstLineChars="200"/>
        <w:jc w:val="left"/>
        <w:textAlignment w:val="auto"/>
        <w:rPr>
          <w:rFonts w:ascii="宋体" w:hAnsi="宋体"/>
          <w:color w:val="auto"/>
          <w:szCs w:val="21"/>
          <w:highlight w:val="none"/>
        </w:rPr>
      </w:pPr>
      <w:r>
        <w:rPr>
          <w:rFonts w:hint="eastAsia" w:ascii="宋体" w:hAnsi="宋体"/>
          <w:color w:val="auto"/>
          <w:szCs w:val="21"/>
          <w:highlight w:val="none"/>
        </w:rPr>
        <w:t>开户名称：</w:t>
      </w:r>
      <w:r>
        <w:rPr>
          <w:rFonts w:hint="eastAsia" w:ascii="宋体" w:hAnsi="宋体"/>
          <w:color w:val="auto"/>
          <w:szCs w:val="21"/>
          <w:highlight w:val="none"/>
          <w:u w:val="single"/>
          <w:lang w:eastAsia="zh-CN"/>
        </w:rPr>
        <w:t>龙武国际工程咨询有限公司隆回分公司</w:t>
      </w:r>
    </w:p>
    <w:p>
      <w:pPr>
        <w:adjustRightInd w:val="0"/>
        <w:snapToGrid w:val="0"/>
        <w:spacing w:before="156" w:beforeLines="50" w:line="360" w:lineRule="auto"/>
        <w:ind w:firstLine="480" w:firstLineChars="200"/>
        <w:jc w:val="left"/>
        <w:rPr>
          <w:rFonts w:ascii="宋体" w:hAnsi="宋体"/>
          <w:color w:val="auto"/>
          <w:szCs w:val="21"/>
          <w:highlight w:val="none"/>
        </w:rPr>
      </w:pPr>
      <w:r>
        <w:rPr>
          <w:rFonts w:hint="eastAsia" w:ascii="宋体" w:hAnsi="宋体"/>
          <w:color w:val="auto"/>
          <w:szCs w:val="21"/>
          <w:highlight w:val="none"/>
        </w:rPr>
        <w:t>开</w:t>
      </w:r>
      <w:r>
        <w:rPr>
          <w:rFonts w:ascii="宋体" w:hAnsi="宋体"/>
          <w:color w:val="auto"/>
          <w:szCs w:val="21"/>
          <w:highlight w:val="none"/>
        </w:rPr>
        <w:t xml:space="preserve"> </w:t>
      </w:r>
      <w:r>
        <w:rPr>
          <w:rFonts w:hint="eastAsia" w:ascii="宋体" w:hAnsi="宋体"/>
          <w:color w:val="auto"/>
          <w:szCs w:val="21"/>
          <w:highlight w:val="none"/>
        </w:rPr>
        <w:t>户</w:t>
      </w:r>
      <w:r>
        <w:rPr>
          <w:rFonts w:ascii="宋体" w:hAnsi="宋体"/>
          <w:color w:val="auto"/>
          <w:szCs w:val="21"/>
          <w:highlight w:val="none"/>
        </w:rPr>
        <w:t xml:space="preserve"> </w:t>
      </w:r>
      <w:r>
        <w:rPr>
          <w:rFonts w:hint="eastAsia" w:ascii="宋体" w:hAnsi="宋体"/>
          <w:color w:val="auto"/>
          <w:szCs w:val="21"/>
          <w:highlight w:val="none"/>
        </w:rPr>
        <w:t>行：</w:t>
      </w:r>
      <w:r>
        <w:rPr>
          <w:rFonts w:hint="eastAsia" w:ascii="宋体" w:hAnsi="宋体"/>
          <w:color w:val="auto"/>
          <w:szCs w:val="21"/>
          <w:highlight w:val="none"/>
          <w:u w:val="single"/>
          <w:lang w:eastAsia="zh-CN"/>
        </w:rPr>
        <w:t>中国农业银行股份有限公司隆回县支行</w:t>
      </w:r>
      <w:r>
        <w:rPr>
          <w:rFonts w:hint="eastAsia" w:ascii="宋体" w:hAnsi="宋体"/>
          <w:color w:val="auto"/>
          <w:szCs w:val="21"/>
          <w:highlight w:val="none"/>
          <w:u w:val="single"/>
        </w:rPr>
        <w:t xml:space="preserve"> </w:t>
      </w:r>
    </w:p>
    <w:p>
      <w:pPr>
        <w:adjustRightInd w:val="0"/>
        <w:snapToGrid w:val="0"/>
        <w:spacing w:before="156" w:beforeLines="50" w:line="360" w:lineRule="auto"/>
        <w:ind w:firstLine="480" w:firstLineChars="200"/>
        <w:jc w:val="left"/>
        <w:rPr>
          <w:rFonts w:ascii="宋体" w:hAnsi="宋体"/>
          <w:color w:val="auto"/>
          <w:szCs w:val="21"/>
          <w:highlight w:val="none"/>
          <w:u w:val="single"/>
        </w:rPr>
      </w:pPr>
      <w:r>
        <w:rPr>
          <w:rFonts w:hint="eastAsia" w:ascii="宋体" w:hAnsi="宋体"/>
          <w:color w:val="auto"/>
          <w:szCs w:val="21"/>
          <w:highlight w:val="none"/>
        </w:rPr>
        <w:t>银行账号：</w:t>
      </w:r>
      <w:r>
        <w:rPr>
          <w:rFonts w:hint="eastAsia" w:ascii="宋体" w:hAnsi="宋体"/>
          <w:color w:val="auto"/>
          <w:szCs w:val="21"/>
          <w:highlight w:val="none"/>
          <w:u w:val="single"/>
          <w:lang w:val="en-US" w:eastAsia="zh-CN"/>
        </w:rPr>
        <w:t>1835 1901 0400 07712</w:t>
      </w:r>
    </w:p>
    <w:p>
      <w:pPr>
        <w:adjustRightInd w:val="0"/>
        <w:snapToGrid w:val="0"/>
        <w:spacing w:before="156" w:beforeLines="50" w:line="360" w:lineRule="auto"/>
        <w:ind w:firstLine="480" w:firstLineChars="200"/>
        <w:jc w:val="left"/>
        <w:rPr>
          <w:rFonts w:ascii="宋体" w:hAnsi="宋体"/>
          <w:color w:val="auto"/>
          <w:szCs w:val="21"/>
          <w:highlight w:val="none"/>
        </w:rPr>
      </w:pPr>
      <w:r>
        <w:rPr>
          <w:rFonts w:hint="eastAsia" w:ascii="宋体" w:hAnsi="宋体"/>
          <w:color w:val="auto"/>
          <w:szCs w:val="21"/>
          <w:highlight w:val="none"/>
        </w:rPr>
        <w:t>（请在用途栏中注明“</w:t>
      </w:r>
      <w:r>
        <w:rPr>
          <w:rFonts w:hint="eastAsia" w:ascii="宋体" w:hAnsi="宋体"/>
          <w:color w:val="auto"/>
          <w:szCs w:val="21"/>
          <w:highlight w:val="none"/>
          <w:u w:val="single"/>
          <w:lang w:eastAsia="zh-CN"/>
        </w:rPr>
        <w:t>隆回县耕地保护国土空间专项规划和耕地保护一张图项目</w:t>
      </w:r>
      <w:r>
        <w:rPr>
          <w:rFonts w:hint="eastAsia" w:ascii="宋体" w:hAnsi="宋体"/>
          <w:color w:val="auto"/>
          <w:szCs w:val="21"/>
          <w:highlight w:val="none"/>
        </w:rPr>
        <w:t>”字样）</w:t>
      </w:r>
    </w:p>
    <w:p>
      <w:pPr>
        <w:adjustRightInd w:val="0"/>
        <w:snapToGrid w:val="0"/>
        <w:spacing w:before="156" w:line="360" w:lineRule="auto"/>
        <w:jc w:val="center"/>
        <w:outlineLvl w:val="9"/>
        <w:rPr>
          <w:rStyle w:val="37"/>
          <w:rFonts w:hint="eastAsia" w:ascii="宋体" w:hAnsi="宋体" w:eastAsia="宋体" w:cs="宋体"/>
          <w:color w:val="auto"/>
          <w:sz w:val="30"/>
          <w:szCs w:val="30"/>
          <w:highlight w:val="none"/>
        </w:rPr>
        <w:sectPr>
          <w:headerReference r:id="rId11" w:type="first"/>
          <w:footerReference r:id="rId13" w:type="first"/>
          <w:footerReference r:id="rId12" w:type="default"/>
          <w:pgSz w:w="11906" w:h="16838"/>
          <w:pgMar w:top="1134" w:right="1417" w:bottom="1134" w:left="1474"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pPr>
    </w:p>
    <w:p>
      <w:pPr>
        <w:pStyle w:val="6"/>
        <w:rPr>
          <w:rFonts w:ascii="宋体" w:hAnsi="宋体"/>
          <w:b w:val="0"/>
          <w:color w:val="auto"/>
          <w:sz w:val="21"/>
          <w:szCs w:val="21"/>
          <w:highlight w:val="none"/>
        </w:rPr>
      </w:pPr>
      <w:bookmarkStart w:id="50" w:name="_Toc29943"/>
      <w:bookmarkStart w:id="51" w:name="_Toc24524"/>
      <w:r>
        <w:rPr>
          <w:rFonts w:hint="eastAsia" w:ascii="宋体" w:hAnsi="宋体"/>
          <w:b w:val="0"/>
          <w:color w:val="auto"/>
          <w:sz w:val="21"/>
          <w:szCs w:val="21"/>
          <w:highlight w:val="none"/>
        </w:rPr>
        <w:t xml:space="preserve">附件一 </w:t>
      </w:r>
      <w:r>
        <w:rPr>
          <w:rFonts w:hint="eastAsia"/>
          <w:b w:val="0"/>
          <w:color w:val="auto"/>
          <w:sz w:val="21"/>
          <w:szCs w:val="21"/>
          <w:highlight w:val="none"/>
        </w:rPr>
        <w:t>供应商资格声明(格式)</w:t>
      </w:r>
      <w:bookmarkEnd w:id="50"/>
      <w:bookmarkEnd w:id="51"/>
    </w:p>
    <w:p>
      <w:pPr>
        <w:adjustRightInd w:val="0"/>
        <w:snapToGrid w:val="0"/>
        <w:spacing w:line="360" w:lineRule="auto"/>
        <w:jc w:val="center"/>
        <w:rPr>
          <w:rFonts w:ascii="黑体" w:hAnsi="黑体" w:eastAsia="黑体"/>
          <w:b/>
          <w:color w:val="auto"/>
          <w:sz w:val="28"/>
          <w:szCs w:val="28"/>
          <w:highlight w:val="none"/>
        </w:rPr>
      </w:pPr>
      <w:r>
        <w:rPr>
          <w:rFonts w:hint="eastAsia" w:ascii="黑体" w:hAnsi="黑体" w:eastAsia="黑体"/>
          <w:b/>
          <w:color w:val="auto"/>
          <w:sz w:val="28"/>
          <w:szCs w:val="28"/>
          <w:highlight w:val="none"/>
        </w:rPr>
        <w:t>供应商资格声明(格式)</w:t>
      </w:r>
    </w:p>
    <w:p>
      <w:pPr>
        <w:widowControl/>
        <w:adjustRightInd w:val="0"/>
        <w:snapToGrid w:val="0"/>
        <w:spacing w:before="156" w:beforeLines="50" w:line="360" w:lineRule="auto"/>
        <w:jc w:val="left"/>
        <w:rPr>
          <w:rFonts w:ascii="宋体" w:hAnsi="宋体" w:cs="宋体"/>
          <w:color w:val="auto"/>
          <w:kern w:val="0"/>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(采购人、采购代理机构)：</w:t>
      </w:r>
    </w:p>
    <w:p>
      <w:pPr>
        <w:widowControl/>
        <w:adjustRightInd w:val="0"/>
        <w:snapToGrid w:val="0"/>
        <w:spacing w:before="156" w:beforeLines="50" w:line="360" w:lineRule="auto"/>
        <w:ind w:firstLine="480" w:firstLineChars="200"/>
        <w:jc w:val="left"/>
        <w:rPr>
          <w:rFonts w:ascii="宋体" w:hAnsi="宋体" w:cs="宋体"/>
          <w:color w:val="auto"/>
          <w:kern w:val="0"/>
          <w:szCs w:val="21"/>
          <w:highlight w:val="none"/>
        </w:rPr>
      </w:pPr>
      <w:r>
        <w:rPr>
          <w:rFonts w:hint="eastAsia" w:ascii="宋体" w:hAnsi="宋体" w:cs="宋体"/>
          <w:color w:val="auto"/>
          <w:szCs w:val="21"/>
          <w:highlight w:val="none"/>
        </w:rPr>
        <w:t>按照《中华人民共和国政府采购法》及实施条例和</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(项目名称)邀请公告的规定，我单位郑重声明如下：</w:t>
      </w:r>
    </w:p>
    <w:p>
      <w:pPr>
        <w:widowControl/>
        <w:adjustRightInd w:val="0"/>
        <w:snapToGrid w:val="0"/>
        <w:spacing w:before="156" w:beforeLines="50" w:line="360" w:lineRule="auto"/>
        <w:ind w:firstLine="480" w:firstLineChars="200"/>
        <w:jc w:val="left"/>
        <w:rPr>
          <w:rFonts w:ascii="宋体" w:hAnsi="宋体" w:cs="宋体"/>
          <w:color w:val="auto"/>
          <w:kern w:val="0"/>
          <w:szCs w:val="21"/>
          <w:highlight w:val="none"/>
        </w:rPr>
      </w:pPr>
      <w:r>
        <w:rPr>
          <w:rFonts w:hint="eastAsia" w:ascii="宋体" w:hAnsi="宋体" w:cs="宋体"/>
          <w:color w:val="auto"/>
          <w:szCs w:val="21"/>
          <w:highlight w:val="none"/>
        </w:rPr>
        <w:t>一、我单位是按照中华人民共和国法律规定登记注册的，注册地点为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，全称为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，统一社会信用代码为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，法定代表人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s="宋体"/>
          <w:color w:val="auto"/>
          <w:szCs w:val="21"/>
          <w:highlight w:val="none"/>
        </w:rPr>
        <w:t>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，具有独立承担民事责任的能力。</w:t>
      </w:r>
    </w:p>
    <w:p>
      <w:pPr>
        <w:widowControl/>
        <w:adjustRightInd w:val="0"/>
        <w:snapToGrid w:val="0"/>
        <w:spacing w:before="156" w:beforeLines="50" w:line="360" w:lineRule="auto"/>
        <w:ind w:firstLine="480" w:firstLineChars="200"/>
        <w:jc w:val="left"/>
        <w:rPr>
          <w:rFonts w:ascii="宋体" w:hAnsi="宋体" w:cs="宋体"/>
          <w:color w:val="auto"/>
          <w:szCs w:val="21"/>
          <w:highlight w:val="none"/>
        </w:rPr>
      </w:pPr>
      <w:r>
        <w:rPr>
          <w:rFonts w:hint="eastAsia" w:ascii="宋体" w:hAnsi="宋体" w:cs="宋体"/>
          <w:color w:val="auto"/>
          <w:szCs w:val="21"/>
          <w:highlight w:val="none"/>
        </w:rPr>
        <w:t>二、我单位具有良好的商业信誉和健全的财务会计制度。</w:t>
      </w:r>
    </w:p>
    <w:p>
      <w:pPr>
        <w:widowControl/>
        <w:adjustRightInd w:val="0"/>
        <w:snapToGrid w:val="0"/>
        <w:spacing w:before="156" w:beforeLines="50" w:line="360" w:lineRule="auto"/>
        <w:ind w:firstLine="480" w:firstLineChars="200"/>
        <w:jc w:val="left"/>
        <w:rPr>
          <w:rFonts w:ascii="宋体" w:hAnsi="宋体" w:cs="宋体"/>
          <w:color w:val="auto"/>
          <w:szCs w:val="21"/>
          <w:highlight w:val="none"/>
        </w:rPr>
      </w:pPr>
      <w:r>
        <w:rPr>
          <w:rFonts w:hint="eastAsia" w:ascii="宋体" w:hAnsi="宋体" w:cs="宋体"/>
          <w:color w:val="auto"/>
          <w:kern w:val="0"/>
          <w:szCs w:val="21"/>
          <w:highlight w:val="none"/>
        </w:rPr>
        <w:t>三、我</w:t>
      </w:r>
      <w:r>
        <w:rPr>
          <w:rFonts w:hint="eastAsia" w:ascii="宋体" w:hAnsi="宋体" w:cs="宋体"/>
          <w:color w:val="auto"/>
          <w:szCs w:val="21"/>
          <w:highlight w:val="none"/>
        </w:rPr>
        <w:t>单位</w:t>
      </w:r>
      <w:r>
        <w:rPr>
          <w:rFonts w:hint="eastAsia" w:ascii="宋体" w:hAnsi="宋体" w:cs="宋体"/>
          <w:color w:val="auto"/>
          <w:kern w:val="0"/>
          <w:szCs w:val="21"/>
          <w:highlight w:val="none"/>
        </w:rPr>
        <w:t>依法进行纳税和社会保险申报并实际履行了义务。</w:t>
      </w:r>
    </w:p>
    <w:p>
      <w:pPr>
        <w:widowControl/>
        <w:adjustRightInd w:val="0"/>
        <w:snapToGrid w:val="0"/>
        <w:spacing w:before="156" w:beforeLines="50" w:line="360" w:lineRule="auto"/>
        <w:ind w:firstLine="48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四、</w:t>
      </w:r>
      <w:r>
        <w:rPr>
          <w:rFonts w:hint="eastAsia" w:ascii="宋体" w:hAnsi="宋体" w:cs="宋体"/>
          <w:color w:val="auto"/>
          <w:szCs w:val="21"/>
          <w:highlight w:val="none"/>
        </w:rPr>
        <w:t>我单位具有履行本项目采购合同所必需的设备和专业技术能力，并具有履行合同的良好</w:t>
      </w:r>
      <w:r>
        <w:rPr>
          <w:rFonts w:ascii="宋体" w:hAnsi="宋体"/>
          <w:color w:val="auto"/>
          <w:szCs w:val="21"/>
          <w:highlight w:val="none"/>
        </w:rPr>
        <w:t>记录</w:t>
      </w:r>
      <w:r>
        <w:rPr>
          <w:rFonts w:hint="eastAsia" w:ascii="宋体" w:hAnsi="宋体" w:cs="宋体"/>
          <w:color w:val="auto"/>
          <w:szCs w:val="21"/>
          <w:highlight w:val="none"/>
        </w:rPr>
        <w:t>。</w:t>
      </w:r>
    </w:p>
    <w:p>
      <w:pPr>
        <w:widowControl/>
        <w:adjustRightInd w:val="0"/>
        <w:snapToGrid w:val="0"/>
        <w:spacing w:before="156" w:beforeLines="50" w:line="360" w:lineRule="auto"/>
        <w:ind w:firstLine="480" w:firstLineChars="200"/>
        <w:jc w:val="left"/>
        <w:rPr>
          <w:rFonts w:ascii="宋体" w:hAnsi="宋体" w:cs="宋体"/>
          <w:color w:val="auto"/>
          <w:szCs w:val="21"/>
          <w:highlight w:val="none"/>
        </w:rPr>
      </w:pPr>
      <w:r>
        <w:rPr>
          <w:rFonts w:hint="eastAsia" w:ascii="宋体" w:hAnsi="宋体" w:cs="宋体"/>
          <w:color w:val="auto"/>
          <w:szCs w:val="21"/>
          <w:highlight w:val="none"/>
        </w:rPr>
        <w:t>五、我单位在参加采购项目政府采购活动前三年内，在经营活动中，未因违法经营受到刑事处罚或者责令停产停业、吊销许可证或者执照、较大数额罚款等行政处罚。其中较大数额罚款是指：达到处罚地行政处罚听证范围中“较大数额罚款”金额标准的；法律、法规、规章、国务院有关行政主管部门对“较大数额罚款”金额标准另有规定的，从其规定。</w:t>
      </w:r>
    </w:p>
    <w:p>
      <w:pPr>
        <w:widowControl/>
        <w:adjustRightInd w:val="0"/>
        <w:snapToGrid w:val="0"/>
        <w:spacing w:before="156" w:beforeLines="50" w:line="360" w:lineRule="auto"/>
        <w:ind w:firstLine="480" w:firstLineChars="200"/>
        <w:jc w:val="left"/>
        <w:rPr>
          <w:rFonts w:ascii="宋体" w:hAnsi="宋体" w:cs="宋体"/>
          <w:color w:val="auto"/>
          <w:kern w:val="0"/>
          <w:szCs w:val="21"/>
          <w:highlight w:val="none"/>
        </w:rPr>
      </w:pPr>
      <w:r>
        <w:rPr>
          <w:rFonts w:hint="eastAsia" w:ascii="宋体" w:hAnsi="宋体" w:cs="宋体"/>
          <w:color w:val="auto"/>
          <w:szCs w:val="21"/>
          <w:highlight w:val="none"/>
        </w:rPr>
        <w:t>供应商在参加政府采购活动前3年内因违法经营被禁止在一定期限内参加政府采购活动，期限届满的，可以参加政府采购活动。</w:t>
      </w:r>
    </w:p>
    <w:p>
      <w:pPr>
        <w:widowControl/>
        <w:adjustRightInd w:val="0"/>
        <w:snapToGrid w:val="0"/>
        <w:spacing w:before="156" w:beforeLines="50" w:line="360" w:lineRule="auto"/>
        <w:ind w:firstLine="480" w:firstLineChars="200"/>
        <w:jc w:val="left"/>
        <w:rPr>
          <w:rFonts w:ascii="宋体" w:hAnsi="宋体" w:cs="宋体"/>
          <w:color w:val="auto"/>
          <w:szCs w:val="21"/>
          <w:highlight w:val="none"/>
        </w:rPr>
      </w:pPr>
      <w:r>
        <w:rPr>
          <w:rFonts w:hint="eastAsia" w:ascii="宋体" w:hAnsi="宋体" w:cs="宋体"/>
          <w:color w:val="auto"/>
          <w:szCs w:val="21"/>
          <w:highlight w:val="none"/>
        </w:rPr>
        <w:t>六、我单位具备法律、行政法规规定的其他条件。</w:t>
      </w:r>
    </w:p>
    <w:p>
      <w:pPr>
        <w:widowControl/>
        <w:adjustRightInd w:val="0"/>
        <w:snapToGrid w:val="0"/>
        <w:spacing w:before="156" w:beforeLines="50" w:line="360" w:lineRule="auto"/>
        <w:ind w:firstLine="480" w:firstLineChars="200"/>
        <w:jc w:val="left"/>
        <w:rPr>
          <w:color w:val="auto"/>
          <w:szCs w:val="21"/>
          <w:highlight w:val="none"/>
        </w:rPr>
      </w:pPr>
      <w:r>
        <w:rPr>
          <w:rFonts w:hint="eastAsia" w:ascii="宋体" w:hAnsi="宋体" w:cs="宋体"/>
          <w:color w:val="auto"/>
          <w:szCs w:val="21"/>
          <w:highlight w:val="none"/>
        </w:rPr>
        <w:t>七、</w:t>
      </w:r>
      <w:r>
        <w:rPr>
          <w:rFonts w:hint="eastAsia"/>
          <w:color w:val="auto"/>
          <w:szCs w:val="21"/>
          <w:highlight w:val="none"/>
        </w:rPr>
        <w:t>与我单位存在“单位负责人为同一人或者存在直接控股、管理关系”的其他单位信息如下（如无，填写“无”）：</w:t>
      </w:r>
    </w:p>
    <w:p>
      <w:pPr>
        <w:adjustRightInd w:val="0"/>
        <w:snapToGrid w:val="0"/>
        <w:spacing w:before="156" w:beforeLines="50" w:line="360" w:lineRule="auto"/>
        <w:ind w:firstLine="480" w:firstLineChars="200"/>
        <w:rPr>
          <w:color w:val="auto"/>
          <w:szCs w:val="21"/>
          <w:highlight w:val="none"/>
        </w:rPr>
      </w:pPr>
      <w:r>
        <w:rPr>
          <w:rFonts w:hint="eastAsia" w:ascii="宋体" w:hAnsi="宋体"/>
          <w:color w:val="auto"/>
          <w:szCs w:val="21"/>
          <w:highlight w:val="none"/>
        </w:rPr>
        <w:t>1、</w:t>
      </w:r>
      <w:r>
        <w:rPr>
          <w:rFonts w:hint="eastAsia"/>
          <w:color w:val="auto"/>
          <w:szCs w:val="21"/>
          <w:highlight w:val="none"/>
        </w:rPr>
        <w:t>与我单位的法定代表人（单位负责人）为同一人的其他单位如下：</w:t>
      </w:r>
      <w:r>
        <w:rPr>
          <w:rFonts w:hint="eastAsia" w:ascii="宋体" w:hAnsi="宋体"/>
          <w:color w:val="auto"/>
          <w:szCs w:val="21"/>
          <w:highlight w:val="none"/>
          <w:u w:val="single"/>
        </w:rPr>
        <w:t xml:space="preserve">               </w:t>
      </w:r>
    </w:p>
    <w:p>
      <w:pPr>
        <w:adjustRightInd w:val="0"/>
        <w:snapToGrid w:val="0"/>
        <w:spacing w:before="156" w:beforeLines="50" w:line="360" w:lineRule="auto"/>
        <w:ind w:firstLine="480" w:firstLineChars="200"/>
        <w:rPr>
          <w:rFonts w:ascii="宋体" w:hAnsi="宋体"/>
          <w:color w:val="auto"/>
          <w:szCs w:val="21"/>
          <w:highlight w:val="none"/>
        </w:rPr>
      </w:pPr>
      <w:r>
        <w:rPr>
          <w:rFonts w:hint="eastAsia" w:ascii="宋体" w:hAnsi="宋体"/>
          <w:color w:val="auto"/>
          <w:szCs w:val="21"/>
          <w:highlight w:val="none"/>
        </w:rPr>
        <w:t>2、我</w:t>
      </w:r>
      <w:r>
        <w:rPr>
          <w:rFonts w:hint="eastAsia"/>
          <w:color w:val="auto"/>
          <w:szCs w:val="21"/>
          <w:highlight w:val="none"/>
        </w:rPr>
        <w:t>单位</w:t>
      </w:r>
      <w:r>
        <w:rPr>
          <w:rFonts w:hint="eastAsia" w:ascii="宋体" w:hAnsi="宋体"/>
          <w:color w:val="auto"/>
          <w:szCs w:val="21"/>
          <w:highlight w:val="none"/>
        </w:rPr>
        <w:t>直接控股的其他单位如下：</w:t>
      </w:r>
      <w:r>
        <w:rPr>
          <w:rFonts w:hint="eastAsia" w:ascii="宋体" w:hAnsi="宋体"/>
          <w:color w:val="auto"/>
          <w:szCs w:val="21"/>
          <w:highlight w:val="none"/>
          <w:u w:val="single"/>
        </w:rPr>
        <w:t xml:space="preserve">               </w:t>
      </w:r>
    </w:p>
    <w:p>
      <w:pPr>
        <w:adjustRightInd w:val="0"/>
        <w:snapToGrid w:val="0"/>
        <w:spacing w:before="156" w:beforeLines="50" w:line="360" w:lineRule="auto"/>
        <w:ind w:firstLine="480" w:firstLineChars="200"/>
        <w:rPr>
          <w:color w:val="auto"/>
          <w:szCs w:val="21"/>
          <w:highlight w:val="none"/>
        </w:rPr>
      </w:pPr>
      <w:r>
        <w:rPr>
          <w:rFonts w:hint="eastAsia" w:ascii="宋体" w:hAnsi="宋体"/>
          <w:color w:val="auto"/>
          <w:szCs w:val="21"/>
          <w:highlight w:val="none"/>
        </w:rPr>
        <w:t>3、与我</w:t>
      </w:r>
      <w:r>
        <w:rPr>
          <w:rFonts w:hint="eastAsia"/>
          <w:color w:val="auto"/>
          <w:szCs w:val="21"/>
          <w:highlight w:val="none"/>
        </w:rPr>
        <w:t>单位存在</w:t>
      </w:r>
      <w:r>
        <w:rPr>
          <w:rFonts w:hint="eastAsia" w:ascii="宋体" w:hAnsi="宋体"/>
          <w:color w:val="auto"/>
          <w:szCs w:val="21"/>
          <w:highlight w:val="none"/>
        </w:rPr>
        <w:t>管理关系的其他单位如下：</w:t>
      </w:r>
      <w:r>
        <w:rPr>
          <w:rFonts w:hint="eastAsia" w:ascii="宋体" w:hAnsi="宋体"/>
          <w:color w:val="auto"/>
          <w:szCs w:val="21"/>
          <w:highlight w:val="none"/>
          <w:u w:val="single"/>
        </w:rPr>
        <w:t xml:space="preserve">               </w:t>
      </w:r>
    </w:p>
    <w:p>
      <w:pPr>
        <w:widowControl/>
        <w:adjustRightInd w:val="0"/>
        <w:snapToGrid w:val="0"/>
        <w:spacing w:before="156" w:beforeLines="50" w:line="360" w:lineRule="auto"/>
        <w:ind w:firstLine="480" w:firstLineChars="200"/>
        <w:jc w:val="left"/>
        <w:rPr>
          <w:color w:val="auto"/>
          <w:szCs w:val="21"/>
          <w:highlight w:val="none"/>
        </w:rPr>
      </w:pPr>
      <w:r>
        <w:rPr>
          <w:rFonts w:hint="eastAsia" w:ascii="宋体" w:hAnsi="宋体" w:cs="宋体"/>
          <w:color w:val="auto"/>
          <w:kern w:val="0"/>
          <w:szCs w:val="21"/>
          <w:highlight w:val="none"/>
        </w:rPr>
        <w:t>八、</w:t>
      </w:r>
      <w:r>
        <w:rPr>
          <w:rFonts w:ascii="宋体" w:hAnsi="宋体"/>
          <w:color w:val="auto"/>
          <w:szCs w:val="21"/>
          <w:highlight w:val="none"/>
        </w:rPr>
        <w:t>我</w:t>
      </w:r>
      <w:r>
        <w:rPr>
          <w:rFonts w:hint="eastAsia" w:ascii="宋体" w:hAnsi="宋体"/>
          <w:color w:val="auto"/>
          <w:szCs w:val="21"/>
          <w:highlight w:val="none"/>
        </w:rPr>
        <w:t>单位</w:t>
      </w:r>
      <w:r>
        <w:rPr>
          <w:rFonts w:ascii="宋体" w:hAnsi="宋体"/>
          <w:color w:val="auto"/>
          <w:szCs w:val="21"/>
          <w:highlight w:val="none"/>
        </w:rPr>
        <w:t>不属于为本项目提供整体设计、规范编制或者项目管理、监理、检测等服务的</w:t>
      </w:r>
      <w:r>
        <w:rPr>
          <w:rFonts w:hint="eastAsia" w:ascii="宋体" w:hAnsi="宋体" w:cs="宋体"/>
          <w:color w:val="auto"/>
          <w:szCs w:val="21"/>
          <w:highlight w:val="none"/>
        </w:rPr>
        <w:t>供应商</w:t>
      </w:r>
      <w:r>
        <w:rPr>
          <w:rFonts w:ascii="宋体" w:hAnsi="宋体"/>
          <w:color w:val="auto"/>
          <w:szCs w:val="21"/>
          <w:highlight w:val="none"/>
        </w:rPr>
        <w:t>。</w:t>
      </w:r>
    </w:p>
    <w:p>
      <w:pPr>
        <w:widowControl/>
        <w:adjustRightInd w:val="0"/>
        <w:snapToGrid w:val="0"/>
        <w:spacing w:before="156" w:beforeLines="50" w:line="360" w:lineRule="auto"/>
        <w:ind w:firstLine="480" w:firstLineChars="200"/>
        <w:jc w:val="left"/>
        <w:rPr>
          <w:rFonts w:ascii="宋体" w:hAnsi="宋体"/>
          <w:color w:val="auto"/>
          <w:szCs w:val="21"/>
          <w:highlight w:val="none"/>
        </w:rPr>
      </w:pPr>
      <w:r>
        <w:rPr>
          <w:rFonts w:hint="eastAsia" w:ascii="宋体" w:hAnsi="宋体"/>
          <w:color w:val="auto"/>
          <w:szCs w:val="21"/>
          <w:highlight w:val="none"/>
        </w:rPr>
        <w:t>九、</w:t>
      </w:r>
      <w:r>
        <w:rPr>
          <w:rFonts w:ascii="宋体" w:hAnsi="宋体"/>
          <w:color w:val="auto"/>
          <w:szCs w:val="21"/>
          <w:highlight w:val="none"/>
        </w:rPr>
        <w:t>我单位无以下不良信用记录情形：</w:t>
      </w:r>
    </w:p>
    <w:p>
      <w:pPr>
        <w:widowControl/>
        <w:adjustRightInd w:val="0"/>
        <w:snapToGrid w:val="0"/>
        <w:spacing w:before="156" w:beforeLines="50" w:line="360" w:lineRule="auto"/>
        <w:ind w:firstLine="480" w:firstLineChars="200"/>
        <w:jc w:val="left"/>
        <w:rPr>
          <w:rFonts w:hint="eastAsia" w:ascii="宋体" w:hAnsi="宋体" w:eastAsia="宋体"/>
          <w:b/>
          <w:bCs/>
          <w:color w:val="auto"/>
          <w:szCs w:val="21"/>
          <w:highlight w:val="none"/>
          <w:lang w:eastAsia="zh-CN"/>
        </w:rPr>
      </w:pPr>
      <w:r>
        <w:rPr>
          <w:rFonts w:ascii="宋体" w:hAnsi="宋体"/>
          <w:color w:val="auto"/>
          <w:szCs w:val="21"/>
          <w:highlight w:val="none"/>
        </w:rPr>
        <w:t>1</w:t>
      </w:r>
      <w:r>
        <w:rPr>
          <w:rFonts w:hint="eastAsia" w:ascii="宋体" w:hAnsi="宋体"/>
          <w:color w:val="auto"/>
          <w:szCs w:val="21"/>
          <w:highlight w:val="none"/>
        </w:rPr>
        <w:t>、在</w:t>
      </w:r>
      <w:r>
        <w:rPr>
          <w:rFonts w:hint="eastAsia" w:ascii="宋体" w:hAnsi="宋体" w:cs="宋体"/>
          <w:color w:val="auto"/>
          <w:szCs w:val="21"/>
          <w:highlight w:val="none"/>
        </w:rPr>
        <w:t>“信用中国”</w:t>
      </w:r>
      <w:r>
        <w:rPr>
          <w:rFonts w:hint="eastAsia" w:ascii="宋体" w:hAnsi="宋体"/>
          <w:color w:val="auto"/>
          <w:szCs w:val="21"/>
          <w:highlight w:val="none"/>
        </w:rPr>
        <w:t>（www.creditchina.gov.cn）</w:t>
      </w:r>
      <w:r>
        <w:rPr>
          <w:rFonts w:hint="eastAsia" w:ascii="宋体" w:hAnsi="宋体" w:cs="宋体"/>
          <w:color w:val="auto"/>
          <w:szCs w:val="21"/>
          <w:highlight w:val="none"/>
        </w:rPr>
        <w:t>网站被列入失信被执行人和重大税收违法案件当事人名单；</w:t>
      </w:r>
      <w:r>
        <w:rPr>
          <w:rFonts w:hint="eastAsia" w:ascii="宋体" w:hAnsi="宋体" w:cs="宋体"/>
          <w:b/>
          <w:bCs/>
          <w:color w:val="auto"/>
          <w:szCs w:val="21"/>
          <w:highlight w:val="none"/>
          <w:lang w:eastAsia="zh-CN"/>
        </w:rPr>
        <w:t>提供查询结果截图并加盖单位公章；</w:t>
      </w:r>
    </w:p>
    <w:p>
      <w:pPr>
        <w:widowControl/>
        <w:adjustRightInd w:val="0"/>
        <w:snapToGrid w:val="0"/>
        <w:spacing w:before="156" w:beforeLines="50" w:line="360" w:lineRule="auto"/>
        <w:ind w:firstLine="480" w:firstLineChars="200"/>
        <w:jc w:val="left"/>
        <w:rPr>
          <w:rFonts w:hint="eastAsia" w:ascii="宋体" w:hAnsi="宋体" w:eastAsia="宋体"/>
          <w:b/>
          <w:bCs/>
          <w:color w:val="auto"/>
          <w:szCs w:val="21"/>
          <w:highlight w:val="none"/>
          <w:lang w:eastAsia="zh-CN"/>
        </w:rPr>
      </w:pPr>
      <w:r>
        <w:rPr>
          <w:rFonts w:ascii="宋体" w:hAnsi="宋体"/>
          <w:color w:val="auto"/>
          <w:szCs w:val="21"/>
          <w:highlight w:val="none"/>
        </w:rPr>
        <w:t>2</w:t>
      </w:r>
      <w:r>
        <w:rPr>
          <w:rFonts w:hint="eastAsia" w:ascii="宋体" w:hAnsi="宋体"/>
          <w:color w:val="auto"/>
          <w:szCs w:val="21"/>
          <w:highlight w:val="none"/>
        </w:rPr>
        <w:t>、在</w:t>
      </w:r>
      <w:r>
        <w:rPr>
          <w:rFonts w:hint="eastAsia" w:ascii="宋体" w:hAnsi="宋体" w:cs="宋体"/>
          <w:color w:val="auto"/>
          <w:szCs w:val="21"/>
          <w:highlight w:val="none"/>
        </w:rPr>
        <w:t>“中国政府采购网”</w:t>
      </w:r>
      <w:r>
        <w:rPr>
          <w:rFonts w:hint="eastAsia" w:ascii="宋体" w:hAnsi="宋体"/>
          <w:color w:val="auto"/>
          <w:szCs w:val="21"/>
          <w:highlight w:val="none"/>
        </w:rPr>
        <w:t>（www.ccgp.gov.cn）</w:t>
      </w:r>
      <w:r>
        <w:rPr>
          <w:rFonts w:hint="eastAsia" w:ascii="宋体" w:hAnsi="宋体" w:cs="宋体"/>
          <w:color w:val="auto"/>
          <w:szCs w:val="21"/>
          <w:highlight w:val="none"/>
        </w:rPr>
        <w:t>网站被列入政府采购严重违法失信行为记录名单；</w:t>
      </w:r>
      <w:r>
        <w:rPr>
          <w:rFonts w:hint="eastAsia" w:ascii="宋体" w:hAnsi="宋体" w:cs="宋体"/>
          <w:b/>
          <w:bCs/>
          <w:color w:val="auto"/>
          <w:szCs w:val="21"/>
          <w:highlight w:val="none"/>
          <w:lang w:eastAsia="zh-CN"/>
        </w:rPr>
        <w:t>提供查询结果截图并加盖单位公章；</w:t>
      </w:r>
    </w:p>
    <w:p>
      <w:pPr>
        <w:widowControl/>
        <w:adjustRightInd w:val="0"/>
        <w:snapToGrid w:val="0"/>
        <w:spacing w:before="156" w:beforeLines="50" w:line="360" w:lineRule="auto"/>
        <w:ind w:firstLine="480" w:firstLineChars="200"/>
        <w:jc w:val="left"/>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不符合《政府采购法》第二十二条规定的条件。</w:t>
      </w:r>
    </w:p>
    <w:p>
      <w:pPr>
        <w:widowControl/>
        <w:adjustRightInd w:val="0"/>
        <w:snapToGrid w:val="0"/>
        <w:spacing w:before="156" w:beforeLines="50" w:line="360" w:lineRule="auto"/>
        <w:ind w:firstLine="480" w:firstLineChars="200"/>
        <w:jc w:val="left"/>
        <w:rPr>
          <w:color w:val="auto"/>
          <w:szCs w:val="21"/>
          <w:highlight w:val="none"/>
        </w:rPr>
      </w:pPr>
      <w:r>
        <w:rPr>
          <w:rFonts w:hint="eastAsia" w:ascii="宋体" w:hAnsi="宋体" w:cs="宋体"/>
          <w:color w:val="auto"/>
          <w:szCs w:val="21"/>
          <w:highlight w:val="none"/>
        </w:rPr>
        <w:t>我单位保证上述声明的事项都是真实的，如有虚假，我单位愿意承担相应的法律责任，并承担因此所造成的一切损失。</w:t>
      </w:r>
    </w:p>
    <w:p>
      <w:pPr>
        <w:widowControl/>
        <w:adjustRightInd w:val="0"/>
        <w:snapToGrid w:val="0"/>
        <w:spacing w:before="156" w:beforeLines="50" w:line="360" w:lineRule="auto"/>
        <w:jc w:val="left"/>
        <w:rPr>
          <w:rFonts w:ascii="宋体" w:hAnsi="宋体" w:cs="宋体"/>
          <w:color w:val="auto"/>
          <w:szCs w:val="21"/>
          <w:highlight w:val="none"/>
        </w:rPr>
      </w:pPr>
      <w:r>
        <w:rPr>
          <w:rFonts w:hint="eastAsia" w:ascii="宋体" w:hAnsi="宋体" w:cs="宋体"/>
          <w:color w:val="auto"/>
          <w:szCs w:val="21"/>
          <w:highlight w:val="none"/>
        </w:rPr>
        <w:t>注：第三条“良好的商业信誉”是指供应商经营状况良好，无本</w:t>
      </w:r>
      <w:r>
        <w:rPr>
          <w:rFonts w:hint="eastAsia" w:ascii="宋体" w:hAnsi="宋体" w:eastAsia="宋体"/>
          <w:color w:val="auto"/>
          <w:szCs w:val="21"/>
          <w:highlight w:val="none"/>
        </w:rPr>
        <w:t>承诺函</w:t>
      </w:r>
      <w:r>
        <w:rPr>
          <w:rFonts w:hint="eastAsia" w:ascii="宋体" w:hAnsi="宋体" w:eastAsia="宋体" w:cs="宋体"/>
          <w:color w:val="auto"/>
          <w:szCs w:val="21"/>
          <w:highlight w:val="none"/>
        </w:rPr>
        <w:t>第</w:t>
      </w:r>
      <w:r>
        <w:rPr>
          <w:rFonts w:hint="eastAsia" w:ascii="宋体" w:hAnsi="宋体" w:cs="宋体"/>
          <w:color w:val="auto"/>
          <w:szCs w:val="21"/>
          <w:highlight w:val="none"/>
        </w:rPr>
        <w:t>九条情形。</w:t>
      </w:r>
    </w:p>
    <w:p>
      <w:pPr>
        <w:widowControl/>
        <w:adjustRightInd w:val="0"/>
        <w:snapToGrid w:val="0"/>
        <w:spacing w:before="156" w:beforeLines="50" w:line="360" w:lineRule="auto"/>
        <w:jc w:val="left"/>
        <w:rPr>
          <w:rFonts w:ascii="宋体" w:hAnsi="宋体" w:cs="宋体"/>
          <w:color w:val="auto"/>
          <w:szCs w:val="21"/>
          <w:highlight w:val="none"/>
        </w:rPr>
      </w:pPr>
    </w:p>
    <w:p>
      <w:pPr>
        <w:widowControl/>
        <w:adjustRightInd w:val="0"/>
        <w:snapToGrid w:val="0"/>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供应商名称（盖单位公章）：</w:t>
      </w:r>
    </w:p>
    <w:p>
      <w:pPr>
        <w:widowControl/>
        <w:adjustRightInd w:val="0"/>
        <w:snapToGrid w:val="0"/>
        <w:spacing w:line="360" w:lineRule="auto"/>
        <w:jc w:val="left"/>
        <w:rPr>
          <w:rFonts w:ascii="宋体" w:hAnsi="宋体" w:cs="宋体"/>
          <w:b/>
          <w:bCs/>
          <w:color w:val="auto"/>
          <w:kern w:val="0"/>
          <w:sz w:val="44"/>
          <w:szCs w:val="44"/>
          <w:highlight w:val="non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highlight w:val="none"/>
        </w:rPr>
        <w:t>或委托代理人：</w:t>
      </w:r>
      <w:r>
        <w:rPr>
          <w:rFonts w:hint="eastAsia" w:ascii="宋体" w:hAnsi="宋体"/>
          <w:color w:val="auto"/>
          <w:highlight w:val="none"/>
          <w:u w:val="single"/>
        </w:rPr>
        <w:t xml:space="preserve">       </w:t>
      </w:r>
      <w:r>
        <w:rPr>
          <w:rFonts w:hint="eastAsia" w:ascii="宋体" w:hAnsi="宋体"/>
          <w:color w:val="auto"/>
          <w:highlight w:val="none"/>
        </w:rPr>
        <w:t>（签字或印章）</w:t>
      </w:r>
    </w:p>
    <w:p>
      <w:pPr>
        <w:widowControl/>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pStyle w:val="8"/>
        <w:outlineLvl w:val="9"/>
        <w:rPr>
          <w:rFonts w:hint="eastAsia"/>
          <w:color w:val="auto"/>
          <w:highlight w:val="none"/>
        </w:rPr>
        <w:sectPr>
          <w:pgSz w:w="11906" w:h="16838"/>
          <w:pgMar w:top="1474" w:right="1417" w:bottom="1417" w:left="1474"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adjustRightInd w:val="0"/>
        <w:snapToGrid w:val="0"/>
        <w:spacing w:before="156" w:line="360" w:lineRule="auto"/>
        <w:jc w:val="center"/>
        <w:outlineLvl w:val="0"/>
        <w:rPr>
          <w:rStyle w:val="37"/>
          <w:rFonts w:hint="eastAsia" w:ascii="宋体" w:hAnsi="宋体" w:eastAsia="宋体" w:cs="宋体"/>
          <w:color w:val="auto"/>
          <w:sz w:val="30"/>
          <w:szCs w:val="30"/>
          <w:highlight w:val="none"/>
        </w:rPr>
      </w:pPr>
      <w:bookmarkStart w:id="52" w:name="_Toc20897"/>
      <w:bookmarkStart w:id="53" w:name="_Toc14505"/>
      <w:r>
        <w:rPr>
          <w:rStyle w:val="37"/>
          <w:rFonts w:hint="eastAsia" w:ascii="宋体" w:hAnsi="宋体" w:eastAsia="宋体" w:cs="宋体"/>
          <w:color w:val="auto"/>
          <w:sz w:val="30"/>
          <w:szCs w:val="30"/>
          <w:highlight w:val="none"/>
        </w:rPr>
        <w:t>第二章  磋商须知</w:t>
      </w:r>
      <w:bookmarkEnd w:id="52"/>
      <w:bookmarkEnd w:id="53"/>
    </w:p>
    <w:p>
      <w:pPr>
        <w:adjustRightInd w:val="0"/>
        <w:snapToGrid w:val="0"/>
        <w:spacing w:line="400" w:lineRule="exact"/>
        <w:jc w:val="center"/>
        <w:outlineLvl w:val="1"/>
        <w:rPr>
          <w:rFonts w:hint="eastAsia" w:ascii="宋体" w:hAnsi="宋体" w:eastAsia="宋体" w:cs="宋体"/>
          <w:b/>
          <w:color w:val="auto"/>
          <w:sz w:val="24"/>
          <w:szCs w:val="24"/>
          <w:highlight w:val="none"/>
        </w:rPr>
      </w:pPr>
      <w:bookmarkStart w:id="54" w:name="_Toc24682"/>
      <w:bookmarkStart w:id="55" w:name="_Toc30387"/>
      <w:bookmarkStart w:id="56" w:name="_Toc20375"/>
      <w:r>
        <w:rPr>
          <w:rFonts w:hint="eastAsia" w:ascii="宋体" w:hAnsi="宋体" w:cs="宋体"/>
          <w:b/>
          <w:color w:val="auto"/>
          <w:sz w:val="24"/>
          <w:szCs w:val="24"/>
          <w:highlight w:val="none"/>
          <w:lang w:eastAsia="zh-CN"/>
        </w:rPr>
        <w:t>第一节</w:t>
      </w:r>
      <w:r>
        <w:rPr>
          <w:rFonts w:hint="eastAsia" w:ascii="宋体" w:hAnsi="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磋商须知前附表</w:t>
      </w:r>
      <w:bookmarkEnd w:id="54"/>
      <w:bookmarkEnd w:id="55"/>
      <w:bookmarkEnd w:id="56"/>
    </w:p>
    <w:tbl>
      <w:tblPr>
        <w:tblStyle w:val="24"/>
        <w:tblW w:w="897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18"/>
        <w:gridCol w:w="2081"/>
        <w:gridCol w:w="5673"/>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tblHeader/>
          <w:jc w:val="center"/>
        </w:trPr>
        <w:tc>
          <w:tcPr>
            <w:tcW w:w="1218"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08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条款名称</w:t>
            </w:r>
          </w:p>
        </w:tc>
        <w:tc>
          <w:tcPr>
            <w:tcW w:w="5673"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编列内容规定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46" w:hRule="atLeast"/>
          <w:jc w:val="center"/>
        </w:trPr>
        <w:tc>
          <w:tcPr>
            <w:tcW w:w="897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一、说明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31" w:hRule="atLeast"/>
          <w:jc w:val="center"/>
        </w:trPr>
        <w:tc>
          <w:tcPr>
            <w:tcW w:w="12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第二章第1.1款</w:t>
            </w:r>
          </w:p>
        </w:tc>
        <w:tc>
          <w:tcPr>
            <w:tcW w:w="20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采购项目</w:t>
            </w:r>
          </w:p>
        </w:tc>
        <w:tc>
          <w:tcPr>
            <w:tcW w:w="567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u w:val="none"/>
                <w:lang w:eastAsia="zh-CN"/>
              </w:rPr>
              <w:t>隆回县耕地保护国土空间专项规划和耕地保护一张图项目</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第二章第2.1款</w:t>
            </w:r>
          </w:p>
        </w:tc>
        <w:tc>
          <w:tcPr>
            <w:tcW w:w="208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w:t>
            </w:r>
          </w:p>
        </w:tc>
        <w:tc>
          <w:tcPr>
            <w:tcW w:w="5673"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u w:val="single"/>
                <w:lang w:eastAsia="zh-CN"/>
              </w:rPr>
              <w:t xml:space="preserve">隆回县自然资源局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地址：</w:t>
            </w:r>
            <w:r>
              <w:rPr>
                <w:rFonts w:hint="eastAsia" w:ascii="宋体" w:hAnsi="宋体" w:cs="宋体"/>
                <w:color w:val="auto"/>
                <w:szCs w:val="21"/>
                <w:highlight w:val="none"/>
                <w:u w:val="single"/>
                <w:lang w:eastAsia="zh-CN"/>
              </w:rPr>
              <w:t>隆回县花门街道办桃洪西路141号</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联系人</w:t>
            </w:r>
            <w:r>
              <w:rPr>
                <w:rFonts w:hint="eastAsia" w:ascii="宋体" w:hAnsi="宋体" w:cs="宋体"/>
                <w:color w:val="auto"/>
                <w:szCs w:val="21"/>
                <w:highlight w:val="none"/>
                <w:lang w:eastAsia="zh-CN"/>
              </w:rPr>
              <w:t>：</w:t>
            </w:r>
            <w:r>
              <w:rPr>
                <w:rFonts w:hint="eastAsia" w:ascii="宋体" w:hAnsi="宋体" w:cs="宋体"/>
                <w:color w:val="auto"/>
                <w:szCs w:val="21"/>
                <w:highlight w:val="none"/>
                <w:u w:val="single"/>
                <w:lang w:val="en-US" w:eastAsia="zh-CN"/>
              </w:rPr>
              <w:t>康女士</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Cs w:val="21"/>
                <w:highlight w:val="none"/>
              </w:rPr>
              <w:t>电话：</w:t>
            </w:r>
            <w:r>
              <w:rPr>
                <w:rFonts w:hint="eastAsia" w:ascii="宋体" w:hAnsi="宋体"/>
                <w:szCs w:val="21"/>
                <w:u w:val="single"/>
                <w:lang w:val="en-US" w:eastAsia="zh-CN"/>
              </w:rPr>
              <w:t>13036708998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第二章第2.2款</w:t>
            </w:r>
          </w:p>
        </w:tc>
        <w:tc>
          <w:tcPr>
            <w:tcW w:w="208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w:t>
            </w:r>
          </w:p>
        </w:tc>
        <w:tc>
          <w:tcPr>
            <w:tcW w:w="5673"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cs="宋体"/>
                <w:color w:val="auto"/>
                <w:szCs w:val="21"/>
                <w:highlight w:val="none"/>
                <w:u w:val="single"/>
                <w:lang w:eastAsia="zh-CN"/>
              </w:rPr>
              <w:t>龙武国际工程咨询有限公司</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湖南省隆回县广电大厦阳光家园对面(</w:t>
            </w:r>
            <w:r>
              <w:rPr>
                <w:rFonts w:hint="eastAsia" w:ascii="宋体" w:hAnsi="宋体" w:cs="宋体"/>
                <w:color w:val="auto"/>
                <w:szCs w:val="21"/>
                <w:highlight w:val="none"/>
                <w:u w:val="single"/>
                <w:lang w:eastAsia="zh-CN"/>
              </w:rPr>
              <w:t>龙武国际工程咨询有限公司隆回分公司</w:t>
            </w:r>
            <w:r>
              <w:rPr>
                <w:rFonts w:hint="eastAsia" w:ascii="宋体" w:hAnsi="宋体" w:eastAsia="宋体" w:cs="宋体"/>
                <w:color w:val="auto"/>
                <w:szCs w:val="21"/>
                <w:highlight w:val="none"/>
                <w:u w:val="single"/>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cs="宋体"/>
                <w:color w:val="auto"/>
                <w:szCs w:val="21"/>
                <w:highlight w:val="none"/>
                <w:u w:val="single"/>
                <w:lang w:eastAsia="zh-CN"/>
              </w:rPr>
              <w:t>18944901158</w:t>
            </w:r>
            <w:r>
              <w:rPr>
                <w:rFonts w:hint="eastAsia" w:ascii="宋体" w:hAnsi="宋体" w:eastAsia="宋体" w:cs="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r>
              <w:rPr>
                <w:rFonts w:hint="eastAsia" w:ascii="宋体" w:hAnsi="宋体" w:cs="宋体"/>
                <w:color w:val="auto"/>
                <w:szCs w:val="21"/>
                <w:highlight w:val="none"/>
                <w:u w:val="single"/>
                <w:lang w:eastAsia="zh-CN"/>
              </w:rPr>
              <w:t>刘女士</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第二章第2.3款</w:t>
            </w:r>
          </w:p>
        </w:tc>
        <w:tc>
          <w:tcPr>
            <w:tcW w:w="208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供应商的</w:t>
            </w:r>
            <w:r>
              <w:rPr>
                <w:rFonts w:hint="eastAsia" w:ascii="宋体" w:hAnsi="宋体" w:eastAsia="宋体" w:cs="宋体"/>
                <w:color w:val="auto"/>
                <w:szCs w:val="21"/>
                <w:highlight w:val="none"/>
              </w:rPr>
              <w:t>邀请方式</w:t>
            </w:r>
          </w:p>
        </w:tc>
        <w:tc>
          <w:tcPr>
            <w:tcW w:w="5673"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 xml:space="preserve"> 发布公告</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从省级以上财政部门建立的供应商库中随机抽取</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采购人和评审专家分别书面推荐的方式</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第二章第3.1款</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p>
        </w:tc>
        <w:tc>
          <w:tcPr>
            <w:tcW w:w="208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供应商</w:t>
            </w:r>
            <w:r>
              <w:rPr>
                <w:rFonts w:hint="eastAsia" w:ascii="宋体" w:hAnsi="宋体" w:eastAsia="宋体" w:cs="宋体"/>
                <w:color w:val="auto"/>
                <w:szCs w:val="21"/>
                <w:highlight w:val="none"/>
              </w:rPr>
              <w:t>资格条件</w:t>
            </w:r>
          </w:p>
        </w:tc>
        <w:tc>
          <w:tcPr>
            <w:tcW w:w="5673"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2" w:firstLineChars="200"/>
              <w:jc w:val="both"/>
              <w:textAlignment w:val="auto"/>
              <w:rPr>
                <w:rFonts w:hint="eastAsia"/>
                <w:color w:val="auto"/>
                <w:szCs w:val="21"/>
                <w:highlight w:val="none"/>
                <w:lang w:eastAsia="zh-CN"/>
              </w:rPr>
            </w:pPr>
            <w:r>
              <w:rPr>
                <w:rFonts w:hint="eastAsia" w:ascii="宋体" w:hAnsi="宋体"/>
                <w:b/>
                <w:bCs/>
                <w:color w:val="auto"/>
                <w:szCs w:val="21"/>
                <w:highlight w:val="none"/>
                <w:lang w:eastAsia="zh-CN"/>
              </w:rPr>
              <w:t>（一）</w:t>
            </w:r>
            <w:r>
              <w:rPr>
                <w:rFonts w:hint="eastAsia" w:ascii="宋体" w:hAnsi="宋体"/>
                <w:b/>
                <w:bCs/>
                <w:color w:val="auto"/>
                <w:szCs w:val="21"/>
                <w:highlight w:val="none"/>
              </w:rPr>
              <w:t>基本资格条件：</w:t>
            </w:r>
            <w:r>
              <w:rPr>
                <w:rFonts w:hint="eastAsia" w:ascii="宋体" w:hAnsi="宋体"/>
                <w:color w:val="auto"/>
                <w:szCs w:val="21"/>
                <w:highlight w:val="none"/>
              </w:rPr>
              <w:t>符合《中华人民共和国政府采购法》第二十二条规定的供应商条件</w:t>
            </w:r>
            <w:r>
              <w:rPr>
                <w:rFonts w:hint="eastAsia" w:ascii="宋体" w:hAnsi="宋体"/>
                <w:color w:val="auto"/>
                <w:szCs w:val="21"/>
                <w:highlight w:val="none"/>
                <w:lang w:eastAsia="zh-CN"/>
              </w:rPr>
              <w:t>，</w:t>
            </w:r>
            <w:r>
              <w:rPr>
                <w:rFonts w:hint="eastAsia" w:ascii="宋体" w:hAnsi="宋体"/>
                <w:color w:val="auto"/>
                <w:szCs w:val="21"/>
                <w:highlight w:val="none"/>
              </w:rPr>
              <w:t>并提供以下</w:t>
            </w:r>
            <w:r>
              <w:rPr>
                <w:rFonts w:hint="eastAsia" w:ascii="宋体" w:hAnsi="宋体"/>
                <w:color w:val="auto"/>
                <w:szCs w:val="21"/>
                <w:highlight w:val="none"/>
                <w:lang w:eastAsia="zh-CN"/>
              </w:rPr>
              <w:t>证明材料</w:t>
            </w:r>
            <w:r>
              <w:rPr>
                <w:rFonts w:hint="eastAsia" w:ascii="宋体" w:hAnsi="宋体"/>
                <w:color w:val="auto"/>
                <w:szCs w:val="21"/>
                <w:highlight w:val="none"/>
              </w:rPr>
              <w:t>：</w:t>
            </w:r>
          </w:p>
          <w:p>
            <w:pPr>
              <w:pageBreakBefore w:val="0"/>
              <w:widowControl w:val="0"/>
              <w:kinsoku/>
              <w:wordWrap/>
              <w:overflowPunct/>
              <w:topLinePunct w:val="0"/>
              <w:autoSpaceDE/>
              <w:autoSpaceDN/>
              <w:bidi w:val="0"/>
              <w:adjustRightInd w:val="0"/>
              <w:snapToGrid w:val="0"/>
              <w:spacing w:before="156" w:beforeLines="50" w:line="320" w:lineRule="exact"/>
              <w:ind w:firstLine="480" w:firstLineChars="200"/>
              <w:textAlignment w:val="auto"/>
              <w:rPr>
                <w:rFonts w:hint="eastAsia" w:ascii="宋体" w:hAnsi="宋体"/>
                <w:szCs w:val="21"/>
                <w:lang w:val="en-US" w:eastAsia="zh-CN"/>
              </w:rPr>
            </w:pPr>
            <w:r>
              <w:rPr>
                <w:rFonts w:hint="eastAsia" w:ascii="宋体" w:hAnsi="宋体"/>
                <w:szCs w:val="21"/>
                <w:lang w:val="en-US" w:eastAsia="zh-CN"/>
              </w:rPr>
              <w:t>1、法人提交企业法人营业执照副本(或者法人登记证书)；</w:t>
            </w:r>
          </w:p>
          <w:p>
            <w:pPr>
              <w:pageBreakBefore w:val="0"/>
              <w:widowControl w:val="0"/>
              <w:kinsoku/>
              <w:wordWrap/>
              <w:overflowPunct/>
              <w:topLinePunct w:val="0"/>
              <w:autoSpaceDE/>
              <w:autoSpaceDN/>
              <w:bidi w:val="0"/>
              <w:adjustRightInd w:val="0"/>
              <w:snapToGrid w:val="0"/>
              <w:spacing w:before="156" w:beforeLines="50" w:line="320" w:lineRule="exact"/>
              <w:ind w:firstLine="480" w:firstLineChars="200"/>
              <w:textAlignment w:val="auto"/>
              <w:rPr>
                <w:rFonts w:hint="eastAsia" w:ascii="宋体" w:hAnsi="宋体"/>
                <w:szCs w:val="21"/>
                <w:lang w:val="en-US" w:eastAsia="zh-CN"/>
              </w:rPr>
            </w:pPr>
            <w:r>
              <w:rPr>
                <w:rFonts w:hint="eastAsia" w:ascii="宋体" w:hAnsi="宋体"/>
                <w:szCs w:val="21"/>
                <w:lang w:val="en-US" w:eastAsia="zh-CN"/>
              </w:rPr>
              <w:t>2、法定代表人提交法定代表人身份证明原件及有效身份证原件，委托代理人提交授权委托书原件并附法定代表人身份证明原件及有效身份证原件。</w:t>
            </w:r>
          </w:p>
          <w:p>
            <w:pPr>
              <w:pageBreakBefore w:val="0"/>
              <w:widowControl w:val="0"/>
              <w:kinsoku/>
              <w:wordWrap/>
              <w:overflowPunct/>
              <w:topLinePunct w:val="0"/>
              <w:autoSpaceDE/>
              <w:autoSpaceDN/>
              <w:bidi w:val="0"/>
              <w:adjustRightInd w:val="0"/>
              <w:snapToGrid w:val="0"/>
              <w:spacing w:before="156" w:beforeLines="50" w:line="320" w:lineRule="exact"/>
              <w:ind w:firstLine="480" w:firstLineChars="200"/>
              <w:textAlignment w:val="auto"/>
              <w:rPr>
                <w:rFonts w:hint="eastAsia" w:ascii="宋体" w:hAnsi="宋体"/>
                <w:szCs w:val="21"/>
                <w:lang w:val="en-US" w:eastAsia="zh-CN"/>
              </w:rPr>
            </w:pPr>
            <w:r>
              <w:rPr>
                <w:rFonts w:hint="eastAsia" w:ascii="宋体" w:hAnsi="宋体"/>
                <w:szCs w:val="21"/>
                <w:lang w:val="en-US" w:eastAsia="zh-CN"/>
              </w:rPr>
              <w:t>3、依法缴纳税收和社会保险费的证明材料,各提供下列材料之一:</w:t>
            </w:r>
          </w:p>
          <w:p>
            <w:pPr>
              <w:pageBreakBefore w:val="0"/>
              <w:widowControl w:val="0"/>
              <w:kinsoku/>
              <w:wordWrap/>
              <w:overflowPunct/>
              <w:topLinePunct w:val="0"/>
              <w:autoSpaceDE/>
              <w:autoSpaceDN/>
              <w:bidi w:val="0"/>
              <w:adjustRightInd w:val="0"/>
              <w:snapToGrid w:val="0"/>
              <w:spacing w:before="156" w:beforeLines="50" w:line="320" w:lineRule="exact"/>
              <w:ind w:firstLine="480" w:firstLineChars="200"/>
              <w:textAlignment w:val="auto"/>
              <w:rPr>
                <w:rFonts w:hint="eastAsia" w:ascii="宋体" w:hAnsi="宋体"/>
                <w:szCs w:val="21"/>
                <w:lang w:val="en-US" w:eastAsia="zh-CN"/>
              </w:rPr>
            </w:pPr>
            <w:r>
              <w:rPr>
                <w:rFonts w:hint="eastAsia" w:ascii="宋体" w:hAnsi="宋体"/>
                <w:szCs w:val="21"/>
                <w:lang w:val="en-US" w:eastAsia="zh-CN"/>
              </w:rPr>
              <w:t>⑴ 缴纳税收证明资料:《税务登记证》复印件，或者近三个月依法缴纳税收的证明（纳税凭证复印件），或者委托他人缴纳的委托代办协议和近三个月的缴纳证明（收据复印件），或者法定征收机关出具的依法免缴税收的证明原件。</w:t>
            </w:r>
          </w:p>
          <w:p>
            <w:pPr>
              <w:pageBreakBefore w:val="0"/>
              <w:widowControl w:val="0"/>
              <w:kinsoku/>
              <w:wordWrap/>
              <w:overflowPunct/>
              <w:topLinePunct w:val="0"/>
              <w:autoSpaceDE/>
              <w:autoSpaceDN/>
              <w:bidi w:val="0"/>
              <w:adjustRightInd w:val="0"/>
              <w:snapToGrid w:val="0"/>
              <w:spacing w:before="156" w:beforeLines="50" w:line="320" w:lineRule="exact"/>
              <w:ind w:firstLine="480" w:firstLineChars="200"/>
              <w:textAlignment w:val="auto"/>
              <w:rPr>
                <w:rFonts w:hint="eastAsia" w:ascii="宋体" w:hAnsi="宋体"/>
                <w:szCs w:val="21"/>
                <w:lang w:val="en-US" w:eastAsia="zh-CN"/>
              </w:rPr>
            </w:pPr>
            <w:r>
              <w:rPr>
                <w:rFonts w:hint="eastAsia" w:ascii="宋体" w:hAnsi="宋体"/>
                <w:szCs w:val="21"/>
                <w:lang w:val="en-US" w:eastAsia="zh-CN"/>
              </w:rPr>
              <w:t>⑵ 缴纳社会保险证明资料：《社会保险登记证》复印件，或者近三个月依法缴纳社会保险的证明（缴费凭证复印件），或者委托他人缴纳的委托代办协议和近三个月的缴纳证明（收据复印件），或者法定征收机关出具的依法免缴保险费的证明原件。</w:t>
            </w:r>
          </w:p>
          <w:p>
            <w:pPr>
              <w:pageBreakBefore w:val="0"/>
              <w:widowControl w:val="0"/>
              <w:kinsoku/>
              <w:wordWrap/>
              <w:overflowPunct/>
              <w:topLinePunct w:val="0"/>
              <w:autoSpaceDE/>
              <w:autoSpaceDN/>
              <w:bidi w:val="0"/>
              <w:adjustRightInd w:val="0"/>
              <w:snapToGrid w:val="0"/>
              <w:spacing w:before="156" w:beforeLines="50" w:line="320" w:lineRule="exact"/>
              <w:ind w:firstLine="480" w:firstLineChars="200"/>
              <w:textAlignment w:val="auto"/>
              <w:rPr>
                <w:rFonts w:hint="eastAsia" w:ascii="宋体" w:hAnsi="宋体"/>
                <w:szCs w:val="21"/>
                <w:lang w:val="en-US" w:eastAsia="zh-CN"/>
              </w:rPr>
            </w:pPr>
            <w:r>
              <w:rPr>
                <w:rFonts w:hint="eastAsia" w:ascii="宋体" w:hAnsi="宋体"/>
                <w:szCs w:val="21"/>
                <w:lang w:val="en-US" w:eastAsia="zh-CN"/>
              </w:rPr>
              <w:t>4、供应商提供2020年度经审计的财务报告（至少包含资产负债表、利润表和现金流量表）或银行资信证明或专业担保机构对供应商进行资信审查后出具投标担保函；</w:t>
            </w:r>
          </w:p>
          <w:p>
            <w:pPr>
              <w:pageBreakBefore w:val="0"/>
              <w:widowControl w:val="0"/>
              <w:kinsoku/>
              <w:wordWrap/>
              <w:overflowPunct/>
              <w:topLinePunct w:val="0"/>
              <w:autoSpaceDE/>
              <w:autoSpaceDN/>
              <w:bidi w:val="0"/>
              <w:adjustRightInd w:val="0"/>
              <w:snapToGrid w:val="0"/>
              <w:spacing w:before="156" w:beforeLines="50" w:line="320" w:lineRule="exact"/>
              <w:ind w:firstLine="482" w:firstLineChars="200"/>
              <w:textAlignment w:val="auto"/>
              <w:rPr>
                <w:rFonts w:ascii="宋体" w:hAnsi="宋体"/>
                <w:color w:val="auto"/>
                <w:szCs w:val="21"/>
              </w:rPr>
            </w:pPr>
            <w:r>
              <w:rPr>
                <w:rFonts w:hint="eastAsia" w:ascii="宋体" w:hAnsi="宋体"/>
                <w:b/>
                <w:bCs/>
                <w:szCs w:val="21"/>
                <w:lang w:eastAsia="zh-CN"/>
              </w:rPr>
              <w:t>（二）</w:t>
            </w:r>
            <w:r>
              <w:rPr>
                <w:rFonts w:hint="eastAsia" w:ascii="宋体" w:hAnsi="宋体"/>
                <w:b/>
                <w:bCs/>
                <w:szCs w:val="21"/>
              </w:rPr>
              <w:t>采购项目的特定资格条件</w:t>
            </w:r>
            <w:r>
              <w:rPr>
                <w:rFonts w:hint="eastAsia" w:ascii="宋体" w:hAnsi="宋体"/>
                <w:b/>
                <w:bCs/>
                <w:color w:val="auto"/>
                <w:szCs w:val="21"/>
              </w:rPr>
              <w:t>：</w:t>
            </w:r>
            <w:r>
              <w:rPr>
                <w:rFonts w:hint="eastAsia"/>
                <w:color w:val="auto"/>
              </w:rPr>
              <w:t>须同时具备</w:t>
            </w:r>
            <w:r>
              <w:rPr>
                <w:rFonts w:hint="eastAsia"/>
                <w:color w:val="auto"/>
                <w:lang w:eastAsia="zh-CN"/>
              </w:rPr>
              <w:t>国土空间</w:t>
            </w:r>
            <w:r>
              <w:rPr>
                <w:rFonts w:hint="eastAsia"/>
                <w:color w:val="auto"/>
              </w:rPr>
              <w:t>规划</w:t>
            </w:r>
            <w:r>
              <w:rPr>
                <w:rFonts w:hint="eastAsia"/>
                <w:color w:val="auto"/>
                <w:lang w:eastAsia="zh-CN"/>
              </w:rPr>
              <w:t>编制技术单位资质</w:t>
            </w:r>
            <w:r>
              <w:rPr>
                <w:rFonts w:hint="eastAsia"/>
                <w:color w:val="auto"/>
              </w:rPr>
              <w:t>、测绘</w:t>
            </w:r>
            <w:r>
              <w:rPr>
                <w:rFonts w:hint="eastAsia"/>
                <w:color w:val="auto"/>
                <w:lang w:eastAsia="zh-CN"/>
              </w:rPr>
              <w:t>丙</w:t>
            </w:r>
            <w:r>
              <w:rPr>
                <w:rFonts w:hint="eastAsia"/>
                <w:color w:val="auto"/>
              </w:rPr>
              <w:t>级及以上资质</w:t>
            </w:r>
            <w:r>
              <w:rPr>
                <w:rFonts w:hint="eastAsia" w:ascii="宋体" w:hAnsi="宋体"/>
                <w:color w:val="auto"/>
                <w:szCs w:val="21"/>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right="0" w:rightChars="0" w:firstLine="241" w:firstLineChars="100"/>
              <w:jc w:val="both"/>
              <w:textAlignment w:val="auto"/>
              <w:outlineLvl w:val="9"/>
              <w:rPr>
                <w:rFonts w:hint="eastAsia" w:ascii="宋体" w:hAnsi="宋体" w:eastAsia="宋体" w:cs="宋体"/>
                <w:b w:val="0"/>
                <w:bCs w:val="0"/>
                <w:color w:val="auto"/>
                <w:highlight w:val="none"/>
                <w:lang w:eastAsia="zh-CN"/>
              </w:rPr>
            </w:pPr>
            <w:r>
              <w:rPr>
                <w:rFonts w:hint="eastAsia" w:hAnsi="宋体"/>
                <w:b/>
                <w:bCs/>
                <w:color w:val="auto"/>
                <w:highlight w:val="none"/>
                <w:lang w:eastAsia="zh-CN"/>
              </w:rPr>
              <w:t>（三）说明：</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color w:val="auto"/>
                <w:szCs w:val="21"/>
                <w:highlight w:val="none"/>
                <w:lang w:eastAsia="zh-CN"/>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证明材料复印件须加盖供应商公章，原件需单独提交验证。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、单位负责人为同一人或者存在直接控股、管理关系的不同</w:t>
            </w:r>
            <w:r>
              <w:rPr>
                <w:rFonts w:hint="eastAsia" w:ascii="宋体" w:hAnsi="宋体"/>
                <w:color w:val="auto"/>
                <w:szCs w:val="21"/>
                <w:highlight w:val="none"/>
                <w:lang w:eastAsia="zh-CN"/>
              </w:rPr>
              <w:t>供应商</w:t>
            </w:r>
            <w:r>
              <w:rPr>
                <w:rFonts w:hint="eastAsia" w:ascii="宋体" w:hAnsi="宋体"/>
                <w:color w:val="auto"/>
                <w:szCs w:val="21"/>
                <w:highlight w:val="none"/>
              </w:rPr>
              <w:t>，不得参加同一合同项下的政府采购活动。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、列入失信被执行人、重大税收违法案件当事人名单，列入政府采购严重违法失信行为记录名单的，拒绝其参与政府采购活动。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highlight w:val="none"/>
                <w:lang w:val="en-US"/>
              </w:rPr>
            </w:pPr>
            <w:r>
              <w:rPr>
                <w:rFonts w:hint="eastAsia" w:ascii="宋体" w:hAnsi="宋体"/>
                <w:color w:val="auto"/>
                <w:szCs w:val="21"/>
                <w:highlight w:val="none"/>
                <w:lang w:val="en-US" w:eastAsia="zh-CN"/>
              </w:rPr>
              <w:t>4、供应商具有实行了“三证合一”登记制度改革的新证，视同为持有工商营业执照、组织机构代码证和税务登记证，符合基本资格条件的相关条款；供应商具有实行了“五证合一”登记制度改革的新证，视同为持有工商营业执照、组织机构代码证、税务登记证、社会保险登记证和统计登记证，符合基本资格条件的相关条款。（供应商实行了“三证合一”或“五证合一”的，请自行在响应文件中注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1" w:hRule="atLeast"/>
          <w:jc w:val="center"/>
        </w:trPr>
        <w:tc>
          <w:tcPr>
            <w:tcW w:w="12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第二章第6.1款</w:t>
            </w:r>
          </w:p>
        </w:tc>
        <w:tc>
          <w:tcPr>
            <w:tcW w:w="20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联合体形式</w:t>
            </w:r>
          </w:p>
        </w:tc>
        <w:tc>
          <w:tcPr>
            <w:tcW w:w="567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w:t>
            </w: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eastAsia="zh-CN"/>
              </w:rPr>
              <w:t>不</w:t>
            </w:r>
            <w:r>
              <w:rPr>
                <w:rFonts w:hint="eastAsia" w:ascii="宋体" w:hAnsi="宋体" w:eastAsia="宋体" w:cs="宋体"/>
                <w:color w:val="auto"/>
                <w:szCs w:val="21"/>
                <w:highlight w:val="none"/>
              </w:rPr>
              <w:t>接受</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12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第二章第6.2款</w:t>
            </w:r>
          </w:p>
        </w:tc>
        <w:tc>
          <w:tcPr>
            <w:tcW w:w="20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对联合体各方的要求</w:t>
            </w:r>
          </w:p>
        </w:tc>
        <w:tc>
          <w:tcPr>
            <w:tcW w:w="5673" w:type="dxa"/>
            <w:vAlign w:val="center"/>
          </w:tcPr>
          <w:p>
            <w:pPr>
              <w:keepNext w:val="0"/>
              <w:keepLines w:val="0"/>
              <w:pageBreakBefore w:val="0"/>
              <w:widowControl w:val="0"/>
              <w:kinsoku/>
              <w:wordWrap/>
              <w:overflowPunct/>
              <w:topLinePunct w:val="0"/>
              <w:autoSpaceDE/>
              <w:autoSpaceDN/>
              <w:bidi w:val="0"/>
              <w:adjustRightInd/>
              <w:snapToGrid/>
              <w:spacing w:line="360" w:lineRule="auto"/>
              <w:ind w:right="0" w:rightChars="0"/>
              <w:jc w:val="center"/>
              <w:textAlignment w:val="auto"/>
              <w:rPr>
                <w:rFonts w:hint="default"/>
                <w:color w:val="auto"/>
                <w:highlight w:val="none"/>
                <w:lang w:val="en-US" w:eastAsia="zh-CN"/>
              </w:rPr>
            </w:pPr>
            <w:r>
              <w:rPr>
                <w:rFonts w:hint="eastAsia"/>
                <w:b/>
                <w:bCs/>
                <w:color w:val="auto"/>
                <w:highlight w:val="none"/>
                <w:lang w:val="en-US"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第二章第7.1款</w:t>
            </w:r>
          </w:p>
        </w:tc>
        <w:tc>
          <w:tcPr>
            <w:tcW w:w="2081"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现场勘察</w:t>
            </w:r>
          </w:p>
        </w:tc>
        <w:tc>
          <w:tcPr>
            <w:tcW w:w="5673"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 xml:space="preserve">■ </w:t>
            </w:r>
            <w:r>
              <w:rPr>
                <w:rFonts w:hint="eastAsia" w:ascii="宋体" w:hAnsi="宋体" w:eastAsia="宋体" w:cs="宋体"/>
                <w:color w:val="auto"/>
                <w:szCs w:val="21"/>
                <w:highlight w:val="none"/>
              </w:rPr>
              <w:t>采购人不组织</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采购人组织，时间：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联系人：</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1218" w:type="dxa"/>
            <w:vAlign w:val="center"/>
          </w:tcPr>
          <w:p>
            <w:pPr>
              <w:adjustRightInd w:val="0"/>
              <w:snapToGrid w:val="0"/>
              <w:spacing w:line="240" w:lineRule="auto"/>
              <w:jc w:val="center"/>
              <w:rPr>
                <w:rFonts w:hint="eastAsia" w:ascii="宋体" w:hAnsi="宋体" w:eastAsia="宋体" w:cs="宋体"/>
                <w:color w:val="auto"/>
                <w:szCs w:val="21"/>
                <w:highlight w:val="none"/>
              </w:rPr>
            </w:pPr>
            <w:r>
              <w:rPr>
                <w:rFonts w:hint="eastAsia" w:ascii="宋体" w:hAnsi="宋体"/>
                <w:color w:val="auto"/>
                <w:szCs w:val="21"/>
                <w:highlight w:val="none"/>
              </w:rPr>
              <w:t>第二章第9.2款</w:t>
            </w:r>
          </w:p>
        </w:tc>
        <w:tc>
          <w:tcPr>
            <w:tcW w:w="2081" w:type="dxa"/>
            <w:vAlign w:val="center"/>
          </w:tcPr>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政府采购优先采购：</w:t>
            </w:r>
          </w:p>
          <w:p>
            <w:pPr>
              <w:adjustRightInd w:val="0"/>
              <w:snapToGrid w:val="0"/>
              <w:spacing w:line="360" w:lineRule="auto"/>
              <w:rPr>
                <w:rFonts w:hint="eastAsia" w:ascii="宋体" w:hAnsi="宋体" w:eastAsia="宋体" w:cs="宋体"/>
                <w:color w:val="auto"/>
                <w:szCs w:val="21"/>
                <w:highlight w:val="none"/>
              </w:rPr>
            </w:pPr>
            <w:r>
              <w:rPr>
                <w:rFonts w:hint="eastAsia" w:ascii="宋体" w:hAnsi="宋体" w:cs="宋体"/>
                <w:bCs/>
                <w:color w:val="auto"/>
                <w:kern w:val="0"/>
                <w:szCs w:val="21"/>
                <w:highlight w:val="none"/>
              </w:rPr>
              <w:t>支持</w:t>
            </w:r>
            <w:r>
              <w:rPr>
                <w:rFonts w:hint="eastAsia" w:ascii="宋体" w:hAnsi="宋体"/>
                <w:color w:val="auto"/>
                <w:szCs w:val="21"/>
                <w:highlight w:val="none"/>
              </w:rPr>
              <w:t>中小企业发展；</w:t>
            </w:r>
          </w:p>
        </w:tc>
        <w:tc>
          <w:tcPr>
            <w:tcW w:w="5673"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b/>
                <w:bCs/>
                <w:color w:val="auto"/>
                <w:szCs w:val="21"/>
                <w:highlight w:val="none"/>
              </w:rPr>
            </w:pPr>
            <w:r>
              <w:rPr>
                <w:rFonts w:hint="eastAsia" w:ascii="宋体" w:hAnsi="宋体"/>
                <w:b/>
                <w:bCs/>
                <w:color w:val="auto"/>
                <w:szCs w:val="21"/>
                <w:highlight w:val="none"/>
              </w:rPr>
              <w:t>非专门面向中小企业采购，且符合政府采购促进中小企业发展相关规定的：</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olor w:val="auto"/>
                <w:highlight w:val="none"/>
              </w:rPr>
            </w:pPr>
            <w:r>
              <w:rPr>
                <w:rFonts w:hint="eastAsia" w:ascii="宋体" w:hAnsi="宋体"/>
                <w:b/>
                <w:bCs/>
                <w:color w:val="auto"/>
                <w:szCs w:val="21"/>
                <w:highlight w:val="none"/>
              </w:rPr>
              <w:t>给予小型和微型企业产品的价格给予6%-10%的扣除，用扣除后的价格参与评审，本项目具体扣除比例为</w:t>
            </w:r>
            <w:r>
              <w:rPr>
                <w:rFonts w:hint="eastAsia" w:ascii="宋体" w:hAnsi="宋体"/>
                <w:b/>
                <w:bCs/>
                <w:color w:val="auto"/>
                <w:szCs w:val="21"/>
                <w:highlight w:val="none"/>
                <w:u w:val="single"/>
                <w:lang w:val="en-US" w:eastAsia="zh-CN"/>
              </w:rPr>
              <w:t>6</w:t>
            </w:r>
            <w:r>
              <w:rPr>
                <w:rFonts w:hint="eastAsia" w:ascii="宋体" w:hAnsi="宋体"/>
                <w:b/>
                <w:bCs/>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18"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第二章第9.6款</w:t>
            </w:r>
          </w:p>
        </w:tc>
        <w:tc>
          <w:tcPr>
            <w:tcW w:w="2081" w:type="dxa"/>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政府采购支持中小企业融资</w:t>
            </w:r>
          </w:p>
        </w:tc>
        <w:tc>
          <w:tcPr>
            <w:tcW w:w="5673" w:type="dxa"/>
            <w:vMerge w:val="restart"/>
            <w:tcBorders>
              <w:top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宋体" w:hAnsi="宋体" w:eastAsia="宋体" w:cs="宋体"/>
                <w:color w:val="auto"/>
                <w:szCs w:val="21"/>
                <w:highlight w:val="none"/>
              </w:rPr>
            </w:pPr>
            <w:r>
              <w:rPr>
                <w:rFonts w:hint="eastAsia" w:asciiTheme="minorEastAsia" w:hAnsiTheme="minorEastAsia" w:eastAsiaTheme="minorEastAsia"/>
                <w:color w:val="auto"/>
                <w:highlight w:val="none"/>
              </w:rPr>
              <w:t>供应商有融资、担保需求的，可登陆中国湖南政府采购网查询相关银行、担保机构业务。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121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p>
        </w:tc>
        <w:tc>
          <w:tcPr>
            <w:tcW w:w="20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政府采购信用</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担保</w:t>
            </w:r>
          </w:p>
        </w:tc>
        <w:tc>
          <w:tcPr>
            <w:tcW w:w="5673"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5" w:hRule="atLeast"/>
          <w:jc w:val="center"/>
        </w:trPr>
        <w:tc>
          <w:tcPr>
            <w:tcW w:w="1218"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zCs w:val="21"/>
                <w:highlight w:val="none"/>
              </w:rPr>
            </w:pPr>
          </w:p>
        </w:tc>
        <w:tc>
          <w:tcPr>
            <w:tcW w:w="2081" w:type="dxa"/>
            <w:vAlign w:val="center"/>
          </w:tcPr>
          <w:p>
            <w:pPr>
              <w:keepNext w:val="0"/>
              <w:keepLines w:val="0"/>
              <w:pageBreakBefore w:val="0"/>
              <w:widowControl w:val="0"/>
              <w:kinsoku/>
              <w:wordWrap/>
              <w:overflowPunct/>
              <w:topLinePunct w:val="0"/>
              <w:autoSpaceDE/>
              <w:autoSpaceDN/>
              <w:bidi w:val="0"/>
              <w:spacing w:line="240" w:lineRule="auto"/>
              <w:jc w:val="center"/>
              <w:textAlignment w:val="auto"/>
              <w:rPr>
                <w:rFonts w:hint="eastAsia" w:ascii="宋体" w:hAnsi="宋体" w:eastAsia="宋体" w:cs="宋体"/>
                <w:bCs/>
                <w:color w:val="auto"/>
                <w:kern w:val="0"/>
                <w:szCs w:val="21"/>
                <w:highlight w:val="none"/>
              </w:rPr>
            </w:pPr>
            <w:r>
              <w:rPr>
                <w:rFonts w:hint="eastAsia" w:ascii="宋体" w:hAnsi="宋体" w:eastAsia="宋体" w:cs="宋体"/>
                <w:color w:val="auto"/>
                <w:szCs w:val="21"/>
                <w:highlight w:val="none"/>
              </w:rPr>
              <w:t>法律、法规、规章和省级以上财政部门规定的其他内容</w:t>
            </w:r>
          </w:p>
        </w:tc>
        <w:tc>
          <w:tcPr>
            <w:tcW w:w="5673" w:type="dxa"/>
            <w:vAlign w:val="center"/>
          </w:tcPr>
          <w:p>
            <w:pPr>
              <w:keepNext w:val="0"/>
              <w:keepLines w:val="0"/>
              <w:pageBreakBefore w:val="0"/>
              <w:widowControl w:val="0"/>
              <w:kinsoku/>
              <w:wordWrap/>
              <w:overflowPunct/>
              <w:topLinePunct w:val="0"/>
              <w:autoSpaceDE/>
              <w:autoSpaceDN/>
              <w:bidi w:val="0"/>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湖南政府采购网 (www.ccgp-hunan.gov.cn)查询</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6" w:hRule="atLeast"/>
          <w:jc w:val="center"/>
        </w:trPr>
        <w:tc>
          <w:tcPr>
            <w:tcW w:w="897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二、磋商文件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第二章第10.2款</w:t>
            </w:r>
          </w:p>
        </w:tc>
        <w:tc>
          <w:tcPr>
            <w:tcW w:w="20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磋商文件的可能实质性变动内容</w:t>
            </w:r>
          </w:p>
        </w:tc>
        <w:tc>
          <w:tcPr>
            <w:tcW w:w="5673"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技术、服务要求</w:t>
            </w:r>
            <w:r>
              <w:rPr>
                <w:rFonts w:hint="eastAsia" w:ascii="宋体" w:hAnsi="宋体" w:cs="宋体"/>
                <w:color w:val="auto"/>
                <w:szCs w:val="21"/>
                <w:highlight w:val="none"/>
                <w:lang w:eastAsia="zh-CN"/>
              </w:rPr>
              <w:t>以及合同条款</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第二章第11.1款</w:t>
            </w:r>
          </w:p>
        </w:tc>
        <w:tc>
          <w:tcPr>
            <w:tcW w:w="20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提供磋商文件期限</w:t>
            </w:r>
          </w:p>
        </w:tc>
        <w:tc>
          <w:tcPr>
            <w:tcW w:w="5673"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highlight w:val="none"/>
              </w:rPr>
            </w:pPr>
            <w:r>
              <w:rPr>
                <w:rFonts w:hint="eastAsia" w:ascii="宋体" w:hAnsi="宋体"/>
                <w:color w:val="auto"/>
                <w:szCs w:val="21"/>
                <w:highlight w:val="none"/>
                <w:u w:val="single"/>
                <w:lang w:val="en-US" w:eastAsia="zh-CN"/>
              </w:rPr>
              <w:t xml:space="preserve"> 2021 </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 xml:space="preserve"> 7  </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 xml:space="preserve"> 22 </w:t>
            </w:r>
            <w:r>
              <w:rPr>
                <w:rFonts w:hint="eastAsia" w:ascii="宋体" w:hAnsi="宋体"/>
                <w:color w:val="auto"/>
                <w:szCs w:val="21"/>
                <w:highlight w:val="none"/>
              </w:rPr>
              <w:t>日</w:t>
            </w:r>
            <w:r>
              <w:rPr>
                <w:rFonts w:hint="eastAsia" w:ascii="宋体" w:hAnsi="宋体" w:eastAsia="宋体" w:cs="宋体"/>
                <w:color w:val="auto"/>
                <w:szCs w:val="21"/>
                <w:highlight w:val="none"/>
              </w:rPr>
              <w:t>起至</w:t>
            </w:r>
            <w:r>
              <w:rPr>
                <w:rFonts w:hint="eastAsia" w:ascii="宋体" w:hAnsi="宋体"/>
                <w:color w:val="auto"/>
                <w:szCs w:val="21"/>
                <w:highlight w:val="none"/>
                <w:u w:val="single"/>
                <w:lang w:val="en-US" w:eastAsia="zh-CN"/>
              </w:rPr>
              <w:t xml:space="preserve"> 2021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7</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u w:val="single"/>
                <w:lang w:val="en-US" w:eastAsia="zh-CN"/>
              </w:rPr>
              <w:t>29</w:t>
            </w:r>
            <w:r>
              <w:rPr>
                <w:rFonts w:hint="eastAsia" w:ascii="宋体" w:hAnsi="宋体"/>
                <w:color w:val="auto"/>
                <w:szCs w:val="21"/>
                <w:highlight w:val="none"/>
              </w:rPr>
              <w:t>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第二章第11.2款</w:t>
            </w:r>
          </w:p>
        </w:tc>
        <w:tc>
          <w:tcPr>
            <w:tcW w:w="20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领取或购买磋商文件时应提供的资料</w:t>
            </w:r>
          </w:p>
        </w:tc>
        <w:tc>
          <w:tcPr>
            <w:tcW w:w="567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见邀请公告</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94" w:hRule="atLeast"/>
          <w:jc w:val="center"/>
        </w:trPr>
        <w:tc>
          <w:tcPr>
            <w:tcW w:w="12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第二章第12.1款</w:t>
            </w:r>
          </w:p>
        </w:tc>
        <w:tc>
          <w:tcPr>
            <w:tcW w:w="20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提交首次响应文件的截止时间</w:t>
            </w:r>
          </w:p>
        </w:tc>
        <w:tc>
          <w:tcPr>
            <w:tcW w:w="5673"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highlight w:val="none"/>
              </w:rPr>
            </w:pPr>
            <w:r>
              <w:rPr>
                <w:rFonts w:hint="eastAsia" w:ascii="宋体" w:hAnsi="宋体"/>
                <w:color w:val="auto"/>
                <w:szCs w:val="21"/>
                <w:highlight w:val="none"/>
                <w:u w:val="single"/>
                <w:lang w:val="en-US" w:eastAsia="zh-CN"/>
              </w:rPr>
              <w:t xml:space="preserve">2021 </w:t>
            </w:r>
            <w:r>
              <w:rPr>
                <w:rFonts w:hint="eastAsia" w:ascii="宋体" w:hAnsi="宋体"/>
                <w:color w:val="auto"/>
                <w:szCs w:val="21"/>
                <w:highlight w:val="none"/>
              </w:rPr>
              <w:t>年</w:t>
            </w:r>
            <w:r>
              <w:rPr>
                <w:rFonts w:hint="eastAsia" w:ascii="宋体" w:hAnsi="宋体"/>
                <w:color w:val="auto"/>
                <w:szCs w:val="21"/>
                <w:highlight w:val="none"/>
                <w:u w:val="single"/>
                <w:lang w:val="en-US" w:eastAsia="zh-CN"/>
              </w:rPr>
              <w:t xml:space="preserve"> 8 </w:t>
            </w:r>
            <w:r>
              <w:rPr>
                <w:rFonts w:hint="eastAsia" w:ascii="宋体" w:hAnsi="宋体"/>
                <w:color w:val="auto"/>
                <w:szCs w:val="21"/>
                <w:highlight w:val="none"/>
              </w:rPr>
              <w:t>月</w:t>
            </w:r>
            <w:r>
              <w:rPr>
                <w:rFonts w:hint="eastAsia" w:ascii="宋体" w:hAnsi="宋体"/>
                <w:color w:val="auto"/>
                <w:szCs w:val="21"/>
                <w:highlight w:val="none"/>
                <w:u w:val="single"/>
                <w:lang w:val="en-US" w:eastAsia="zh-CN"/>
              </w:rPr>
              <w:t xml:space="preserve"> 5 </w:t>
            </w:r>
            <w:r>
              <w:rPr>
                <w:rFonts w:hint="eastAsia" w:ascii="宋体" w:hAnsi="宋体"/>
                <w:color w:val="auto"/>
                <w:szCs w:val="21"/>
                <w:highlight w:val="none"/>
              </w:rPr>
              <w:t>日</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val="en-US" w:eastAsia="zh-CN"/>
              </w:rPr>
              <w:t xml:space="preserve">9  </w:t>
            </w:r>
            <w:r>
              <w:rPr>
                <w:rFonts w:hint="eastAsia" w:ascii="宋体" w:hAnsi="宋体" w:eastAsia="宋体" w:cs="宋体"/>
                <w:color w:val="auto"/>
                <w:szCs w:val="21"/>
                <w:highlight w:val="none"/>
              </w:rPr>
              <w:t>时</w:t>
            </w:r>
            <w:r>
              <w:rPr>
                <w:rFonts w:hint="eastAsia" w:ascii="宋体" w:hAnsi="宋体" w:cs="宋体"/>
                <w:color w:val="auto"/>
                <w:szCs w:val="21"/>
                <w:highlight w:val="none"/>
                <w:u w:val="single"/>
                <w:lang w:val="en-US" w:eastAsia="zh-CN"/>
              </w:rPr>
              <w:t xml:space="preserve"> 30 </w:t>
            </w:r>
            <w:r>
              <w:rPr>
                <w:rFonts w:hint="eastAsia" w:ascii="宋体" w:hAnsi="宋体" w:eastAsia="宋体" w:cs="宋体"/>
                <w:color w:val="auto"/>
                <w:szCs w:val="21"/>
                <w:highlight w:val="none"/>
              </w:rPr>
              <w:t>分 (北京时间)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897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三、响应文件的编写</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第二章第16.4款</w:t>
            </w:r>
          </w:p>
        </w:tc>
        <w:tc>
          <w:tcPr>
            <w:tcW w:w="20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采购项目预算</w:t>
            </w:r>
          </w:p>
        </w:tc>
        <w:tc>
          <w:tcPr>
            <w:tcW w:w="5673" w:type="dxa"/>
            <w:vAlign w:val="center"/>
          </w:tcPr>
          <w:p>
            <w:pPr>
              <w:pStyle w:val="8"/>
              <w:spacing w:line="360" w:lineRule="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4"/>
                <w:szCs w:val="21"/>
                <w:highlight w:val="none"/>
                <w:lang w:val="en-US" w:eastAsia="zh-CN" w:bidi="ar-SA"/>
              </w:rPr>
              <w:t>人民币玖拾玖万圆整（￥990000.00元）</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第二章第19.1款</w:t>
            </w:r>
          </w:p>
        </w:tc>
        <w:tc>
          <w:tcPr>
            <w:tcW w:w="20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5673"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要求提供</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1、保证金数额：人民币</w:t>
            </w:r>
            <w:r>
              <w:rPr>
                <w:rFonts w:hint="eastAsia" w:ascii="宋体" w:hAnsi="宋体" w:eastAsia="宋体" w:cs="宋体"/>
                <w:color w:val="auto"/>
                <w:sz w:val="21"/>
                <w:szCs w:val="21"/>
                <w:highlight w:val="none"/>
                <w:lang w:eastAsia="zh-CN"/>
              </w:rPr>
              <w:t>壹</w:t>
            </w:r>
            <w:r>
              <w:rPr>
                <w:rFonts w:hint="eastAsia" w:ascii="宋体" w:hAnsi="宋体" w:eastAsia="宋体" w:cs="宋体"/>
                <w:color w:val="auto"/>
                <w:sz w:val="21"/>
                <w:szCs w:val="21"/>
                <w:highlight w:val="none"/>
              </w:rPr>
              <w:t>万</w:t>
            </w:r>
            <w:r>
              <w:rPr>
                <w:rFonts w:hint="eastAsia" w:ascii="宋体" w:hAnsi="宋体" w:eastAsia="宋体" w:cs="宋体"/>
                <w:color w:val="auto"/>
                <w:sz w:val="21"/>
                <w:szCs w:val="21"/>
                <w:highlight w:val="none"/>
                <w:lang w:eastAsia="zh-CN"/>
              </w:rPr>
              <w:t>伍仟</w:t>
            </w:r>
            <w:r>
              <w:rPr>
                <w:rFonts w:hint="eastAsia" w:ascii="宋体" w:hAnsi="宋体" w:eastAsia="宋体" w:cs="宋体"/>
                <w:color w:val="auto"/>
                <w:sz w:val="21"/>
                <w:szCs w:val="21"/>
                <w:highlight w:val="none"/>
              </w:rPr>
              <w:t>元整（￥</w:t>
            </w:r>
            <w:r>
              <w:rPr>
                <w:rFonts w:hint="eastAsia" w:ascii="宋体" w:hAnsi="宋体" w:eastAsia="宋体" w:cs="宋体"/>
                <w:color w:val="auto"/>
                <w:sz w:val="21"/>
                <w:szCs w:val="21"/>
                <w:highlight w:val="none"/>
                <w:lang w:val="en-US" w:eastAsia="zh-CN"/>
              </w:rPr>
              <w:t>15</w:t>
            </w:r>
            <w:r>
              <w:rPr>
                <w:rFonts w:hint="eastAsia" w:ascii="宋体" w:hAnsi="宋体" w:eastAsia="宋体" w:cs="宋体"/>
                <w:color w:val="auto"/>
                <w:sz w:val="21"/>
                <w:szCs w:val="21"/>
                <w:highlight w:val="none"/>
              </w:rPr>
              <w:t>000.00元）</w:t>
            </w:r>
          </w:p>
          <w:p>
            <w:pPr>
              <w:pageBreakBefore w:val="0"/>
              <w:widowControl w:val="0"/>
              <w:numPr>
                <w:ilvl w:val="0"/>
                <w:numId w:val="0"/>
              </w:numPr>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保证金递交方式：投标保证金必须是从供应商的基本账户转入</w:t>
            </w:r>
            <w:r>
              <w:rPr>
                <w:rFonts w:hint="eastAsia" w:ascii="宋体" w:hAnsi="宋体" w:cs="宋体"/>
                <w:color w:val="auto"/>
                <w:sz w:val="21"/>
                <w:szCs w:val="21"/>
                <w:highlight w:val="none"/>
                <w:lang w:eastAsia="zh-CN"/>
              </w:rPr>
              <w:t>采购</w:t>
            </w:r>
            <w:r>
              <w:rPr>
                <w:rFonts w:hint="eastAsia" w:ascii="宋体" w:hAnsi="宋体" w:eastAsia="宋体" w:cs="宋体"/>
                <w:color w:val="auto"/>
                <w:sz w:val="21"/>
                <w:szCs w:val="21"/>
                <w:highlight w:val="none"/>
              </w:rPr>
              <w:t>人指定账户。并在进账单备注栏中注明“</w:t>
            </w:r>
            <w:r>
              <w:rPr>
                <w:rFonts w:hint="eastAsia"/>
                <w:color w:val="auto"/>
                <w:highlight w:val="none"/>
                <w:lang w:eastAsia="zh-CN"/>
              </w:rPr>
              <w:t>隆回县耕地保护国土空间专项规划和耕地保护一张图项目</w:t>
            </w:r>
            <w:r>
              <w:rPr>
                <w:rFonts w:hint="eastAsia" w:ascii="宋体" w:hAnsi="宋体" w:eastAsia="宋体" w:cs="宋体"/>
                <w:color w:val="auto"/>
                <w:sz w:val="21"/>
                <w:szCs w:val="21"/>
                <w:highlight w:val="none"/>
              </w:rPr>
              <w:t>”的投标保证金。不接受以现金方式提交的投标保证金，以现金方式提交的投标保证金无效。</w:t>
            </w:r>
          </w:p>
          <w:p>
            <w:pPr>
              <w:pageBreakBefore w:val="0"/>
              <w:widowControl w:val="0"/>
              <w:numPr>
                <w:ilvl w:val="0"/>
                <w:numId w:val="0"/>
              </w:numPr>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投标保证金的形式：银行转账。</w:t>
            </w:r>
          </w:p>
          <w:p>
            <w:pPr>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4、投标保证金账户：</w:t>
            </w:r>
          </w:p>
          <w:p>
            <w:pPr>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账户名：</w:t>
            </w:r>
            <w:r>
              <w:rPr>
                <w:rFonts w:hint="eastAsia" w:ascii="宋体" w:hAnsi="宋体" w:eastAsia="宋体" w:cs="宋体"/>
                <w:color w:val="auto"/>
                <w:sz w:val="21"/>
                <w:szCs w:val="21"/>
                <w:highlight w:val="none"/>
                <w:lang w:eastAsia="zh-CN"/>
              </w:rPr>
              <w:t>龙武国际工程咨询有限公司隆回分公司</w:t>
            </w:r>
            <w:r>
              <w:rPr>
                <w:rFonts w:hint="eastAsia" w:ascii="宋体" w:hAnsi="宋体" w:eastAsia="宋体" w:cs="宋体"/>
                <w:color w:val="auto"/>
                <w:sz w:val="21"/>
                <w:szCs w:val="21"/>
                <w:highlight w:val="none"/>
              </w:rPr>
              <w:t xml:space="preserve"> </w:t>
            </w:r>
          </w:p>
          <w:p>
            <w:pPr>
              <w:pageBreakBefore w:val="0"/>
              <w:widowControl w:val="0"/>
              <w:kinsoku/>
              <w:wordWrap/>
              <w:overflowPunct/>
              <w:topLinePunct w:val="0"/>
              <w:autoSpaceDE/>
              <w:autoSpaceDN/>
              <w:bidi w:val="0"/>
              <w:adjustRightInd w:val="0"/>
              <w:snapToGrid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w:t>
            </w:r>
            <w:r>
              <w:rPr>
                <w:rFonts w:hint="eastAsia" w:ascii="宋体" w:hAnsi="宋体" w:eastAsia="宋体" w:cs="宋体"/>
                <w:color w:val="auto"/>
                <w:sz w:val="21"/>
                <w:szCs w:val="21"/>
                <w:highlight w:val="none"/>
                <w:lang w:eastAsia="zh-CN"/>
              </w:rPr>
              <w:t>户行：中国农业银行股份有限公司隆回县支行</w:t>
            </w:r>
          </w:p>
          <w:p>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银行帐号：</w:t>
            </w:r>
            <w:r>
              <w:rPr>
                <w:rFonts w:hint="eastAsia" w:ascii="宋体" w:hAnsi="宋体" w:eastAsia="宋体" w:cs="宋体"/>
                <w:b w:val="0"/>
                <w:bCs w:val="0"/>
                <w:color w:val="auto"/>
                <w:sz w:val="21"/>
                <w:szCs w:val="21"/>
                <w:highlight w:val="none"/>
                <w:lang w:val="en-US" w:eastAsia="zh-CN"/>
              </w:rPr>
              <w:t>18351901040007712</w:t>
            </w:r>
          </w:p>
          <w:p>
            <w:pPr>
              <w:pageBreakBefore w:val="0"/>
              <w:widowControl w:val="0"/>
              <w:kinsoku/>
              <w:wordWrap/>
              <w:overflowPunct/>
              <w:topLinePunct w:val="0"/>
              <w:autoSpaceDE/>
              <w:autoSpaceDN/>
              <w:bidi w:val="0"/>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pacing w:val="-8"/>
                <w:sz w:val="21"/>
                <w:szCs w:val="21"/>
                <w:highlight w:val="none"/>
              </w:rPr>
              <w:t>5、缴纳时间：</w:t>
            </w:r>
            <w:r>
              <w:rPr>
                <w:rFonts w:hint="eastAsia" w:ascii="宋体" w:hAnsi="宋体" w:eastAsia="宋体" w:cs="宋体"/>
                <w:color w:val="auto"/>
                <w:sz w:val="21"/>
                <w:szCs w:val="21"/>
                <w:highlight w:val="none"/>
              </w:rPr>
              <w:t>请将投标保证金于</w:t>
            </w:r>
            <w:r>
              <w:rPr>
                <w:rFonts w:hint="eastAsia" w:ascii="宋体" w:hAnsi="宋体" w:eastAsia="宋体" w:cs="宋体"/>
                <w:b/>
                <w:bCs/>
                <w:color w:val="auto"/>
                <w:sz w:val="21"/>
                <w:szCs w:val="21"/>
                <w:highlight w:val="none"/>
                <w:u w:val="single"/>
              </w:rPr>
              <w:t>20</w:t>
            </w:r>
            <w:r>
              <w:rPr>
                <w:rFonts w:hint="eastAsia" w:ascii="宋体" w:hAnsi="宋体" w:eastAsia="宋体" w:cs="宋体"/>
                <w:b/>
                <w:bCs/>
                <w:color w:val="auto"/>
                <w:sz w:val="21"/>
                <w:szCs w:val="21"/>
                <w:highlight w:val="none"/>
                <w:u w:val="single"/>
                <w:lang w:val="en-US" w:eastAsia="zh-CN"/>
              </w:rPr>
              <w:t>2</w:t>
            </w:r>
            <w:r>
              <w:rPr>
                <w:rFonts w:hint="eastAsia" w:ascii="宋体" w:hAnsi="宋体" w:cs="宋体"/>
                <w:b/>
                <w:bCs/>
                <w:color w:val="auto"/>
                <w:sz w:val="21"/>
                <w:szCs w:val="21"/>
                <w:highlight w:val="none"/>
                <w:u w:val="single"/>
                <w:lang w:val="en-US" w:eastAsia="zh-CN"/>
              </w:rPr>
              <w:t>1</w:t>
            </w:r>
            <w:r>
              <w:rPr>
                <w:rFonts w:hint="eastAsia" w:ascii="宋体" w:hAnsi="宋体" w:eastAsia="宋体" w:cs="宋体"/>
                <w:b/>
                <w:bCs/>
                <w:color w:val="auto"/>
                <w:sz w:val="21"/>
                <w:szCs w:val="21"/>
                <w:highlight w:val="none"/>
              </w:rPr>
              <w:t>年</w:t>
            </w:r>
            <w:r>
              <w:rPr>
                <w:rFonts w:ascii="宋体" w:hAnsi="宋体"/>
                <w:b/>
                <w:bCs/>
                <w:color w:val="auto"/>
                <w:szCs w:val="21"/>
                <w:highlight w:val="none"/>
                <w:u w:val="single"/>
              </w:rPr>
              <w:t xml:space="preserve"> </w:t>
            </w:r>
            <w:r>
              <w:rPr>
                <w:rFonts w:hint="eastAsia" w:ascii="宋体" w:hAnsi="宋体"/>
                <w:b/>
                <w:bCs/>
                <w:color w:val="auto"/>
                <w:szCs w:val="21"/>
                <w:highlight w:val="none"/>
                <w:u w:val="single"/>
                <w:lang w:val="en-US" w:eastAsia="zh-CN"/>
              </w:rPr>
              <w:t xml:space="preserve">8 </w:t>
            </w:r>
            <w:r>
              <w:rPr>
                <w:rFonts w:ascii="宋体" w:hAnsi="宋体"/>
                <w:b/>
                <w:bCs/>
                <w:color w:val="auto"/>
                <w:szCs w:val="21"/>
                <w:highlight w:val="none"/>
                <w:u w:val="single"/>
              </w:rPr>
              <w:t xml:space="preserve"> </w:t>
            </w:r>
            <w:r>
              <w:rPr>
                <w:rFonts w:hint="eastAsia" w:ascii="宋体" w:hAnsi="宋体"/>
                <w:b/>
                <w:bCs/>
                <w:color w:val="auto"/>
                <w:szCs w:val="21"/>
                <w:highlight w:val="none"/>
              </w:rPr>
              <w:t>月</w:t>
            </w:r>
            <w:r>
              <w:rPr>
                <w:rFonts w:ascii="宋体" w:hAnsi="宋体"/>
                <w:b/>
                <w:bCs/>
                <w:color w:val="auto"/>
                <w:szCs w:val="21"/>
                <w:highlight w:val="none"/>
                <w:u w:val="single"/>
              </w:rPr>
              <w:t xml:space="preserve"> </w:t>
            </w:r>
            <w:r>
              <w:rPr>
                <w:rFonts w:hint="eastAsia" w:ascii="宋体" w:hAnsi="宋体"/>
                <w:b/>
                <w:bCs/>
                <w:color w:val="auto"/>
                <w:szCs w:val="21"/>
                <w:highlight w:val="none"/>
                <w:u w:val="single"/>
                <w:lang w:val="en-US" w:eastAsia="zh-CN"/>
              </w:rPr>
              <w:t xml:space="preserve">4 </w:t>
            </w:r>
            <w:r>
              <w:rPr>
                <w:rFonts w:hint="eastAsia" w:ascii="宋体" w:hAnsi="宋体"/>
                <w:b/>
                <w:bCs/>
                <w:color w:val="auto"/>
                <w:szCs w:val="21"/>
                <w:highlight w:val="none"/>
              </w:rPr>
              <w:t>日</w:t>
            </w:r>
            <w:r>
              <w:rPr>
                <w:rFonts w:hint="eastAsia" w:ascii="宋体" w:hAnsi="宋体" w:eastAsia="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lang w:val="en-US" w:eastAsia="zh-CN"/>
              </w:rPr>
              <w:t xml:space="preserve">17 </w:t>
            </w:r>
            <w:r>
              <w:rPr>
                <w:rFonts w:hint="eastAsia" w:ascii="宋体" w:hAnsi="宋体" w:eastAsia="宋体" w:cs="宋体"/>
                <w:b/>
                <w:bCs/>
                <w:color w:val="auto"/>
                <w:szCs w:val="21"/>
                <w:highlight w:val="none"/>
              </w:rPr>
              <w:t>时</w:t>
            </w:r>
            <w:r>
              <w:rPr>
                <w:rFonts w:hint="eastAsia" w:ascii="宋体" w:hAnsi="宋体" w:cs="宋体"/>
                <w:b/>
                <w:bCs/>
                <w:color w:val="auto"/>
                <w:szCs w:val="21"/>
                <w:highlight w:val="none"/>
                <w:u w:val="single"/>
                <w:lang w:val="en-US" w:eastAsia="zh-CN"/>
              </w:rPr>
              <w:t xml:space="preserve"> 30 </w:t>
            </w:r>
            <w:r>
              <w:rPr>
                <w:rFonts w:hint="eastAsia" w:ascii="宋体" w:hAnsi="宋体" w:eastAsia="宋体" w:cs="宋体"/>
                <w:b/>
                <w:bCs/>
                <w:color w:val="auto"/>
                <w:szCs w:val="21"/>
                <w:highlight w:val="none"/>
              </w:rPr>
              <w:t>分</w:t>
            </w:r>
            <w:r>
              <w:rPr>
                <w:rFonts w:hint="eastAsia" w:ascii="宋体" w:hAnsi="宋体" w:eastAsia="宋体" w:cs="宋体"/>
                <w:color w:val="auto"/>
                <w:sz w:val="21"/>
                <w:szCs w:val="21"/>
                <w:highlight w:val="none"/>
              </w:rPr>
              <w:t>前转入投标保证金的托管帐户</w:t>
            </w:r>
            <w:r>
              <w:rPr>
                <w:rFonts w:hint="eastAsia" w:ascii="宋体" w:hAnsi="宋体" w:eastAsia="宋体" w:cs="宋体"/>
                <w:bCs/>
                <w:color w:val="auto"/>
                <w:spacing w:val="-8"/>
                <w:sz w:val="21"/>
                <w:szCs w:val="21"/>
                <w:highlight w:val="none"/>
              </w:rPr>
              <w:t>，以银行到账回单为准，</w:t>
            </w:r>
            <w:r>
              <w:rPr>
                <w:rFonts w:hint="eastAsia" w:ascii="宋体" w:hAnsi="宋体" w:eastAsia="宋体" w:cs="宋体"/>
                <w:color w:val="auto"/>
                <w:sz w:val="21"/>
                <w:szCs w:val="21"/>
                <w:highlight w:val="none"/>
              </w:rPr>
              <w:t>未按时足额缴纳投标保证金的，其投标将被拒绝，开标时凭进账单验证（</w:t>
            </w:r>
            <w:r>
              <w:rPr>
                <w:rFonts w:hint="eastAsia" w:ascii="宋体" w:hAnsi="宋体" w:eastAsia="宋体" w:cs="宋体"/>
                <w:b/>
                <w:color w:val="auto"/>
                <w:kern w:val="0"/>
                <w:sz w:val="21"/>
                <w:szCs w:val="21"/>
                <w:highlight w:val="none"/>
              </w:rPr>
              <w:t>★</w:t>
            </w:r>
            <w:r>
              <w:rPr>
                <w:rFonts w:hint="eastAsia" w:ascii="宋体" w:hAnsi="宋体" w:eastAsia="宋体" w:cs="宋体"/>
                <w:color w:val="auto"/>
                <w:sz w:val="21"/>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第二章第19.</w:t>
            </w: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款</w:t>
            </w:r>
          </w:p>
        </w:tc>
        <w:tc>
          <w:tcPr>
            <w:tcW w:w="2081" w:type="dxa"/>
            <w:vAlign w:val="center"/>
          </w:tcPr>
          <w:p>
            <w:pPr>
              <w:jc w:val="cente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履约担保</w:t>
            </w:r>
          </w:p>
        </w:tc>
        <w:tc>
          <w:tcPr>
            <w:tcW w:w="5673" w:type="dxa"/>
            <w:vAlign w:val="center"/>
          </w:tcPr>
          <w:p>
            <w:pPr>
              <w:adjustRightInd w:val="0"/>
              <w:snapToGrid w:val="0"/>
              <w:spacing w:line="360" w:lineRule="auto"/>
              <w:rPr>
                <w:rFonts w:hint="eastAsia" w:ascii="宋体" w:hAnsi="宋体" w:eastAsia="宋体" w:cs="宋体"/>
                <w:color w:val="auto"/>
                <w:szCs w:val="21"/>
                <w:highlight w:val="none"/>
                <w:lang w:val="en-US" w:eastAsia="zh-CN"/>
              </w:rPr>
            </w:pPr>
            <w:r>
              <w:rPr>
                <w:rFonts w:ascii="Wingdings" w:hAnsi="Wingdings" w:cs="Wingdings"/>
                <w:color w:val="000000"/>
              </w:rPr>
              <w:t></w:t>
            </w:r>
            <w:r>
              <w:rPr>
                <w:rFonts w:hint="eastAsia" w:ascii="宋体" w:hAnsi="宋体"/>
                <w:color w:val="000000"/>
                <w:szCs w:val="21"/>
              </w:rPr>
              <w:t>不要求提供</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第二章第20.1款</w:t>
            </w:r>
          </w:p>
        </w:tc>
        <w:tc>
          <w:tcPr>
            <w:tcW w:w="20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响应文件有效期</w:t>
            </w:r>
          </w:p>
        </w:tc>
        <w:tc>
          <w:tcPr>
            <w:tcW w:w="5673"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90日（日历日）</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87" w:hRule="atLeast"/>
          <w:jc w:val="center"/>
        </w:trPr>
        <w:tc>
          <w:tcPr>
            <w:tcW w:w="12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第二章第21.1款</w:t>
            </w:r>
          </w:p>
        </w:tc>
        <w:tc>
          <w:tcPr>
            <w:tcW w:w="20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响应文件份数</w:t>
            </w:r>
          </w:p>
        </w:tc>
        <w:tc>
          <w:tcPr>
            <w:tcW w:w="5673"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五</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份（一正四副，副本可为正本复印件，正副本均可双面打印，响应文件须胶装。）</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highlight w:val="none"/>
              </w:rPr>
            </w:pPr>
            <w:r>
              <w:rPr>
                <w:rFonts w:hint="eastAsia"/>
                <w:color w:val="auto"/>
                <w:highlight w:val="none"/>
                <w:lang w:val="en-US" w:eastAsia="zh-CN"/>
              </w:rPr>
              <w:t>响应文件电子文档（U盘或光盘形式）：一份。</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897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四、响应文件的递交</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第二章第22.2款</w:t>
            </w:r>
          </w:p>
        </w:tc>
        <w:tc>
          <w:tcPr>
            <w:tcW w:w="20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封套上应载明的信息</w:t>
            </w:r>
          </w:p>
        </w:tc>
        <w:tc>
          <w:tcPr>
            <w:tcW w:w="5673" w:type="dxa"/>
            <w:vAlign w:val="center"/>
          </w:tcPr>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项目名称) 响应文件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color w:val="auto"/>
                <w:szCs w:val="21"/>
                <w:highlight w:val="none"/>
                <w:u w:val="single"/>
                <w:lang w:val="en-US" w:eastAsia="zh-CN"/>
              </w:rPr>
            </w:pPr>
            <w:r>
              <w:rPr>
                <w:rFonts w:hint="eastAsia" w:ascii="宋体" w:hAnsi="宋体" w:eastAsia="宋体" w:cs="宋体"/>
                <w:color w:val="auto"/>
                <w:szCs w:val="21"/>
                <w:highlight w:val="none"/>
              </w:rPr>
              <w:t>政府采购编号：</w:t>
            </w:r>
            <w:r>
              <w:rPr>
                <w:rFonts w:hint="eastAsia" w:ascii="宋体" w:hAnsi="宋体" w:cs="宋体"/>
                <w:color w:val="auto"/>
                <w:szCs w:val="21"/>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包或品目名：</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w:t>
            </w:r>
            <w:r>
              <w:rPr>
                <w:rFonts w:hint="eastAsia" w:ascii="宋体" w:hAnsi="宋体"/>
                <w:b/>
                <w:bCs/>
                <w:color w:val="auto"/>
                <w:szCs w:val="21"/>
                <w:highlight w:val="none"/>
                <w:u w:val="single"/>
                <w:lang w:val="en-US" w:eastAsia="zh-CN"/>
              </w:rPr>
              <w:t xml:space="preserve"> 2021 </w:t>
            </w:r>
            <w:r>
              <w:rPr>
                <w:rFonts w:hint="eastAsia" w:ascii="宋体" w:hAnsi="宋体"/>
                <w:b/>
                <w:bCs/>
                <w:color w:val="auto"/>
                <w:szCs w:val="21"/>
                <w:highlight w:val="none"/>
              </w:rPr>
              <w:t>年</w:t>
            </w:r>
            <w:r>
              <w:rPr>
                <w:rFonts w:hint="eastAsia" w:ascii="宋体" w:hAnsi="宋体"/>
                <w:b/>
                <w:bCs/>
                <w:color w:val="auto"/>
                <w:szCs w:val="21"/>
                <w:highlight w:val="none"/>
                <w:u w:val="single"/>
                <w:lang w:val="en-US" w:eastAsia="zh-CN"/>
              </w:rPr>
              <w:t xml:space="preserve"> 8</w:t>
            </w:r>
            <w:r>
              <w:rPr>
                <w:rFonts w:ascii="宋体" w:hAnsi="宋体"/>
                <w:b/>
                <w:bCs/>
                <w:color w:val="auto"/>
                <w:szCs w:val="21"/>
                <w:highlight w:val="none"/>
                <w:u w:val="single"/>
              </w:rPr>
              <w:t xml:space="preserve"> </w:t>
            </w:r>
            <w:r>
              <w:rPr>
                <w:rFonts w:hint="eastAsia" w:ascii="宋体" w:hAnsi="宋体"/>
                <w:b/>
                <w:bCs/>
                <w:color w:val="auto"/>
                <w:szCs w:val="21"/>
                <w:highlight w:val="none"/>
              </w:rPr>
              <w:t>月</w:t>
            </w:r>
            <w:r>
              <w:rPr>
                <w:rFonts w:hint="eastAsia" w:ascii="宋体" w:hAnsi="宋体"/>
                <w:b/>
                <w:bCs/>
                <w:color w:val="auto"/>
                <w:szCs w:val="21"/>
                <w:highlight w:val="none"/>
                <w:u w:val="single"/>
                <w:lang w:val="en-US" w:eastAsia="zh-CN"/>
              </w:rPr>
              <w:t xml:space="preserve"> 5 </w:t>
            </w:r>
            <w:r>
              <w:rPr>
                <w:rFonts w:hint="eastAsia" w:ascii="宋体" w:hAnsi="宋体"/>
                <w:b/>
                <w:bCs/>
                <w:color w:val="auto"/>
                <w:szCs w:val="21"/>
                <w:highlight w:val="none"/>
              </w:rPr>
              <w:t>日</w:t>
            </w:r>
            <w:r>
              <w:rPr>
                <w:rFonts w:hint="eastAsia" w:ascii="宋体" w:hAnsi="宋体" w:eastAsia="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lang w:val="en-US" w:eastAsia="zh-CN"/>
              </w:rPr>
              <w:t>9</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时</w:t>
            </w:r>
            <w:r>
              <w:rPr>
                <w:rFonts w:hint="eastAsia" w:ascii="宋体" w:hAnsi="宋体" w:eastAsia="宋体" w:cs="宋体"/>
                <w:b/>
                <w:bCs/>
                <w:color w:val="auto"/>
                <w:szCs w:val="21"/>
                <w:highlight w:val="none"/>
                <w:u w:val="single"/>
                <w:lang w:val="en-US" w:eastAsia="zh-CN"/>
              </w:rPr>
              <w:t xml:space="preserve"> </w:t>
            </w:r>
            <w:r>
              <w:rPr>
                <w:rFonts w:hint="eastAsia" w:ascii="宋体" w:hAnsi="宋体" w:cs="宋体"/>
                <w:b/>
                <w:bCs/>
                <w:color w:val="auto"/>
                <w:szCs w:val="21"/>
                <w:highlight w:val="none"/>
                <w:u w:val="single"/>
                <w:lang w:val="en-US" w:eastAsia="zh-CN"/>
              </w:rPr>
              <w:t>30</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分</w:t>
            </w:r>
            <w:r>
              <w:rPr>
                <w:rFonts w:hint="eastAsia" w:ascii="宋体" w:hAnsi="宋体" w:eastAsia="宋体" w:cs="宋体"/>
                <w:color w:val="auto"/>
                <w:szCs w:val="21"/>
                <w:highlight w:val="none"/>
              </w:rPr>
              <w:t>之前不得启封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12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第二章第24.1款</w:t>
            </w:r>
          </w:p>
        </w:tc>
        <w:tc>
          <w:tcPr>
            <w:tcW w:w="20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响应文件的</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递交地点</w:t>
            </w:r>
          </w:p>
        </w:tc>
        <w:tc>
          <w:tcPr>
            <w:tcW w:w="567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湖南省隆回县广电大厦阳光家园对面(</w:t>
            </w:r>
            <w:r>
              <w:rPr>
                <w:rFonts w:hint="eastAsia" w:ascii="宋体" w:hAnsi="宋体" w:cs="宋体"/>
                <w:b/>
                <w:bCs/>
                <w:color w:val="auto"/>
                <w:szCs w:val="21"/>
                <w:highlight w:val="none"/>
                <w:lang w:eastAsia="zh-CN"/>
              </w:rPr>
              <w:t>龙武国际工程咨询有限公司隆回分公司</w:t>
            </w:r>
            <w:r>
              <w:rPr>
                <w:rFonts w:hint="eastAsia" w:ascii="宋体" w:hAnsi="宋体" w:eastAsia="宋体" w:cs="宋体"/>
                <w:b/>
                <w:bCs/>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97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五、响应文件的磋商与评审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0" w:hRule="atLeast"/>
          <w:jc w:val="center"/>
        </w:trPr>
        <w:tc>
          <w:tcPr>
            <w:tcW w:w="12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第二章第31.2款</w:t>
            </w:r>
          </w:p>
        </w:tc>
        <w:tc>
          <w:tcPr>
            <w:tcW w:w="20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评审因素和标准</w:t>
            </w:r>
          </w:p>
        </w:tc>
        <w:tc>
          <w:tcPr>
            <w:tcW w:w="567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见附页</w:t>
            </w:r>
            <w:r>
              <w:rPr>
                <w:rFonts w:hint="eastAsia" w:ascii="宋体" w:hAnsi="宋体" w:cs="宋体"/>
                <w:bCs/>
                <w:color w:val="auto"/>
                <w:szCs w:val="21"/>
                <w:highlight w:val="none"/>
                <w:lang w:val="en-US" w:eastAsia="zh-CN"/>
              </w:rPr>
              <w:t>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第二章第31.3款</w:t>
            </w:r>
          </w:p>
        </w:tc>
        <w:tc>
          <w:tcPr>
            <w:tcW w:w="2081" w:type="dxa"/>
            <w:vAlign w:val="center"/>
          </w:tcPr>
          <w:p>
            <w:pPr>
              <w:keepNext w:val="0"/>
              <w:keepLines w:val="0"/>
              <w:pageBreakBefore w:val="0"/>
              <w:widowControl w:val="0"/>
              <w:kinsoku/>
              <w:wordWrap/>
              <w:overflowPunct/>
              <w:topLinePunct w:val="0"/>
              <w:autoSpaceDE/>
              <w:autoSpaceDN/>
              <w:bidi w:val="0"/>
              <w:adjustRightInd w:val="0"/>
              <w:snapToGrid w:val="0"/>
              <w:spacing w:before="156"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最后报价</w:t>
            </w:r>
            <w:r>
              <w:rPr>
                <w:rFonts w:hint="eastAsia" w:ascii="宋体" w:hAnsi="宋体" w:eastAsia="宋体" w:cs="宋体"/>
                <w:color w:val="auto"/>
                <w:szCs w:val="21"/>
                <w:highlight w:val="none"/>
              </w:rPr>
              <w:t>调整</w:t>
            </w:r>
          </w:p>
        </w:tc>
        <w:tc>
          <w:tcPr>
            <w:tcW w:w="5673" w:type="dxa"/>
            <w:vAlign w:val="center"/>
          </w:tcPr>
          <w:p>
            <w:pPr>
              <w:keepNext w:val="0"/>
              <w:keepLines w:val="0"/>
              <w:pageBreakBefore w:val="0"/>
              <w:widowControl w:val="0"/>
              <w:kinsoku/>
              <w:wordWrap/>
              <w:overflowPunct/>
              <w:topLinePunct w:val="0"/>
              <w:autoSpaceDE/>
              <w:autoSpaceDN/>
              <w:bidi w:val="0"/>
              <w:adjustRightInd w:val="0"/>
              <w:snapToGrid w:val="0"/>
              <w:spacing w:before="156" w:line="360" w:lineRule="auto"/>
              <w:textAlignment w:val="auto"/>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政府采购支持中小企业发展：</w:t>
            </w:r>
            <w:r>
              <w:rPr>
                <w:rFonts w:hint="eastAsia" w:ascii="宋体" w:hAnsi="宋体" w:eastAsia="宋体" w:cs="宋体"/>
                <w:color w:val="auto"/>
                <w:szCs w:val="21"/>
                <w:highlight w:val="none"/>
              </w:rPr>
              <w:t>小型或微型企业，</w:t>
            </w:r>
            <w:r>
              <w:rPr>
                <w:rFonts w:hint="eastAsia" w:ascii="宋体" w:hAnsi="宋体" w:eastAsia="宋体" w:cs="宋体"/>
                <w:color w:val="auto"/>
                <w:kern w:val="0"/>
                <w:szCs w:val="21"/>
                <w:highlight w:val="none"/>
              </w:rPr>
              <w:t>最后报价</w:t>
            </w:r>
            <w:r>
              <w:rPr>
                <w:rFonts w:hint="eastAsia" w:ascii="宋体" w:hAnsi="宋体" w:eastAsia="宋体" w:cs="宋体"/>
                <w:color w:val="auto"/>
                <w:szCs w:val="21"/>
                <w:highlight w:val="none"/>
              </w:rPr>
              <w:t>扣除比例为</w:t>
            </w:r>
            <w:r>
              <w:rPr>
                <w:rFonts w:hint="eastAsia" w:ascii="宋体" w:hAnsi="宋体" w:cs="宋体"/>
                <w:color w:val="auto"/>
                <w:szCs w:val="21"/>
                <w:highlight w:val="none"/>
                <w:u w:val="single"/>
                <w:lang w:val="en-US" w:eastAsia="zh-CN"/>
              </w:rPr>
              <w:t>6</w:t>
            </w:r>
            <w:r>
              <w:rPr>
                <w:rFonts w:hint="eastAsia" w:ascii="宋体" w:hAnsi="宋体" w:eastAsia="宋体" w:cs="宋体"/>
                <w:color w:val="auto"/>
                <w:szCs w:val="21"/>
                <w:highlight w:val="none"/>
              </w:rPr>
              <w:t>％。评审时，用扣除后的最后报价计算价格分。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97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六、成交结果信息公布与授予合同</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12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第二章第37.1款、</w:t>
            </w:r>
          </w:p>
        </w:tc>
        <w:tc>
          <w:tcPr>
            <w:tcW w:w="20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财政部门指定的媒体</w:t>
            </w:r>
          </w:p>
        </w:tc>
        <w:tc>
          <w:tcPr>
            <w:tcW w:w="5673" w:type="dxa"/>
            <w:vAlign w:val="center"/>
          </w:tcPr>
          <w:p>
            <w:pPr>
              <w:pageBreakBefore w:val="0"/>
              <w:widowControl w:val="0"/>
              <w:kinsoku/>
              <w:wordWrap/>
              <w:overflowPunct/>
              <w:topLinePunct w:val="0"/>
              <w:autoSpaceDE/>
              <w:autoSpaceDN/>
              <w:bidi w:val="0"/>
              <w:adjustRightInd w:val="0"/>
              <w:snapToGrid w:val="0"/>
              <w:spacing w:line="360" w:lineRule="exact"/>
              <w:textAlignment w:val="auto"/>
              <w:rPr>
                <w:rFonts w:hint="eastAsia"/>
                <w:color w:val="auto"/>
                <w:highlight w:val="none"/>
              </w:rPr>
            </w:pPr>
            <w:r>
              <w:rPr>
                <w:rFonts w:hint="eastAsia"/>
                <w:color w:val="auto"/>
                <w:highlight w:val="none"/>
              </w:rPr>
              <w:t>中国·湖南政府采购网(www.ccgp-hunan.gov.cn)</w:t>
            </w:r>
          </w:p>
          <w:p>
            <w:pPr>
              <w:pageBreakBefore w:val="0"/>
              <w:widowControl w:val="0"/>
              <w:kinsoku/>
              <w:wordWrap/>
              <w:overflowPunct/>
              <w:topLinePunct w:val="0"/>
              <w:autoSpaceDE/>
              <w:autoSpaceDN/>
              <w:bidi w:val="0"/>
              <w:adjustRightInd w:val="0"/>
              <w:snapToGrid w:val="0"/>
              <w:spacing w:line="360" w:lineRule="exact"/>
              <w:textAlignment w:val="auto"/>
              <w:rPr>
                <w:rFonts w:hint="eastAsia"/>
                <w:color w:val="auto"/>
                <w:highlight w:val="none"/>
                <w:lang w:val="en-US" w:eastAsia="zh-CN"/>
              </w:rPr>
            </w:pPr>
            <w:r>
              <w:rPr>
                <w:rFonts w:hint="eastAsia"/>
                <w:color w:val="auto"/>
                <w:highlight w:val="none"/>
                <w:lang w:val="en-US" w:eastAsia="zh-CN"/>
              </w:rPr>
              <w:t>隆回县人民政府门户网政府采购栏目（www.longhui.gov.cn/）</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0" w:hRule="atLeast"/>
          <w:jc w:val="center"/>
        </w:trPr>
        <w:tc>
          <w:tcPr>
            <w:tcW w:w="8972"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七、其他规定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12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第二章第41.1款</w:t>
            </w:r>
          </w:p>
        </w:tc>
        <w:tc>
          <w:tcPr>
            <w:tcW w:w="20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采购代理服务费</w:t>
            </w:r>
          </w:p>
        </w:tc>
        <w:tc>
          <w:tcPr>
            <w:tcW w:w="5673" w:type="dxa"/>
            <w:vAlign w:val="center"/>
          </w:tcPr>
          <w:p>
            <w:pPr>
              <w:adjustRightInd w:val="0"/>
              <w:snapToGrid w:val="0"/>
              <w:spacing w:before="156" w:beforeLines="50" w:line="360" w:lineRule="auto"/>
              <w:rPr>
                <w:rFonts w:hint="eastAsia" w:ascii="宋体" w:hAnsi="宋体" w:eastAsia="宋体" w:cs="宋体"/>
                <w:color w:val="auto"/>
                <w:szCs w:val="21"/>
                <w:highlight w:val="none"/>
                <w:u w:val="single"/>
              </w:rPr>
            </w:pPr>
            <w:r>
              <w:rPr>
                <w:rFonts w:hint="eastAsia" w:ascii="宋体" w:hAnsi="宋体"/>
                <w:color w:val="auto"/>
                <w:szCs w:val="21"/>
                <w:highlight w:val="none"/>
                <w:lang w:val="en-US" w:eastAsia="zh-CN"/>
              </w:rPr>
              <w:t>由成交供应商在领取《成交通知书》前一次性向采购代理机构交纳人民币14850元代理服务费。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218"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第二章第42.1款</w:t>
            </w:r>
          </w:p>
        </w:tc>
        <w:tc>
          <w:tcPr>
            <w:tcW w:w="208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其他规定</w:t>
            </w:r>
          </w:p>
        </w:tc>
        <w:tc>
          <w:tcPr>
            <w:tcW w:w="5673"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tc>
      </w:tr>
    </w:tbl>
    <w:p>
      <w:pPr>
        <w:spacing w:line="360" w:lineRule="auto"/>
        <w:rPr>
          <w:rFonts w:hint="eastAsia" w:ascii="宋体" w:hAnsi="宋体" w:eastAsia="宋体" w:cs="宋体"/>
          <w:color w:val="auto"/>
          <w:kern w:val="0"/>
          <w:szCs w:val="21"/>
          <w:highlight w:val="none"/>
          <w:u w:val="single"/>
        </w:rPr>
      </w:pPr>
      <w:r>
        <w:rPr>
          <w:rFonts w:hint="eastAsia" w:ascii="宋体" w:hAnsi="宋体" w:eastAsia="宋体" w:cs="宋体"/>
          <w:b/>
          <w:bCs/>
          <w:color w:val="auto"/>
          <w:szCs w:val="21"/>
          <w:highlight w:val="none"/>
        </w:rPr>
        <w:br w:type="page"/>
      </w:r>
    </w:p>
    <w:p>
      <w:p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1"/>
          <w:szCs w:val="21"/>
          <w:highlight w:val="none"/>
        </w:rPr>
        <w:t>附页</w:t>
      </w:r>
      <w:r>
        <w:rPr>
          <w:rFonts w:hint="eastAsia" w:ascii="宋体" w:hAnsi="宋体" w:cs="宋体"/>
          <w:b/>
          <w:color w:val="auto"/>
          <w:sz w:val="21"/>
          <w:szCs w:val="21"/>
          <w:highlight w:val="none"/>
          <w:lang w:val="en-US" w:eastAsia="zh-CN"/>
        </w:rPr>
        <w:t>1</w:t>
      </w:r>
      <w:r>
        <w:rPr>
          <w:rFonts w:hint="eastAsia" w:ascii="宋体" w:hAnsi="宋体" w:eastAsia="宋体" w:cs="宋体"/>
          <w:b/>
          <w:color w:val="auto"/>
          <w:sz w:val="28"/>
          <w:szCs w:val="28"/>
          <w:highlight w:val="none"/>
        </w:rPr>
        <w:t xml:space="preserve">        </w:t>
      </w:r>
    </w:p>
    <w:p>
      <w:pPr>
        <w:adjustRightInd w:val="0"/>
        <w:snapToGrid w:val="0"/>
        <w:spacing w:line="360" w:lineRule="auto"/>
        <w:ind w:firstLine="562" w:firstLineChars="200"/>
        <w:jc w:val="center"/>
        <w:outlineLvl w:val="1"/>
        <w:rPr>
          <w:rFonts w:hint="eastAsia" w:ascii="宋体" w:hAnsi="宋体" w:eastAsia="宋体" w:cs="宋体"/>
          <w:b/>
          <w:color w:val="auto"/>
          <w:sz w:val="28"/>
          <w:szCs w:val="28"/>
          <w:highlight w:val="none"/>
        </w:rPr>
      </w:pPr>
      <w:bookmarkStart w:id="57" w:name="_Toc29125"/>
      <w:bookmarkStart w:id="58" w:name="_Toc30771"/>
      <w:bookmarkStart w:id="59" w:name="_Toc19699"/>
      <w:bookmarkStart w:id="60" w:name="_Toc7328"/>
      <w:r>
        <w:rPr>
          <w:rFonts w:hint="eastAsia" w:ascii="宋体" w:hAnsi="宋体" w:eastAsia="宋体" w:cs="宋体"/>
          <w:b/>
          <w:color w:val="auto"/>
          <w:sz w:val="28"/>
          <w:szCs w:val="28"/>
          <w:highlight w:val="none"/>
        </w:rPr>
        <w:t>评审因素和标准</w:t>
      </w:r>
      <w:bookmarkEnd w:id="57"/>
      <w:bookmarkEnd w:id="58"/>
      <w:bookmarkEnd w:id="59"/>
      <w:bookmarkEnd w:id="60"/>
    </w:p>
    <w:tbl>
      <w:tblPr>
        <w:tblStyle w:val="24"/>
        <w:tblW w:w="94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96"/>
        <w:gridCol w:w="1227"/>
        <w:gridCol w:w="835"/>
        <w:gridCol w:w="58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496" w:type="dxa"/>
            <w:tcBorders>
              <w:tl2br w:val="nil"/>
              <w:tr2bl w:val="nil"/>
            </w:tcBorders>
            <w:vAlign w:val="center"/>
          </w:tcPr>
          <w:p>
            <w:pPr>
              <w:keepNext w:val="0"/>
              <w:keepLines w:val="0"/>
              <w:pageBreakBefore w:val="0"/>
              <w:kinsoku/>
              <w:wordWrap/>
              <w:overflowPunct/>
              <w:topLinePunct w:val="0"/>
              <w:bidi w:val="0"/>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类别</w:t>
            </w:r>
          </w:p>
        </w:tc>
        <w:tc>
          <w:tcPr>
            <w:tcW w:w="1227" w:type="dxa"/>
            <w:tcBorders>
              <w:tl2br w:val="nil"/>
              <w:tr2bl w:val="nil"/>
            </w:tcBorders>
            <w:vAlign w:val="center"/>
          </w:tcPr>
          <w:p>
            <w:pPr>
              <w:keepNext w:val="0"/>
              <w:keepLines w:val="0"/>
              <w:pageBreakBefore w:val="0"/>
              <w:kinsoku/>
              <w:wordWrap/>
              <w:overflowPunct/>
              <w:topLinePunct w:val="0"/>
              <w:bidi w:val="0"/>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计分因素</w:t>
            </w:r>
          </w:p>
        </w:tc>
        <w:tc>
          <w:tcPr>
            <w:tcW w:w="835" w:type="dxa"/>
            <w:tcBorders>
              <w:tl2br w:val="nil"/>
              <w:tr2bl w:val="nil"/>
            </w:tcBorders>
            <w:vAlign w:val="center"/>
          </w:tcPr>
          <w:p>
            <w:pPr>
              <w:keepNext w:val="0"/>
              <w:keepLines w:val="0"/>
              <w:pageBreakBefore w:val="0"/>
              <w:kinsoku/>
              <w:wordWrap/>
              <w:overflowPunct/>
              <w:topLinePunct w:val="0"/>
              <w:bidi w:val="0"/>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分值</w:t>
            </w:r>
          </w:p>
        </w:tc>
        <w:tc>
          <w:tcPr>
            <w:tcW w:w="5860" w:type="dxa"/>
            <w:tcBorders>
              <w:tl2br w:val="nil"/>
              <w:tr2bl w:val="nil"/>
            </w:tcBorders>
            <w:vAlign w:val="center"/>
          </w:tcPr>
          <w:p>
            <w:pPr>
              <w:keepNext w:val="0"/>
              <w:keepLines w:val="0"/>
              <w:pageBreakBefore w:val="0"/>
              <w:kinsoku/>
              <w:wordWrap/>
              <w:overflowPunct/>
              <w:topLinePunct w:val="0"/>
              <w:bidi w:val="0"/>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1496" w:type="dxa"/>
            <w:tcBorders>
              <w:tl2br w:val="nil"/>
              <w:tr2bl w:val="nil"/>
            </w:tcBorders>
            <w:vAlign w:val="center"/>
          </w:tcPr>
          <w:p>
            <w:pPr>
              <w:keepNext w:val="0"/>
              <w:keepLines w:val="0"/>
              <w:pageBreakBefore w:val="0"/>
              <w:kinsoku/>
              <w:wordWrap/>
              <w:overflowPunct/>
              <w:topLinePunct w:val="0"/>
              <w:bidi w:val="0"/>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bookmarkStart w:id="61" w:name="OLE_LINK3" w:colFirst="1" w:colLast="3"/>
            <w:r>
              <w:rPr>
                <w:rFonts w:hint="eastAsia" w:ascii="宋体" w:hAnsi="宋体" w:eastAsia="宋体" w:cs="宋体"/>
                <w:color w:val="auto"/>
                <w:sz w:val="24"/>
                <w:szCs w:val="24"/>
                <w:highlight w:val="none"/>
              </w:rPr>
              <w:t>价格部分</w:t>
            </w:r>
          </w:p>
          <w:p>
            <w:pPr>
              <w:keepNext w:val="0"/>
              <w:keepLines w:val="0"/>
              <w:pageBreakBefore w:val="0"/>
              <w:kinsoku/>
              <w:wordWrap/>
              <w:overflowPunct/>
              <w:topLinePunct w:val="0"/>
              <w:bidi w:val="0"/>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1227" w:type="dxa"/>
            <w:tcBorders>
              <w:tl2br w:val="nil"/>
              <w:tr2bl w:val="nil"/>
            </w:tcBorders>
            <w:vAlign w:val="center"/>
          </w:tcPr>
          <w:p>
            <w:pPr>
              <w:keepNext w:val="0"/>
              <w:keepLines w:val="0"/>
              <w:pageBreakBefore w:val="0"/>
              <w:kinsoku/>
              <w:wordWrap/>
              <w:overflowPunct/>
              <w:topLinePunct w:val="0"/>
              <w:bidi w:val="0"/>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835" w:type="dxa"/>
            <w:tcBorders>
              <w:tl2br w:val="nil"/>
              <w:tr2bl w:val="nil"/>
            </w:tcBorders>
            <w:vAlign w:val="center"/>
          </w:tcPr>
          <w:p>
            <w:pPr>
              <w:keepNext w:val="0"/>
              <w:keepLines w:val="0"/>
              <w:pageBreakBefore w:val="0"/>
              <w:kinsoku/>
              <w:wordWrap/>
              <w:overflowPunct/>
              <w:topLinePunct w:val="0"/>
              <w:bidi w:val="0"/>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58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以经</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一致认定满足磋商文件要求且最后报价最低的供应商的价格为磋商基准价，其价格分为满分（</w:t>
            </w: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分）。其他</w:t>
            </w:r>
            <w:r>
              <w:rPr>
                <w:rFonts w:hint="eastAsia" w:ascii="宋体" w:hAnsi="宋体" w:cs="宋体"/>
                <w:color w:val="auto"/>
                <w:sz w:val="24"/>
                <w:szCs w:val="24"/>
                <w:highlight w:val="none"/>
                <w:lang w:eastAsia="zh-CN"/>
              </w:rPr>
              <w:t>有效</w:t>
            </w:r>
            <w:r>
              <w:rPr>
                <w:rFonts w:hint="eastAsia" w:ascii="宋体" w:hAnsi="宋体" w:eastAsia="宋体" w:cs="宋体"/>
                <w:color w:val="auto"/>
                <w:sz w:val="24"/>
                <w:szCs w:val="24"/>
                <w:highlight w:val="none"/>
              </w:rPr>
              <w:t>供应商的价格分统一按照下列公式计算：磋商报价得分=（磋商基准价/最后磋商报价）×</w:t>
            </w:r>
            <w:r>
              <w:rPr>
                <w:rFonts w:hint="eastAsia" w:ascii="宋体" w:hAnsi="宋体" w:cs="宋体"/>
                <w:color w:val="auto"/>
                <w:sz w:val="24"/>
                <w:szCs w:val="24"/>
                <w:highlight w:val="none"/>
                <w:lang w:val="en-US" w:eastAsia="zh-CN"/>
              </w:rPr>
              <w:t>10</w:t>
            </w:r>
          </w:p>
          <w:p>
            <w:pPr>
              <w:pStyle w:val="31"/>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2、供应商符合《政府采购促进中小企业发展暂行办法》规定的，用扣除后的价格参与评审。</w:t>
            </w:r>
          </w:p>
          <w:p>
            <w:pPr>
              <w:keepNext w:val="0"/>
              <w:keepLines w:val="0"/>
              <w:pageBreakBefore w:val="0"/>
              <w:kinsoku/>
              <w:wordWrap/>
              <w:overflowPunct/>
              <w:topLinePunct w:val="0"/>
              <w:bidi w:val="0"/>
              <w:spacing w:line="360" w:lineRule="auto"/>
              <w:ind w:left="0" w:leftChars="0" w:right="0"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w:t>
            </w:r>
            <w:r>
              <w:rPr>
                <w:rFonts w:hint="eastAsia" w:ascii="宋体" w:hAnsi="宋体" w:cs="宋体"/>
                <w:b/>
                <w:bCs/>
                <w:color w:val="auto"/>
                <w:sz w:val="24"/>
                <w:szCs w:val="24"/>
                <w:lang w:val="en-US" w:eastAsia="zh-CN"/>
              </w:rPr>
              <w:t>依据《政府采购货物和服务招标投标管理办法》【2017】87号文件规定，磋商小组认为供应商的报价明显低于其他通过符合性审查供应商报价，有可能影响服务质量或者不能诚信履约的，应当要求其在评标现场合理时间内提供书面说明，必要时提供相关证明材料；供应商不能证明其报价合理性的，磋商小组应当将其作为无效投标处理。供应商以低价投标的，应当在投标时准备好项目成本的书面说明和相关证明材料（须包含本身成本、人工费用、运输、安装、税收、较其他供应商且能支撑自己报更低价格的优势说明等成本构成），以备磋商小组核查</w:t>
            </w:r>
            <w:r>
              <w:rPr>
                <w:rFonts w:hint="eastAsia" w:ascii="宋体" w:hAnsi="宋体" w:eastAsia="宋体" w:cs="宋体"/>
                <w:b/>
                <w:bCs/>
                <w:color w:val="auto"/>
                <w:sz w:val="24"/>
                <w:szCs w:val="24"/>
                <w:lang w:val="en-US" w:eastAsia="zh-CN"/>
              </w:rPr>
              <w:t>。</w:t>
            </w:r>
          </w:p>
        </w:tc>
      </w:tr>
      <w:bookmarkEnd w:id="61"/>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496" w:type="dxa"/>
            <w:vMerge w:val="restart"/>
            <w:tcBorders>
              <w:tl2br w:val="nil"/>
              <w:tr2bl w:val="nil"/>
            </w:tcBorders>
            <w:vAlign w:val="center"/>
          </w:tcPr>
          <w:p>
            <w:pPr>
              <w:keepNext w:val="0"/>
              <w:keepLines w:val="0"/>
              <w:pageBreakBefore w:val="0"/>
              <w:kinsoku/>
              <w:wordWrap/>
              <w:overflowPunct/>
              <w:topLinePunct w:val="0"/>
              <w:bidi w:val="0"/>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r>
              <w:rPr>
                <w:rFonts w:hint="eastAsia" w:ascii="宋体" w:hAnsi="宋体" w:cs="宋体"/>
                <w:color w:val="auto"/>
                <w:sz w:val="24"/>
                <w:szCs w:val="24"/>
                <w:highlight w:val="none"/>
                <w:lang w:val="en-US" w:eastAsia="zh-CN"/>
              </w:rPr>
              <w:t>55</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分）</w:t>
            </w:r>
          </w:p>
        </w:tc>
        <w:tc>
          <w:tcPr>
            <w:tcW w:w="1227" w:type="dxa"/>
            <w:tcBorders>
              <w:tl2br w:val="nil"/>
              <w:tr2bl w:val="nil"/>
            </w:tcBorders>
            <w:vAlign w:val="center"/>
          </w:tcPr>
          <w:p>
            <w:pPr>
              <w:keepNext w:val="0"/>
              <w:keepLines w:val="0"/>
              <w:pageBreakBefore w:val="0"/>
              <w:widowControl/>
              <w:kinsoku/>
              <w:wordWrap/>
              <w:overflowPunct/>
              <w:topLinePunct w:val="0"/>
              <w:bidi w:val="0"/>
              <w:spacing w:line="360" w:lineRule="auto"/>
              <w:ind w:left="0" w:leftChars="0" w:right="0" w:firstLine="0" w:firstLineChars="0"/>
              <w:jc w:val="both"/>
              <w:textAlignment w:val="auto"/>
              <w:rPr>
                <w:rFonts w:hint="eastAsia" w:ascii="宋体" w:hAnsi="宋体" w:eastAsia="宋体" w:cs="宋体"/>
                <w:color w:val="auto"/>
                <w:sz w:val="24"/>
                <w:szCs w:val="24"/>
                <w:lang w:val="en-US" w:eastAsia="zh-CN"/>
              </w:rPr>
            </w:pPr>
            <w:r>
              <w:rPr>
                <w:rFonts w:hint="eastAsia" w:ascii="宋体" w:hAnsi="宋体" w:cs="宋体"/>
              </w:rPr>
              <w:t>耕地</w:t>
            </w:r>
            <w:r>
              <w:rPr>
                <w:rFonts w:ascii="宋体" w:hAnsi="宋体" w:cs="宋体"/>
              </w:rPr>
              <w:t>保护专项规划综合方案</w:t>
            </w:r>
          </w:p>
        </w:tc>
        <w:tc>
          <w:tcPr>
            <w:tcW w:w="835" w:type="dxa"/>
            <w:tcBorders>
              <w:tl2br w:val="nil"/>
              <w:tr2bl w:val="nil"/>
            </w:tcBorders>
            <w:vAlign w:val="center"/>
          </w:tcPr>
          <w:p>
            <w:pPr>
              <w:keepNext w:val="0"/>
              <w:keepLines w:val="0"/>
              <w:pageBreakBefore w:val="0"/>
              <w:widowControl/>
              <w:kinsoku/>
              <w:wordWrap/>
              <w:overflowPunct/>
              <w:topLinePunct w:val="0"/>
              <w:bidi w:val="0"/>
              <w:spacing w:line="360" w:lineRule="auto"/>
              <w:ind w:left="0" w:leftChars="0" w:right="0" w:firstLine="0" w:firstLineChars="0"/>
              <w:jc w:val="both"/>
              <w:textAlignment w:val="auto"/>
              <w:rPr>
                <w:rFonts w:hint="eastAsia" w:ascii="宋体" w:hAnsi="宋体" w:eastAsia="宋体" w:cs="宋体"/>
                <w:color w:val="auto"/>
                <w:sz w:val="24"/>
                <w:szCs w:val="24"/>
                <w:lang w:val="en-US" w:eastAsia="zh-CN"/>
              </w:rPr>
            </w:pPr>
            <w:r>
              <w:rPr>
                <w:rFonts w:hint="eastAsia"/>
              </w:rPr>
              <w:t>20分</w:t>
            </w:r>
          </w:p>
        </w:tc>
        <w:tc>
          <w:tcPr>
            <w:tcW w:w="58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rPr>
            </w:pPr>
            <w:r>
              <w:rPr>
                <w:rFonts w:hint="eastAsia"/>
              </w:rPr>
              <w:t>投标人对所在地区的耕地保护现状情况评估、耕地保护的形势分析、重点问题研究等；对项目进行了详细和针对性的调研；简述项目的规划内容，包括耕地资源的保护利用、后备资源的开发利用、永久基本农田的保护、重点项目的安排、生态环境影响评价。</w:t>
            </w:r>
          </w:p>
          <w:p>
            <w:pPr>
              <w:keepNext w:val="0"/>
              <w:keepLines w:val="0"/>
              <w:pageBreakBefore w:val="0"/>
              <w:widowControl w:val="0"/>
              <w:kinsoku/>
              <w:wordWrap/>
              <w:overflowPunct/>
              <w:topLinePunct w:val="0"/>
              <w:autoSpaceDE/>
              <w:autoSpaceDN/>
              <w:bidi w:val="0"/>
              <w:adjustRightInd/>
              <w:snapToGrid/>
              <w:spacing w:line="360" w:lineRule="exact"/>
              <w:ind w:left="0" w:leftChars="0" w:right="0" w:firstLine="0" w:firstLineChars="0"/>
              <w:jc w:val="both"/>
              <w:textAlignment w:val="auto"/>
              <w:rPr>
                <w:rFonts w:hint="eastAsia" w:ascii="宋体" w:hAnsi="宋体" w:eastAsia="宋体" w:cs="宋体"/>
                <w:color w:val="auto"/>
                <w:kern w:val="2"/>
                <w:sz w:val="24"/>
                <w:szCs w:val="24"/>
                <w:lang w:val="en-US" w:eastAsia="zh-CN" w:bidi="ar-SA"/>
              </w:rPr>
            </w:pPr>
            <w:r>
              <w:rPr>
                <w:rFonts w:hint="eastAsia"/>
              </w:rPr>
              <w:t>综合评价为优的计20分；</w:t>
            </w:r>
            <w:r>
              <w:rPr>
                <w:rFonts w:hint="eastAsia"/>
                <w:lang w:eastAsia="zh-CN"/>
              </w:rPr>
              <w:t>缺漏项、不完整、不合理的每处扣</w:t>
            </w:r>
            <w:r>
              <w:rPr>
                <w:rFonts w:hint="eastAsia"/>
                <w:lang w:val="en-US" w:eastAsia="zh-CN"/>
              </w:rPr>
              <w:t>2分，扣完为止</w:t>
            </w: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496" w:type="dxa"/>
            <w:vMerge w:val="continue"/>
            <w:tcBorders>
              <w:tl2br w:val="nil"/>
              <w:tr2bl w:val="nil"/>
            </w:tcBorders>
            <w:vAlign w:val="center"/>
          </w:tcPr>
          <w:p>
            <w:pPr>
              <w:keepNext w:val="0"/>
              <w:keepLines w:val="0"/>
              <w:pageBreakBefore w:val="0"/>
              <w:kinsoku/>
              <w:wordWrap/>
              <w:overflowPunct/>
              <w:topLinePunct w:val="0"/>
              <w:bidi w:val="0"/>
              <w:spacing w:line="360" w:lineRule="auto"/>
              <w:ind w:left="0" w:leftChars="0" w:right="0" w:firstLine="0" w:firstLineChars="0"/>
              <w:jc w:val="both"/>
              <w:textAlignment w:val="auto"/>
            </w:pPr>
          </w:p>
        </w:tc>
        <w:tc>
          <w:tcPr>
            <w:tcW w:w="1227" w:type="dxa"/>
            <w:tcBorders>
              <w:tl2br w:val="nil"/>
              <w:tr2bl w:val="nil"/>
            </w:tcBorders>
            <w:vAlign w:val="center"/>
          </w:tcPr>
          <w:p>
            <w:pPr>
              <w:keepNext w:val="0"/>
              <w:keepLines w:val="0"/>
              <w:pageBreakBefore w:val="0"/>
              <w:kinsoku/>
              <w:wordWrap/>
              <w:overflowPunct/>
              <w:topLinePunct w:val="0"/>
              <w:bidi w:val="0"/>
              <w:spacing w:line="360" w:lineRule="auto"/>
              <w:ind w:left="0" w:leftChars="0" w:right="0" w:firstLine="0" w:firstLineChars="0"/>
              <w:jc w:val="both"/>
              <w:textAlignment w:val="auto"/>
            </w:pPr>
            <w:r>
              <w:rPr>
                <w:rFonts w:hint="eastAsia" w:ascii="宋体" w:hAnsi="宋体" w:cs="宋体"/>
              </w:rPr>
              <w:t>耕地</w:t>
            </w:r>
            <w:r>
              <w:rPr>
                <w:rFonts w:ascii="宋体" w:hAnsi="宋体" w:cs="宋体"/>
              </w:rPr>
              <w:t>保护</w:t>
            </w:r>
            <w:r>
              <w:rPr>
                <w:rFonts w:hint="eastAsia" w:ascii="宋体" w:hAnsi="宋体" w:cs="宋体"/>
              </w:rPr>
              <w:t>“一张图”综合方案</w:t>
            </w:r>
          </w:p>
        </w:tc>
        <w:tc>
          <w:tcPr>
            <w:tcW w:w="835" w:type="dxa"/>
            <w:tcBorders>
              <w:tl2br w:val="nil"/>
              <w:tr2bl w:val="nil"/>
            </w:tcBorders>
            <w:vAlign w:val="center"/>
          </w:tcPr>
          <w:p>
            <w:pPr>
              <w:keepNext w:val="0"/>
              <w:keepLines w:val="0"/>
              <w:pageBreakBefore w:val="0"/>
              <w:kinsoku/>
              <w:wordWrap/>
              <w:overflowPunct/>
              <w:topLinePunct w:val="0"/>
              <w:bidi w:val="0"/>
              <w:spacing w:line="360" w:lineRule="auto"/>
              <w:ind w:left="0" w:leftChars="0" w:right="0" w:firstLine="0" w:firstLineChars="0"/>
              <w:jc w:val="both"/>
              <w:textAlignment w:val="auto"/>
            </w:pPr>
            <w:r>
              <w:rPr>
                <w:rFonts w:hint="eastAsia"/>
              </w:rPr>
              <w:t>20分</w:t>
            </w:r>
          </w:p>
        </w:tc>
        <w:tc>
          <w:tcPr>
            <w:tcW w:w="58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投标人对所在地区的耕地现状中耕地数量与分布、即可恢复数量与分布、不宜或难以稳定利用耕地情况进行综合分析；对耕地保护与利用中的耕地流出情况、耕地流入情况和耕地保有量进行综合分析；对永久基本农田布局、耕地后备资源布局、基本农田储备区布局和已实施高标准农田建设及“两区”分布进行综合分析。</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lang w:val="en-US" w:eastAsia="zh-CN" w:bidi="ar-SA"/>
              </w:rPr>
            </w:pPr>
            <w:r>
              <w:rPr>
                <w:rFonts w:hint="eastAsia"/>
              </w:rPr>
              <w:t>综合评价</w:t>
            </w:r>
            <w:r>
              <w:rPr>
                <w:rFonts w:hint="eastAsia"/>
                <w:lang w:eastAsia="zh-CN"/>
              </w:rPr>
              <w:t>合理、完整</w:t>
            </w:r>
            <w:r>
              <w:rPr>
                <w:rFonts w:hint="eastAsia"/>
              </w:rPr>
              <w:t>计20分；</w:t>
            </w:r>
            <w:r>
              <w:rPr>
                <w:rFonts w:hint="eastAsia"/>
                <w:lang w:eastAsia="zh-CN"/>
              </w:rPr>
              <w:t>缺漏项、不完整的每处扣</w:t>
            </w:r>
            <w:r>
              <w:rPr>
                <w:rFonts w:hint="eastAsia"/>
                <w:lang w:val="en-US" w:eastAsia="zh-CN"/>
              </w:rPr>
              <w:t>2分，扣完为止</w:t>
            </w: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496" w:type="dxa"/>
            <w:vMerge w:val="continue"/>
            <w:tcBorders>
              <w:tl2br w:val="nil"/>
              <w:tr2bl w:val="nil"/>
            </w:tcBorders>
            <w:vAlign w:val="center"/>
          </w:tcPr>
          <w:p>
            <w:pPr>
              <w:keepNext w:val="0"/>
              <w:keepLines w:val="0"/>
              <w:pageBreakBefore w:val="0"/>
              <w:kinsoku/>
              <w:wordWrap/>
              <w:overflowPunct/>
              <w:topLinePunct w:val="0"/>
              <w:bidi w:val="0"/>
              <w:spacing w:line="360" w:lineRule="auto"/>
              <w:ind w:left="0" w:leftChars="0" w:right="0" w:firstLine="0" w:firstLineChars="0"/>
              <w:jc w:val="both"/>
              <w:textAlignment w:val="auto"/>
              <w:rPr>
                <w:rFonts w:hint="eastAsia" w:ascii="宋体" w:hAnsi="宋体" w:eastAsia="宋体" w:cs="宋体"/>
                <w:color w:val="auto"/>
                <w:kern w:val="2"/>
                <w:sz w:val="24"/>
                <w:szCs w:val="24"/>
                <w:lang w:val="en-US" w:eastAsia="zh-CN" w:bidi="ar-SA"/>
              </w:rPr>
            </w:pPr>
          </w:p>
        </w:tc>
        <w:tc>
          <w:tcPr>
            <w:tcW w:w="1227" w:type="dxa"/>
            <w:tcBorders>
              <w:tl2br w:val="nil"/>
              <w:tr2bl w:val="nil"/>
            </w:tcBorders>
            <w:vAlign w:val="center"/>
          </w:tcPr>
          <w:p>
            <w:pPr>
              <w:keepNext w:val="0"/>
              <w:keepLines w:val="0"/>
              <w:pageBreakBefore w:val="0"/>
              <w:kinsoku/>
              <w:wordWrap/>
              <w:overflowPunct/>
              <w:topLinePunct w:val="0"/>
              <w:bidi w:val="0"/>
              <w:spacing w:line="360" w:lineRule="auto"/>
              <w:ind w:left="0" w:leftChars="0" w:right="0" w:firstLine="0" w:firstLineChars="0"/>
              <w:jc w:val="both"/>
              <w:textAlignment w:val="auto"/>
              <w:rPr>
                <w:rFonts w:hint="eastAsia" w:ascii="宋体" w:hAnsi="宋体" w:eastAsia="宋体" w:cs="宋体"/>
                <w:color w:val="auto"/>
                <w:kern w:val="2"/>
                <w:sz w:val="24"/>
                <w:szCs w:val="24"/>
                <w:lang w:val="en-US" w:eastAsia="zh-CN" w:bidi="ar-SA"/>
              </w:rPr>
            </w:pPr>
            <w:r>
              <w:t>项目保障措施</w:t>
            </w:r>
          </w:p>
        </w:tc>
        <w:tc>
          <w:tcPr>
            <w:tcW w:w="835" w:type="dxa"/>
            <w:tcBorders>
              <w:tl2br w:val="nil"/>
              <w:tr2bl w:val="nil"/>
            </w:tcBorders>
            <w:vAlign w:val="center"/>
          </w:tcPr>
          <w:p>
            <w:pPr>
              <w:keepNext w:val="0"/>
              <w:keepLines w:val="0"/>
              <w:pageBreakBefore w:val="0"/>
              <w:kinsoku/>
              <w:wordWrap/>
              <w:overflowPunct/>
              <w:topLinePunct w:val="0"/>
              <w:bidi w:val="0"/>
              <w:spacing w:line="360" w:lineRule="auto"/>
              <w:ind w:left="0" w:leftChars="0" w:right="0" w:firstLine="0" w:firstLineChars="0"/>
              <w:jc w:val="both"/>
              <w:textAlignment w:val="auto"/>
              <w:rPr>
                <w:rFonts w:hint="eastAsia" w:ascii="宋体" w:hAnsi="宋体" w:eastAsia="宋体" w:cs="宋体"/>
                <w:color w:val="auto"/>
                <w:kern w:val="2"/>
                <w:sz w:val="24"/>
                <w:szCs w:val="24"/>
                <w:lang w:val="en-US" w:eastAsia="zh-CN" w:bidi="ar-SA"/>
              </w:rPr>
            </w:pPr>
            <w:r>
              <w:rPr>
                <w:rFonts w:hint="eastAsia"/>
              </w:rPr>
              <w:t>8分</w:t>
            </w:r>
          </w:p>
        </w:tc>
        <w:tc>
          <w:tcPr>
            <w:tcW w:w="586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kern w:val="2"/>
                <w:sz w:val="24"/>
                <w:szCs w:val="24"/>
                <w:lang w:val="en-US" w:eastAsia="zh-CN" w:bidi="ar-SA"/>
              </w:rPr>
            </w:pPr>
            <w:r>
              <w:rPr>
                <w:rFonts w:hint="eastAsia"/>
              </w:rPr>
              <w:t>投标人提供完成本项目的质量保障措施，包含技术人员组织、设备保障、质量控制措施等方面。保障措施完整合理、科学得当；能全面、高效、流畅地完成本项目工作</w:t>
            </w:r>
            <w:r>
              <w:rPr>
                <w:rFonts w:hint="eastAsia"/>
                <w:lang w:eastAsia="zh-CN"/>
              </w:rPr>
              <w:t>的</w:t>
            </w:r>
            <w:r>
              <w:rPr>
                <w:rFonts w:hint="eastAsia"/>
              </w:rPr>
              <w:t>计8分；</w:t>
            </w:r>
            <w:r>
              <w:rPr>
                <w:rFonts w:hint="eastAsia"/>
                <w:lang w:eastAsia="zh-CN"/>
              </w:rPr>
              <w:t>缺漏项、不完整的每处扣</w:t>
            </w:r>
            <w:r>
              <w:rPr>
                <w:rFonts w:hint="eastAsia"/>
                <w:lang w:val="en-US" w:eastAsia="zh-CN"/>
              </w:rPr>
              <w:t>2分，扣完为止</w:t>
            </w: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496" w:type="dxa"/>
            <w:vMerge w:val="continue"/>
            <w:tcBorders>
              <w:tl2br w:val="nil"/>
              <w:tr2bl w:val="nil"/>
            </w:tcBorders>
            <w:vAlign w:val="center"/>
          </w:tcPr>
          <w:p>
            <w:pPr>
              <w:keepNext w:val="0"/>
              <w:keepLines w:val="0"/>
              <w:pageBreakBefore w:val="0"/>
              <w:kinsoku/>
              <w:wordWrap/>
              <w:overflowPunct/>
              <w:topLinePunct w:val="0"/>
              <w:bidi w:val="0"/>
              <w:spacing w:line="360" w:lineRule="auto"/>
              <w:ind w:left="0" w:leftChars="0" w:right="0" w:firstLine="0" w:firstLineChars="0"/>
              <w:jc w:val="both"/>
              <w:textAlignment w:val="auto"/>
              <w:rPr>
                <w:rFonts w:hint="eastAsia" w:ascii="宋体" w:hAnsi="宋体" w:eastAsia="宋体" w:cs="宋体"/>
                <w:color w:val="auto"/>
                <w:kern w:val="2"/>
                <w:sz w:val="24"/>
                <w:szCs w:val="24"/>
                <w:lang w:val="en-US" w:eastAsia="zh-CN" w:bidi="ar-SA"/>
              </w:rPr>
            </w:pPr>
          </w:p>
        </w:tc>
        <w:tc>
          <w:tcPr>
            <w:tcW w:w="1227" w:type="dxa"/>
            <w:tcBorders>
              <w:tl2br w:val="nil"/>
              <w:tr2bl w:val="nil"/>
            </w:tcBorders>
            <w:vAlign w:val="center"/>
          </w:tcPr>
          <w:p>
            <w:pPr>
              <w:keepNext w:val="0"/>
              <w:keepLines w:val="0"/>
              <w:pageBreakBefore w:val="0"/>
              <w:kinsoku/>
              <w:wordWrap/>
              <w:overflowPunct/>
              <w:topLinePunct w:val="0"/>
              <w:bidi w:val="0"/>
              <w:spacing w:line="360" w:lineRule="auto"/>
              <w:ind w:left="0" w:leftChars="0" w:right="0" w:firstLine="0" w:firstLineChars="0"/>
              <w:jc w:val="both"/>
              <w:textAlignment w:val="auto"/>
              <w:rPr>
                <w:rFonts w:hint="eastAsia" w:ascii="宋体" w:hAnsi="宋体" w:eastAsia="宋体" w:cs="宋体"/>
                <w:color w:val="auto"/>
                <w:kern w:val="2"/>
                <w:sz w:val="24"/>
                <w:szCs w:val="24"/>
                <w:lang w:val="en-US" w:eastAsia="zh-CN" w:bidi="ar-SA"/>
              </w:rPr>
            </w:pPr>
            <w:r>
              <w:t>项目服务承诺</w:t>
            </w:r>
          </w:p>
        </w:tc>
        <w:tc>
          <w:tcPr>
            <w:tcW w:w="835" w:type="dxa"/>
            <w:tcBorders>
              <w:tl2br w:val="nil"/>
              <w:tr2bl w:val="nil"/>
            </w:tcBorders>
            <w:vAlign w:val="center"/>
          </w:tcPr>
          <w:p>
            <w:pPr>
              <w:keepNext w:val="0"/>
              <w:keepLines w:val="0"/>
              <w:pageBreakBefore w:val="0"/>
              <w:kinsoku/>
              <w:wordWrap/>
              <w:overflowPunct/>
              <w:topLinePunct w:val="0"/>
              <w:bidi w:val="0"/>
              <w:spacing w:line="360" w:lineRule="auto"/>
              <w:ind w:left="0" w:leftChars="0" w:right="0" w:firstLine="0" w:firstLineChars="0"/>
              <w:jc w:val="both"/>
              <w:textAlignment w:val="auto"/>
              <w:rPr>
                <w:rFonts w:hint="eastAsia" w:ascii="宋体" w:hAnsi="宋体" w:eastAsia="宋体" w:cs="宋体"/>
                <w:color w:val="auto"/>
                <w:kern w:val="2"/>
                <w:sz w:val="24"/>
                <w:szCs w:val="24"/>
                <w:lang w:val="en-US" w:eastAsia="zh-CN" w:bidi="ar-SA"/>
              </w:rPr>
            </w:pPr>
            <w:r>
              <w:rPr>
                <w:rFonts w:hint="eastAsia"/>
              </w:rPr>
              <w:t>7分</w:t>
            </w:r>
          </w:p>
        </w:tc>
        <w:tc>
          <w:tcPr>
            <w:tcW w:w="5860" w:type="dxa"/>
            <w:tcBorders>
              <w:tl2br w:val="nil"/>
              <w:tr2bl w:val="nil"/>
            </w:tcBorders>
            <w:vAlign w:val="center"/>
          </w:tcPr>
          <w:p>
            <w:pPr>
              <w:rPr>
                <w:rFonts w:hint="eastAsia"/>
              </w:rPr>
            </w:pPr>
            <w:r>
              <w:rPr>
                <w:rFonts w:hint="eastAsia"/>
              </w:rPr>
              <w:t>投标人提供本项目完成后具体服务细则：包含售后服务深度、售后服务技术人员小组名单、服务方式、服务流程、服务承诺等内容。</w:t>
            </w:r>
          </w:p>
          <w:p>
            <w:pPr>
              <w:rPr>
                <w:rFonts w:hint="eastAsia" w:ascii="宋体" w:hAnsi="宋体" w:eastAsia="宋体" w:cs="宋体"/>
                <w:b/>
                <w:bCs/>
                <w:color w:val="auto"/>
                <w:kern w:val="2"/>
                <w:sz w:val="24"/>
                <w:szCs w:val="24"/>
                <w:lang w:val="en-US" w:eastAsia="zh-CN" w:bidi="ar-SA"/>
              </w:rPr>
            </w:pPr>
            <w:r>
              <w:rPr>
                <w:rFonts w:hint="eastAsia"/>
                <w:lang w:eastAsia="zh-CN"/>
              </w:rPr>
              <w:t>服务承诺</w:t>
            </w:r>
            <w:r>
              <w:rPr>
                <w:rFonts w:hint="eastAsia"/>
              </w:rPr>
              <w:t>详细</w:t>
            </w:r>
            <w:r>
              <w:rPr>
                <w:rFonts w:hint="eastAsia"/>
                <w:lang w:eastAsia="zh-CN"/>
              </w:rPr>
              <w:t>优秀</w:t>
            </w:r>
            <w:r>
              <w:rPr>
                <w:rFonts w:hint="eastAsia"/>
              </w:rPr>
              <w:t>计7分</w:t>
            </w:r>
            <w:r>
              <w:rPr>
                <w:rFonts w:hint="eastAsia"/>
                <w:lang w:eastAsia="zh-CN"/>
              </w:rPr>
              <w:t>；缺漏项、不完整的每处扣</w:t>
            </w:r>
            <w:r>
              <w:rPr>
                <w:rFonts w:hint="eastAsia"/>
                <w:lang w:val="en-US" w:eastAsia="zh-CN"/>
              </w:rPr>
              <w:t>1.5分，扣完为止</w:t>
            </w: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96" w:type="dxa"/>
            <w:vMerge w:val="restart"/>
            <w:tcBorders>
              <w:tl2br w:val="nil"/>
              <w:tr2bl w:val="nil"/>
            </w:tcBorders>
            <w:vAlign w:val="center"/>
          </w:tcPr>
          <w:p>
            <w:pPr>
              <w:keepNext w:val="0"/>
              <w:keepLines w:val="0"/>
              <w:pageBreakBefore w:val="0"/>
              <w:kinsoku/>
              <w:wordWrap/>
              <w:overflowPunct/>
              <w:topLinePunct w:val="0"/>
              <w:bidi w:val="0"/>
              <w:spacing w:line="360" w:lineRule="auto"/>
              <w:ind w:left="0" w:leftChars="0" w:righ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p>
          <w:p>
            <w:pPr>
              <w:keepNext w:val="0"/>
              <w:keepLines w:val="0"/>
              <w:pageBreakBefore w:val="0"/>
              <w:kinsoku/>
              <w:wordWrap/>
              <w:overflowPunct/>
              <w:topLinePunct w:val="0"/>
              <w:bidi w:val="0"/>
              <w:spacing w:line="360" w:lineRule="auto"/>
              <w:ind w:left="0" w:leftChars="0" w:right="0" w:firstLine="0" w:firstLineChars="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35</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1227" w:type="dxa"/>
            <w:tcBorders>
              <w:tl2br w:val="nil"/>
              <w:tr2bl w:val="nil"/>
            </w:tcBorders>
            <w:vAlign w:val="center"/>
          </w:tcPr>
          <w:p>
            <w:pPr>
              <w:keepNext w:val="0"/>
              <w:keepLines w:val="0"/>
              <w:pageBreakBefore w:val="0"/>
              <w:kinsoku/>
              <w:wordWrap/>
              <w:overflowPunct/>
              <w:topLinePunct w:val="0"/>
              <w:bidi w:val="0"/>
              <w:spacing w:line="360" w:lineRule="auto"/>
              <w:ind w:left="0" w:leftChars="0" w:right="0" w:firstLine="0" w:firstLineChars="0"/>
              <w:jc w:val="center"/>
              <w:textAlignment w:val="auto"/>
              <w:rPr>
                <w:rFonts w:hint="eastAsia" w:ascii="宋体" w:hAnsi="宋体" w:eastAsia="宋体" w:cs="宋体"/>
                <w:color w:val="auto"/>
                <w:sz w:val="24"/>
                <w:szCs w:val="24"/>
                <w:highlight w:val="none"/>
                <w:lang w:val="en-US"/>
              </w:rPr>
            </w:pPr>
            <w:r>
              <w:rPr>
                <w:rFonts w:hint="eastAsia" w:ascii="宋体" w:hAnsi="宋体" w:cs="宋体"/>
                <w:kern w:val="0"/>
                <w:szCs w:val="21"/>
              </w:rPr>
              <w:t>团队实力</w:t>
            </w:r>
          </w:p>
        </w:tc>
        <w:tc>
          <w:tcPr>
            <w:tcW w:w="835" w:type="dxa"/>
            <w:tcBorders>
              <w:tl2br w:val="nil"/>
              <w:tr2bl w:val="nil"/>
            </w:tcBorders>
            <w:vAlign w:val="center"/>
          </w:tcPr>
          <w:p>
            <w:pPr>
              <w:keepNext w:val="0"/>
              <w:keepLines w:val="0"/>
              <w:pageBreakBefore w:val="0"/>
              <w:kinsoku/>
              <w:wordWrap/>
              <w:overflowPunct/>
              <w:topLinePunct w:val="0"/>
              <w:bidi w:val="0"/>
              <w:spacing w:line="360" w:lineRule="auto"/>
              <w:ind w:left="0" w:leftChars="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kern w:val="0"/>
                <w:szCs w:val="21"/>
              </w:rPr>
              <w:t>10分</w:t>
            </w:r>
          </w:p>
        </w:tc>
        <w:tc>
          <w:tcPr>
            <w:tcW w:w="5860" w:type="dxa"/>
            <w:tcBorders>
              <w:tl2br w:val="nil"/>
              <w:tr2bl w:val="nil"/>
            </w:tcBorders>
            <w:vAlign w:val="center"/>
          </w:tcPr>
          <w:p>
            <w:pPr>
              <w:adjustRightInd w:val="0"/>
              <w:snapToGrid w:val="0"/>
              <w:rPr>
                <w:rFonts w:hint="eastAsia" w:ascii="宋体" w:hAnsi="宋体" w:eastAsia="宋体" w:cs="宋体"/>
                <w:color w:val="auto"/>
                <w:kern w:val="2"/>
                <w:sz w:val="24"/>
                <w:szCs w:val="24"/>
                <w:lang w:val="en-US" w:eastAsia="zh-CN" w:bidi="ar-SA"/>
              </w:rPr>
            </w:pPr>
            <w:r>
              <w:rPr>
                <w:rFonts w:hint="eastAsia"/>
              </w:rPr>
              <w:t>项目负责人具有土地工程（土地资源管理）中级工程师及以上职称的，计5分；技术负责人具有土地工程（土地资源管理）中级工程师及以上职称的，计5分；</w:t>
            </w:r>
            <w:r>
              <w:rPr>
                <w:rFonts w:hint="eastAsia" w:ascii="宋体"/>
                <w:szCs w:val="21"/>
              </w:rPr>
              <w:t>（须提供投标单位近3个月个人社保缴纳证明</w:t>
            </w:r>
            <w:r>
              <w:rPr>
                <w:rFonts w:hint="eastAsia" w:ascii="宋体"/>
                <w:szCs w:val="21"/>
                <w:lang w:eastAsia="zh-CN"/>
              </w:rPr>
              <w:t>以及</w:t>
            </w:r>
            <w:r>
              <w:rPr>
                <w:rFonts w:hint="eastAsia" w:ascii="宋体"/>
                <w:szCs w:val="21"/>
              </w:rPr>
              <w:t>证书复印件，</w:t>
            </w:r>
            <w:r>
              <w:rPr>
                <w:rFonts w:hint="eastAsia"/>
              </w:rPr>
              <w:t>复印件需加盖公章</w:t>
            </w:r>
            <w:r>
              <w:rPr>
                <w:rFonts w:hint="eastAsia" w:ascii="宋体"/>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496" w:type="dxa"/>
            <w:vMerge w:val="continue"/>
            <w:tcBorders>
              <w:tl2br w:val="nil"/>
              <w:tr2bl w:val="nil"/>
            </w:tcBorders>
            <w:vAlign w:val="center"/>
          </w:tcPr>
          <w:p>
            <w:pPr>
              <w:keepNext w:val="0"/>
              <w:keepLines w:val="0"/>
              <w:pageBreakBefore w:val="0"/>
              <w:kinsoku/>
              <w:wordWrap/>
              <w:overflowPunct/>
              <w:topLinePunct w:val="0"/>
              <w:bidi w:val="0"/>
              <w:spacing w:line="360" w:lineRule="auto"/>
              <w:ind w:left="0" w:leftChars="0" w:right="0" w:firstLine="0" w:firstLineChars="0"/>
              <w:jc w:val="center"/>
              <w:textAlignment w:val="auto"/>
              <w:rPr>
                <w:rFonts w:hint="eastAsia" w:ascii="宋体" w:hAnsi="宋体" w:eastAsia="宋体" w:cs="宋体"/>
                <w:color w:val="auto"/>
                <w:sz w:val="24"/>
                <w:szCs w:val="24"/>
                <w:highlight w:val="none"/>
                <w:lang w:eastAsia="zh-CN"/>
              </w:rPr>
            </w:pPr>
          </w:p>
        </w:tc>
        <w:tc>
          <w:tcPr>
            <w:tcW w:w="1227" w:type="dxa"/>
            <w:tcBorders>
              <w:tl2br w:val="nil"/>
              <w:tr2bl w:val="nil"/>
            </w:tcBorders>
            <w:vAlign w:val="center"/>
          </w:tcPr>
          <w:p>
            <w:pPr>
              <w:keepNext w:val="0"/>
              <w:keepLines w:val="0"/>
              <w:pageBreakBefore w:val="0"/>
              <w:kinsoku/>
              <w:wordWrap/>
              <w:overflowPunct/>
              <w:topLinePunct w:val="0"/>
              <w:bidi w:val="0"/>
              <w:spacing w:line="360" w:lineRule="auto"/>
              <w:ind w:left="0" w:leftChars="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kern w:val="0"/>
                <w:szCs w:val="21"/>
              </w:rPr>
              <w:t>类似业绩</w:t>
            </w:r>
          </w:p>
        </w:tc>
        <w:tc>
          <w:tcPr>
            <w:tcW w:w="835" w:type="dxa"/>
            <w:tcBorders>
              <w:tl2br w:val="nil"/>
              <w:tr2bl w:val="nil"/>
            </w:tcBorders>
            <w:vAlign w:val="center"/>
          </w:tcPr>
          <w:p>
            <w:pPr>
              <w:keepNext w:val="0"/>
              <w:keepLines w:val="0"/>
              <w:pageBreakBefore w:val="0"/>
              <w:kinsoku/>
              <w:wordWrap/>
              <w:overflowPunct/>
              <w:topLinePunct w:val="0"/>
              <w:bidi w:val="0"/>
              <w:spacing w:line="360" w:lineRule="auto"/>
              <w:ind w:left="0" w:leftChars="0" w:right="0" w:firstLine="0" w:firstLine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kern w:val="0"/>
                <w:szCs w:val="21"/>
              </w:rPr>
              <w:t>20分</w:t>
            </w:r>
          </w:p>
        </w:tc>
        <w:tc>
          <w:tcPr>
            <w:tcW w:w="5860" w:type="dxa"/>
            <w:tcBorders>
              <w:tl2br w:val="nil"/>
              <w:tr2bl w:val="nil"/>
            </w:tcBorders>
            <w:vAlign w:val="center"/>
          </w:tcPr>
          <w:p>
            <w:pPr>
              <w:rPr>
                <w:rFonts w:hint="eastAsia" w:ascii="宋体" w:hAnsi="宋体" w:eastAsia="宋体" w:cs="宋体"/>
                <w:b/>
                <w:color w:val="auto"/>
                <w:kern w:val="0"/>
                <w:sz w:val="24"/>
                <w:szCs w:val="24"/>
                <w:lang w:val="en-US" w:eastAsia="zh-CN" w:bidi="zh-CN"/>
              </w:rPr>
            </w:pPr>
            <w:r>
              <w:rPr>
                <w:rFonts w:hint="eastAsia" w:ascii="宋体" w:hAnsi="宋体" w:cs="宋体"/>
                <w:color w:val="auto"/>
                <w:kern w:val="0"/>
                <w:szCs w:val="21"/>
              </w:rPr>
              <w:t>提供2018年</w:t>
            </w:r>
            <w:r>
              <w:rPr>
                <w:rFonts w:hint="eastAsia" w:ascii="宋体" w:hAnsi="宋体" w:cs="宋体"/>
                <w:color w:val="auto"/>
                <w:kern w:val="0"/>
                <w:szCs w:val="21"/>
                <w:lang w:val="en-US" w:eastAsia="zh-CN"/>
              </w:rPr>
              <w:t>1月1日起至响应文件截止之日止</w:t>
            </w:r>
            <w:r>
              <w:rPr>
                <w:rFonts w:hint="eastAsia" w:ascii="宋体" w:hAnsi="宋体" w:cs="宋体"/>
                <w:color w:val="auto"/>
                <w:kern w:val="0"/>
                <w:szCs w:val="21"/>
              </w:rPr>
              <w:t>，编制过</w:t>
            </w:r>
            <w:r>
              <w:rPr>
                <w:rFonts w:hint="eastAsia" w:ascii="宋体"/>
                <w:color w:val="auto"/>
                <w:szCs w:val="21"/>
              </w:rPr>
              <w:t>类似土地类规划业绩的</w:t>
            </w:r>
            <w:r>
              <w:rPr>
                <w:rFonts w:hint="eastAsia" w:ascii="宋体" w:hAnsi="宋体" w:cs="宋体"/>
                <w:color w:val="auto"/>
                <w:kern w:val="0"/>
                <w:szCs w:val="21"/>
              </w:rPr>
              <w:t>，每提供一个计5分，最多计20分。（提供相应合同书或相关证明文件复印件</w:t>
            </w:r>
            <w:r>
              <w:rPr>
                <w:rFonts w:hint="eastAsia" w:ascii="宋体" w:hAnsi="宋体" w:cs="宋体"/>
                <w:color w:val="auto"/>
                <w:kern w:val="0"/>
                <w:szCs w:val="21"/>
                <w:lang w:eastAsia="zh-CN"/>
              </w:rPr>
              <w:t>并加盖公章</w:t>
            </w:r>
            <w:r>
              <w:rPr>
                <w:rFonts w:hint="eastAsia" w:ascii="宋体" w:hAnsi="宋体" w:cs="宋体"/>
                <w:color w:val="auto"/>
                <w:kern w:val="0"/>
                <w:szCs w:val="21"/>
              </w:rPr>
              <w:t>，否则不计分）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1496" w:type="dxa"/>
            <w:vMerge w:val="continue"/>
            <w:tcBorders>
              <w:tl2br w:val="nil"/>
              <w:tr2bl w:val="nil"/>
            </w:tcBorders>
            <w:vAlign w:val="center"/>
          </w:tcPr>
          <w:p>
            <w:pPr>
              <w:keepNext w:val="0"/>
              <w:keepLines w:val="0"/>
              <w:pageBreakBefore w:val="0"/>
              <w:kinsoku/>
              <w:wordWrap/>
              <w:overflowPunct/>
              <w:topLinePunct w:val="0"/>
              <w:bidi w:val="0"/>
              <w:spacing w:line="360" w:lineRule="auto"/>
              <w:ind w:left="0" w:leftChars="0" w:right="0" w:firstLine="0" w:firstLineChars="0"/>
              <w:jc w:val="center"/>
              <w:textAlignment w:val="auto"/>
              <w:rPr>
                <w:rFonts w:hint="eastAsia" w:ascii="宋体" w:hAnsi="宋体" w:eastAsia="宋体" w:cs="宋体"/>
                <w:color w:val="auto"/>
                <w:sz w:val="24"/>
                <w:szCs w:val="24"/>
                <w:highlight w:val="none"/>
                <w:lang w:eastAsia="zh-CN"/>
              </w:rPr>
            </w:pPr>
          </w:p>
        </w:tc>
        <w:tc>
          <w:tcPr>
            <w:tcW w:w="1227" w:type="dxa"/>
            <w:tcBorders>
              <w:tl2br w:val="nil"/>
              <w:tr2bl w:val="nil"/>
            </w:tcBorders>
            <w:vAlign w:val="center"/>
          </w:tcPr>
          <w:p>
            <w:pPr>
              <w:keepNext w:val="0"/>
              <w:keepLines w:val="0"/>
              <w:pageBreakBefore w:val="0"/>
              <w:kinsoku/>
              <w:wordWrap/>
              <w:overflowPunct/>
              <w:topLinePunct w:val="0"/>
              <w:bidi w:val="0"/>
              <w:spacing w:line="360" w:lineRule="auto"/>
              <w:ind w:left="0" w:leftChars="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szCs w:val="21"/>
              </w:rPr>
              <w:t>标书编制</w:t>
            </w:r>
          </w:p>
        </w:tc>
        <w:tc>
          <w:tcPr>
            <w:tcW w:w="835" w:type="dxa"/>
            <w:tcBorders>
              <w:tl2br w:val="nil"/>
              <w:tr2bl w:val="nil"/>
            </w:tcBorders>
            <w:vAlign w:val="center"/>
          </w:tcPr>
          <w:p>
            <w:pPr>
              <w:keepNext w:val="0"/>
              <w:keepLines w:val="0"/>
              <w:pageBreakBefore w:val="0"/>
              <w:kinsoku/>
              <w:wordWrap/>
              <w:overflowPunct/>
              <w:topLinePunct w:val="0"/>
              <w:bidi w:val="0"/>
              <w:spacing w:line="360" w:lineRule="auto"/>
              <w:ind w:left="0" w:leftChars="0" w:right="0" w:firstLine="0" w:firstLineChars="0"/>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kern w:val="0"/>
                <w:szCs w:val="21"/>
              </w:rPr>
              <w:t>5分</w:t>
            </w:r>
          </w:p>
        </w:tc>
        <w:tc>
          <w:tcPr>
            <w:tcW w:w="5860" w:type="dxa"/>
            <w:tcBorders>
              <w:tl2br w:val="nil"/>
              <w:tr2bl w:val="nil"/>
            </w:tcBorders>
            <w:vAlign w:val="center"/>
          </w:tcPr>
          <w:p>
            <w:pPr>
              <w:rPr>
                <w:rFonts w:hint="eastAsia" w:ascii="宋体" w:hAnsi="宋体" w:eastAsia="宋体" w:cs="宋体"/>
                <w:b/>
                <w:color w:val="auto"/>
                <w:kern w:val="0"/>
                <w:sz w:val="24"/>
                <w:szCs w:val="24"/>
                <w:lang w:val="en-US" w:eastAsia="zh-CN" w:bidi="zh-CN"/>
              </w:rPr>
            </w:pPr>
            <w:r>
              <w:rPr>
                <w:rFonts w:hint="eastAsia" w:ascii="宋体"/>
                <w:szCs w:val="21"/>
              </w:rPr>
              <w:t>投标人按招标文件规定的格式、顺序编制，有目录、编页码，胶装成册，书面整洁无涂改，没有缺漏项，价格数量等计算准确的，计5分，有缺漏项的每处扣1分，扣完为止。</w:t>
            </w:r>
          </w:p>
        </w:tc>
      </w:tr>
    </w:tbl>
    <w:p>
      <w:pPr>
        <w:pStyle w:val="8"/>
        <w:rPr>
          <w:rFonts w:hint="eastAsia"/>
          <w:color w:val="auto"/>
        </w:rPr>
      </w:pPr>
    </w:p>
    <w:p>
      <w:pPr>
        <w:rPr>
          <w:rFonts w:hint="eastAsia"/>
          <w:color w:val="auto"/>
        </w:rPr>
      </w:pPr>
    </w:p>
    <w:p>
      <w:pPr>
        <w:pStyle w:val="8"/>
        <w:rPr>
          <w:rFonts w:hint="eastAsia"/>
          <w:color w:val="auto"/>
        </w:rPr>
      </w:pPr>
    </w:p>
    <w:p>
      <w:pPr>
        <w:rPr>
          <w:rFonts w:hint="eastAsia"/>
          <w:color w:val="auto"/>
        </w:rPr>
        <w:sectPr>
          <w:footerReference r:id="rId14" w:type="first"/>
          <w:pgSz w:w="11906" w:h="16838"/>
          <w:pgMar w:top="1304" w:right="1587" w:bottom="1304" w:left="1587" w:header="720" w:footer="720" w:gutter="0"/>
          <w:pgBorders>
            <w:top w:val="none" w:sz="0" w:space="0"/>
            <w:left w:val="none" w:sz="0" w:space="0"/>
            <w:bottom w:val="none" w:sz="0" w:space="0"/>
            <w:right w:val="none" w:sz="0" w:space="0"/>
          </w:pgBorders>
          <w:pgNumType w:fmt="decimal"/>
          <w:cols w:space="720" w:num="1"/>
          <w:titlePg/>
          <w:docGrid w:linePitch="312" w:charSpace="0"/>
        </w:sectPr>
      </w:pPr>
    </w:p>
    <w:p>
      <w:pPr>
        <w:adjustRightInd w:val="0"/>
        <w:snapToGrid w:val="0"/>
        <w:spacing w:line="360" w:lineRule="auto"/>
        <w:jc w:val="center"/>
        <w:outlineLvl w:val="1"/>
        <w:rPr>
          <w:rFonts w:hint="eastAsia" w:ascii="宋体" w:hAnsi="宋体" w:eastAsia="宋体" w:cs="宋体"/>
          <w:b/>
          <w:bCs/>
          <w:color w:val="auto"/>
          <w:sz w:val="24"/>
          <w:highlight w:val="none"/>
        </w:rPr>
      </w:pPr>
      <w:bookmarkStart w:id="62" w:name="_Toc4599"/>
      <w:bookmarkStart w:id="63" w:name="_Toc18464"/>
      <w:bookmarkStart w:id="64" w:name="_Toc28140"/>
      <w:r>
        <w:rPr>
          <w:rFonts w:hint="eastAsia" w:ascii="宋体" w:hAnsi="宋体" w:cs="宋体"/>
          <w:b/>
          <w:bCs/>
          <w:color w:val="auto"/>
          <w:sz w:val="24"/>
          <w:highlight w:val="none"/>
          <w:lang w:eastAsia="zh-CN"/>
        </w:rPr>
        <w:t>第二节</w:t>
      </w:r>
      <w:r>
        <w:rPr>
          <w:rFonts w:hint="eastAsia" w:ascii="宋体" w:hAnsi="宋体" w:cs="宋体"/>
          <w:b/>
          <w:bCs/>
          <w:color w:val="auto"/>
          <w:sz w:val="24"/>
          <w:highlight w:val="none"/>
          <w:lang w:val="en-US" w:eastAsia="zh-CN"/>
        </w:rPr>
        <w:t xml:space="preserve">  </w:t>
      </w:r>
      <w:r>
        <w:rPr>
          <w:rFonts w:hint="eastAsia" w:ascii="宋体" w:hAnsi="宋体" w:eastAsia="宋体" w:cs="宋体"/>
          <w:b/>
          <w:bCs/>
          <w:color w:val="auto"/>
          <w:sz w:val="24"/>
          <w:highlight w:val="none"/>
        </w:rPr>
        <w:t>磋商须知正文</w:t>
      </w:r>
      <w:bookmarkEnd w:id="62"/>
      <w:bookmarkEnd w:id="63"/>
      <w:bookmarkEnd w:id="64"/>
    </w:p>
    <w:p>
      <w:pPr>
        <w:keepNext w:val="0"/>
        <w:keepLines w:val="0"/>
        <w:pageBreakBefore w:val="0"/>
        <w:kinsoku/>
        <w:wordWrap/>
        <w:overflowPunct/>
        <w:topLinePunct w:val="0"/>
        <w:autoSpaceDE/>
        <w:bidi w:val="0"/>
        <w:adjustRightInd w:val="0"/>
        <w:snapToGrid w:val="0"/>
        <w:spacing w:line="360" w:lineRule="auto"/>
        <w:ind w:firstLine="482" w:firstLineChars="200"/>
        <w:textAlignment w:val="auto"/>
        <w:outlineLvl w:val="2"/>
        <w:rPr>
          <w:rFonts w:hint="eastAsia" w:ascii="宋体" w:hAnsi="宋体" w:eastAsia="宋体" w:cs="宋体"/>
          <w:b/>
          <w:bCs/>
          <w:color w:val="auto"/>
          <w:sz w:val="24"/>
          <w:highlight w:val="none"/>
        </w:rPr>
      </w:pPr>
      <w:bookmarkStart w:id="65" w:name="_Toc18527"/>
      <w:bookmarkStart w:id="66" w:name="_Toc23957"/>
      <w:bookmarkStart w:id="67" w:name="_Toc27532"/>
      <w:bookmarkStart w:id="68" w:name="_Toc22713"/>
      <w:r>
        <w:rPr>
          <w:rFonts w:hint="eastAsia" w:ascii="宋体" w:hAnsi="宋体" w:eastAsia="宋体" w:cs="宋体"/>
          <w:b/>
          <w:bCs/>
          <w:color w:val="auto"/>
          <w:sz w:val="24"/>
          <w:highlight w:val="none"/>
        </w:rPr>
        <w:t>一、说明</w:t>
      </w:r>
      <w:bookmarkEnd w:id="65"/>
      <w:bookmarkEnd w:id="66"/>
      <w:bookmarkEnd w:id="67"/>
      <w:bookmarkEnd w:id="68"/>
    </w:p>
    <w:p>
      <w:pPr>
        <w:keepNext w:val="0"/>
        <w:keepLines w:val="0"/>
        <w:pageBreakBefore w:val="0"/>
        <w:kinsoku/>
        <w:wordWrap/>
        <w:overflowPunct/>
        <w:topLinePunct w:val="0"/>
        <w:autoSpaceDE/>
        <w:bidi w:val="0"/>
        <w:adjustRightInd w:val="0"/>
        <w:snapToGrid w:val="0"/>
        <w:spacing w:line="360" w:lineRule="auto"/>
        <w:ind w:firstLine="48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1.适用范围</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本磋商文件仅适用于磋商须知前附表(以下简称</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中所叙述的采购项目。</w:t>
      </w:r>
    </w:p>
    <w:p>
      <w:pPr>
        <w:keepNext w:val="0"/>
        <w:keepLines w:val="0"/>
        <w:pageBreakBefore w:val="0"/>
        <w:kinsoku/>
        <w:wordWrap/>
        <w:overflowPunct/>
        <w:topLinePunct w:val="0"/>
        <w:autoSpaceDE/>
        <w:bidi w:val="0"/>
        <w:adjustRightInd w:val="0"/>
        <w:snapToGrid w:val="0"/>
        <w:spacing w:line="360" w:lineRule="auto"/>
        <w:ind w:firstLine="48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2.定义</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2.1 “采购人”是指依法进行政府采购的国家机关、事业单位、团体组织。本次政府采购的采购人名称、地址、电话、联系人见</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2.2 “采购代理机构”是指接受采购人委托，代理采购项目的集中采购机构和其他采购代理机构。本次政府采购的采购代理机构名称、地址、电话、联系人见</w:t>
      </w:r>
      <w:r>
        <w:rPr>
          <w:rFonts w:hint="eastAsia" w:ascii="宋体" w:hAnsi="宋体" w:eastAsia="宋体" w:cs="宋体"/>
          <w:b/>
          <w:color w:val="auto"/>
          <w:szCs w:val="21"/>
          <w:highlight w:val="none"/>
        </w:rPr>
        <w:t>磋商须知前附表。</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bCs/>
          <w:color w:val="auto"/>
          <w:kern w:val="36"/>
          <w:szCs w:val="21"/>
          <w:highlight w:val="none"/>
        </w:rPr>
      </w:pPr>
      <w:r>
        <w:rPr>
          <w:rFonts w:hint="eastAsia" w:ascii="宋体" w:hAnsi="宋体" w:eastAsia="宋体" w:cs="宋体"/>
          <w:color w:val="auto"/>
          <w:szCs w:val="21"/>
          <w:highlight w:val="none"/>
        </w:rPr>
        <w:t>2.3 “供应商”是指响应磋商文件要求、参加竞争性磋商采购的法人、其他组织或者自然人。本次政府采购项目</w:t>
      </w:r>
      <w:r>
        <w:rPr>
          <w:rFonts w:hint="eastAsia" w:ascii="宋体" w:hAnsi="宋体" w:eastAsia="宋体" w:cs="宋体"/>
          <w:color w:val="auto"/>
          <w:kern w:val="0"/>
          <w:szCs w:val="21"/>
          <w:highlight w:val="none"/>
        </w:rPr>
        <w:t>邀请</w:t>
      </w:r>
      <w:r>
        <w:rPr>
          <w:rFonts w:hint="eastAsia" w:ascii="宋体" w:hAnsi="宋体" w:eastAsia="宋体" w:cs="宋体"/>
          <w:color w:val="auto"/>
          <w:szCs w:val="21"/>
          <w:highlight w:val="none"/>
        </w:rPr>
        <w:t>的</w:t>
      </w:r>
      <w:r>
        <w:rPr>
          <w:rFonts w:hint="eastAsia" w:ascii="宋体" w:hAnsi="宋体" w:eastAsia="宋体" w:cs="宋体"/>
          <w:color w:val="auto"/>
          <w:kern w:val="0"/>
          <w:szCs w:val="21"/>
          <w:highlight w:val="none"/>
        </w:rPr>
        <w:t>供应商通过</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所述方式</w:t>
      </w:r>
      <w:r>
        <w:rPr>
          <w:rFonts w:hint="eastAsia" w:ascii="宋体" w:hAnsi="宋体" w:eastAsia="宋体" w:cs="宋体"/>
          <w:color w:val="auto"/>
          <w:kern w:val="0"/>
          <w:szCs w:val="21"/>
          <w:highlight w:val="none"/>
        </w:rPr>
        <w:t>，邀请符合资格条件的供应商提交响应文件（含资格证明资料），参与竞争性磋商采购活动。</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2.4 “磋商小组”是指</w:t>
      </w:r>
      <w:r>
        <w:rPr>
          <w:rFonts w:hint="eastAsia" w:ascii="宋体" w:hAnsi="宋体" w:eastAsia="宋体" w:cs="宋体"/>
          <w:color w:val="auto"/>
          <w:kern w:val="0"/>
          <w:szCs w:val="21"/>
          <w:highlight w:val="none"/>
        </w:rPr>
        <w:t>依据财政部</w:t>
      </w:r>
      <w:r>
        <w:rPr>
          <w:rFonts w:hint="eastAsia" w:ascii="宋体" w:hAnsi="宋体" w:eastAsia="宋体" w:cs="宋体"/>
          <w:bCs/>
          <w:color w:val="auto"/>
          <w:kern w:val="36"/>
          <w:szCs w:val="21"/>
          <w:highlight w:val="none"/>
        </w:rPr>
        <w:t>《政府采购竞争性磋商采购方式管理暂行办法》有关规定组建，依法依规</w:t>
      </w:r>
      <w:r>
        <w:rPr>
          <w:rFonts w:hint="eastAsia" w:ascii="宋体" w:hAnsi="宋体" w:eastAsia="宋体" w:cs="宋体"/>
          <w:color w:val="auto"/>
          <w:kern w:val="0"/>
          <w:szCs w:val="21"/>
          <w:highlight w:val="none"/>
        </w:rPr>
        <w:t>履行其职责和义务的机构。</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 “货物”是指各种形态和种类的物品，包括原资料、燃料、设备、产品等，详见《政府采购品目分类目录》(</w:t>
      </w:r>
      <w:r>
        <w:rPr>
          <w:rStyle w:val="27"/>
          <w:rFonts w:hint="eastAsia" w:ascii="宋体" w:hAnsi="宋体" w:eastAsia="宋体" w:cs="宋体"/>
          <w:b w:val="0"/>
          <w:color w:val="auto"/>
          <w:highlight w:val="none"/>
        </w:rPr>
        <w:t>财库[2013]189号</w:t>
      </w:r>
      <w:r>
        <w:rPr>
          <w:rFonts w:hint="eastAsia" w:ascii="宋体" w:hAnsi="宋体" w:eastAsia="宋体" w:cs="宋体"/>
          <w:color w:val="auto"/>
          <w:szCs w:val="21"/>
          <w:highlight w:val="none"/>
        </w:rPr>
        <w:t>)。</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 “工程”是指建设工程，包括建筑物和构筑物的新建、改建、扩建、装修、拆除、修缮等，详见《政府采购品目分类目录》(</w:t>
      </w:r>
      <w:r>
        <w:rPr>
          <w:rStyle w:val="27"/>
          <w:rFonts w:hint="eastAsia" w:ascii="宋体" w:hAnsi="宋体" w:eastAsia="宋体" w:cs="宋体"/>
          <w:b w:val="0"/>
          <w:color w:val="auto"/>
          <w:highlight w:val="none"/>
        </w:rPr>
        <w:t>财库[2013]189号</w:t>
      </w:r>
      <w:r>
        <w:rPr>
          <w:rFonts w:hint="eastAsia" w:ascii="宋体" w:hAnsi="宋体" w:eastAsia="宋体" w:cs="宋体"/>
          <w:color w:val="auto"/>
          <w:szCs w:val="21"/>
          <w:highlight w:val="none"/>
        </w:rPr>
        <w:t>)。</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 “服务”是指除货物和工程以外的其他政府采购对象，详见《政府采购品目分类目录》(</w:t>
      </w:r>
      <w:r>
        <w:rPr>
          <w:rStyle w:val="27"/>
          <w:rFonts w:hint="eastAsia" w:ascii="宋体" w:hAnsi="宋体" w:eastAsia="宋体" w:cs="宋体"/>
          <w:b w:val="0"/>
          <w:color w:val="auto"/>
          <w:highlight w:val="none"/>
        </w:rPr>
        <w:t>财库[2013]189号</w:t>
      </w:r>
      <w:r>
        <w:rPr>
          <w:rFonts w:hint="eastAsia" w:ascii="宋体" w:hAnsi="宋体" w:eastAsia="宋体" w:cs="宋体"/>
          <w:color w:val="auto"/>
          <w:szCs w:val="21"/>
          <w:highlight w:val="none"/>
        </w:rPr>
        <w:t>)。</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2.8</w:t>
      </w:r>
      <w:r>
        <w:rPr>
          <w:rFonts w:hint="eastAsia" w:ascii="宋体" w:hAnsi="宋体" w:eastAsia="宋体" w:cs="宋体"/>
          <w:color w:val="auto"/>
          <w:szCs w:val="21"/>
          <w:highlight w:val="none"/>
        </w:rPr>
        <w:t xml:space="preserve"> “节能产品”或者“环保产品”是指财政部发布的《节能产品政府采购清单》或者《环境标志产品政府采购清单》的产品，“两型产品”是指湖南省财政厅发布的《湖南省两型产品政府采购目录》或《长沙市两型产品目录》的产品。</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2.9</w:t>
      </w:r>
      <w:r>
        <w:rPr>
          <w:rFonts w:hint="eastAsia" w:ascii="宋体" w:hAnsi="宋体" w:eastAsia="宋体" w:cs="宋体"/>
          <w:color w:val="auto"/>
          <w:kern w:val="0"/>
          <w:szCs w:val="21"/>
          <w:highlight w:val="none"/>
        </w:rPr>
        <w:t xml:space="preserve"> “进口产品”是指通过中国海关报关验放进入中国境内且产自关境外的产品，详见《关于政府采购进口产品管理有关问题的通知》(财库[2007]119号)。</w:t>
      </w:r>
    </w:p>
    <w:p>
      <w:pPr>
        <w:keepNext w:val="0"/>
        <w:keepLines w:val="0"/>
        <w:pageBreakBefore w:val="0"/>
        <w:kinsoku/>
        <w:wordWrap/>
        <w:overflowPunct/>
        <w:topLinePunct w:val="0"/>
        <w:autoSpaceDE/>
        <w:bidi w:val="0"/>
        <w:adjustRightInd w:val="0"/>
        <w:snapToGrid w:val="0"/>
        <w:spacing w:line="360" w:lineRule="auto"/>
        <w:ind w:firstLine="48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3.供应商的资格要求</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 供应商应当符合</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中规定的资格条件要求。</w:t>
      </w:r>
    </w:p>
    <w:p>
      <w:pPr>
        <w:keepNext w:val="0"/>
        <w:keepLines w:val="0"/>
        <w:pageBreakBefore w:val="0"/>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3.2供应商</w:t>
      </w:r>
      <w:r>
        <w:rPr>
          <w:rFonts w:hint="eastAsia" w:ascii="宋体" w:hAnsi="宋体" w:eastAsia="宋体" w:cs="宋体"/>
          <w:color w:val="auto"/>
          <w:highlight w:val="none"/>
        </w:rPr>
        <w:t>为联合体形式的</w:t>
      </w:r>
      <w:r>
        <w:rPr>
          <w:rFonts w:hint="eastAsia" w:ascii="宋体" w:hAnsi="宋体" w:eastAsia="宋体" w:cs="宋体"/>
          <w:color w:val="auto"/>
          <w:szCs w:val="21"/>
          <w:highlight w:val="none"/>
        </w:rPr>
        <w:t xml:space="preserve">，除应满足本章第3.1款资格条件要求及第3.3款规定外，还应遵守以下规定： </w:t>
      </w:r>
    </w:p>
    <w:p>
      <w:pPr>
        <w:keepNext w:val="0"/>
        <w:keepLines w:val="0"/>
        <w:pageBreakBefore w:val="0"/>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（1）联合体各方应按磋商文件提供的格式签订联合体协议书，明确联合体牵头人和各方权利义务(含承担工作及工作量比例)；</w:t>
      </w:r>
    </w:p>
    <w:p>
      <w:pPr>
        <w:keepNext w:val="0"/>
        <w:keepLines w:val="0"/>
        <w:pageBreakBefore w:val="0"/>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（2）联合体中有同类资质的供应商按照联合体分工承担相同工作的，应当按照资质等级较低的供应商确定资质等级；</w:t>
      </w:r>
    </w:p>
    <w:p>
      <w:pPr>
        <w:keepNext w:val="0"/>
        <w:keepLines w:val="0"/>
        <w:pageBreakBefore w:val="0"/>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（3）以联合体形式参加政府采购活动的，联合体各方不得再单独参加或者与其他供应商另外组成联合体参加同一合同项下的政府采购活动。</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3.3 供应商不得存在下列情形之一：</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（l）与采购人、采购代理机构存在</w:t>
      </w:r>
      <w:r>
        <w:rPr>
          <w:rFonts w:hint="eastAsia" w:ascii="宋体" w:hAnsi="宋体" w:eastAsia="宋体" w:cs="宋体"/>
          <w:bCs/>
          <w:color w:val="auto"/>
          <w:szCs w:val="21"/>
          <w:highlight w:val="none"/>
        </w:rPr>
        <w:t>隶属关系或者其他利害关系</w:t>
      </w:r>
      <w:r>
        <w:rPr>
          <w:rFonts w:hint="eastAsia" w:ascii="宋体" w:hAnsi="宋体" w:eastAsia="宋体" w:cs="宋体"/>
          <w:color w:val="auto"/>
          <w:szCs w:val="21"/>
          <w:highlight w:val="none"/>
        </w:rPr>
        <w:t>。</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（2）与其他供应商的法定代表人（或者负责人）为同一人，或者与其他供应商存在直接控股、管理关系。</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bCs/>
          <w:color w:val="auto"/>
          <w:szCs w:val="21"/>
          <w:highlight w:val="none"/>
        </w:rPr>
        <w:t>受到刑事处罚，或者受到三万元以上的罚款、责令停产停业、在一至三年内禁止参加政府采购活动、暂扣或者吊销许可证、暂扣或者吊销执照等情形之一的行政处罚，或者存在</w:t>
      </w:r>
      <w:r>
        <w:rPr>
          <w:rFonts w:hint="eastAsia" w:ascii="宋体" w:hAnsi="宋体" w:eastAsia="宋体" w:cs="宋体"/>
          <w:color w:val="auto"/>
          <w:szCs w:val="21"/>
          <w:highlight w:val="none"/>
        </w:rPr>
        <w:t>财政部门认定的其他重大违法记录。</w:t>
      </w:r>
    </w:p>
    <w:p>
      <w:pPr>
        <w:keepNext w:val="0"/>
        <w:keepLines w:val="0"/>
        <w:pageBreakBefore w:val="0"/>
        <w:kinsoku/>
        <w:wordWrap/>
        <w:overflowPunct/>
        <w:topLinePunct w:val="0"/>
        <w:autoSpaceDE/>
        <w:bidi w:val="0"/>
        <w:adjustRightInd w:val="0"/>
        <w:snapToGrid w:val="0"/>
        <w:spacing w:line="360" w:lineRule="auto"/>
        <w:ind w:firstLine="48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4.参与磋商的费用 </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无论磋商的结果如何，供应商应自行承担所有与竞争性磋商采购活动有关的全部费用。</w:t>
      </w:r>
    </w:p>
    <w:p>
      <w:pPr>
        <w:pStyle w:val="13"/>
        <w:keepNext w:val="0"/>
        <w:keepLines w:val="0"/>
        <w:pageBreakBefore w:val="0"/>
        <w:kinsoku/>
        <w:wordWrap/>
        <w:overflowPunct/>
        <w:topLinePunct w:val="0"/>
        <w:autoSpaceDE/>
        <w:bidi w:val="0"/>
        <w:adjustRightInd w:val="0"/>
        <w:snapToGrid w:val="0"/>
        <w:spacing w:line="360" w:lineRule="auto"/>
        <w:ind w:firstLine="482" w:firstLineChars="200"/>
        <w:textAlignment w:val="auto"/>
        <w:rPr>
          <w:rFonts w:hint="eastAsia" w:ascii="宋体" w:hAnsi="宋体" w:eastAsia="宋体" w:cs="宋体"/>
          <w:b/>
          <w:bCs/>
          <w:color w:val="auto"/>
          <w:highlight w:val="none"/>
        </w:rPr>
      </w:pPr>
      <w:r>
        <w:rPr>
          <w:rFonts w:hint="eastAsia" w:ascii="宋体" w:hAnsi="宋体" w:eastAsia="宋体" w:cs="宋体"/>
          <w:b/>
          <w:color w:val="auto"/>
          <w:highlight w:val="none"/>
        </w:rPr>
        <w:t>5．</w:t>
      </w:r>
      <w:r>
        <w:rPr>
          <w:rFonts w:hint="eastAsia" w:ascii="宋体" w:hAnsi="宋体" w:eastAsia="宋体" w:cs="宋体"/>
          <w:b/>
          <w:bCs/>
          <w:color w:val="auto"/>
          <w:highlight w:val="none"/>
        </w:rPr>
        <w:t>授权委托</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5.1供应商代表为供应商法定代表人的，应持有法定代表人身份证明。供应商代表不是供应商法定代表人的，应持有法定代表人授权书，并附法定代表人身份证明。</w:t>
      </w:r>
    </w:p>
    <w:p>
      <w:pPr>
        <w:pStyle w:val="13"/>
        <w:keepNext w:val="0"/>
        <w:keepLines w:val="0"/>
        <w:pageBreakBefore w:val="0"/>
        <w:kinsoku/>
        <w:wordWrap/>
        <w:overflowPunct/>
        <w:topLinePunct w:val="0"/>
        <w:autoSpaceDE/>
        <w:bidi w:val="0"/>
        <w:adjustRightInd w:val="0"/>
        <w:snapToGrid w:val="0"/>
        <w:spacing w:line="360" w:lineRule="auto"/>
        <w:ind w:firstLine="48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6．联合体形式</w:t>
      </w:r>
    </w:p>
    <w:p>
      <w:pPr>
        <w:pStyle w:val="13"/>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6.1除</w:t>
      </w:r>
      <w:r>
        <w:rPr>
          <w:rFonts w:hint="eastAsia" w:ascii="宋体" w:hAnsi="宋体" w:eastAsia="宋体" w:cs="宋体"/>
          <w:b/>
          <w:color w:val="auto"/>
          <w:highlight w:val="none"/>
        </w:rPr>
        <w:t>磋商须知前附表</w:t>
      </w:r>
      <w:r>
        <w:rPr>
          <w:rFonts w:hint="eastAsia" w:ascii="宋体" w:hAnsi="宋体" w:eastAsia="宋体" w:cs="宋体"/>
          <w:color w:val="auto"/>
          <w:highlight w:val="none"/>
        </w:rPr>
        <w:t>中另有规定，本次</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采购不接受为联合体形式的供应商。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6.2供应商</w:t>
      </w:r>
      <w:r>
        <w:rPr>
          <w:rFonts w:hint="eastAsia" w:ascii="宋体" w:hAnsi="宋体" w:eastAsia="宋体" w:cs="宋体"/>
          <w:color w:val="auto"/>
          <w:highlight w:val="none"/>
        </w:rPr>
        <w:t>为联合体形式的</w:t>
      </w:r>
      <w:r>
        <w:rPr>
          <w:rFonts w:hint="eastAsia" w:ascii="宋体" w:hAnsi="宋体" w:eastAsia="宋体" w:cs="宋体"/>
          <w:color w:val="auto"/>
          <w:szCs w:val="21"/>
          <w:highlight w:val="none"/>
        </w:rPr>
        <w:t>，除应符合本章第3条规定外，还应遵守以下规定：</w:t>
      </w:r>
    </w:p>
    <w:p>
      <w:pPr>
        <w:keepNext w:val="0"/>
        <w:keepLines w:val="0"/>
        <w:pageBreakBefore w:val="0"/>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（l）联合体各方必须签订联合体协议书，明确联合体牵头人和各方的义务、工作、合同工作量比例；</w:t>
      </w:r>
    </w:p>
    <w:p>
      <w:pPr>
        <w:keepNext w:val="0"/>
        <w:keepLines w:val="0"/>
        <w:pageBreakBefore w:val="0"/>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（2）联合体各方均应当符合本章第3.1</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zCs w:val="21"/>
          <w:highlight w:val="none"/>
        </w:rPr>
        <w:t>规定的供应商基本资格条件；</w:t>
      </w:r>
    </w:p>
    <w:p>
      <w:pPr>
        <w:keepNext w:val="0"/>
        <w:keepLines w:val="0"/>
        <w:pageBreakBefore w:val="0"/>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highlight w:val="none"/>
        </w:rPr>
        <w:t>除</w:t>
      </w:r>
      <w:r>
        <w:rPr>
          <w:rFonts w:hint="eastAsia" w:ascii="宋体" w:hAnsi="宋体" w:eastAsia="宋体" w:cs="宋体"/>
          <w:b/>
          <w:color w:val="auto"/>
          <w:highlight w:val="none"/>
        </w:rPr>
        <w:t>磋商须知前附表</w:t>
      </w:r>
      <w:r>
        <w:rPr>
          <w:rFonts w:hint="eastAsia" w:ascii="宋体" w:hAnsi="宋体" w:eastAsia="宋体" w:cs="宋体"/>
          <w:color w:val="auto"/>
          <w:highlight w:val="none"/>
        </w:rPr>
        <w:t>中另有规定，</w:t>
      </w:r>
      <w:r>
        <w:rPr>
          <w:rFonts w:hint="eastAsia" w:ascii="宋体" w:hAnsi="宋体" w:eastAsia="宋体" w:cs="宋体"/>
          <w:color w:val="auto"/>
          <w:szCs w:val="21"/>
          <w:highlight w:val="none"/>
        </w:rPr>
        <w:t>联合体各方中至少有一方应当符合本章第3.1</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zCs w:val="21"/>
          <w:highlight w:val="none"/>
        </w:rPr>
        <w:t>规定的供应商特定资格条件；</w:t>
      </w:r>
    </w:p>
    <w:p>
      <w:pPr>
        <w:keepNext w:val="0"/>
        <w:keepLines w:val="0"/>
        <w:pageBreakBefore w:val="0"/>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rPr>
        <w:t>（4）</w:t>
      </w:r>
      <w:r>
        <w:rPr>
          <w:rFonts w:hint="eastAsia" w:ascii="宋体" w:hAnsi="宋体" w:eastAsia="宋体" w:cs="宋体"/>
          <w:color w:val="auto"/>
          <w:kern w:val="0"/>
          <w:szCs w:val="21"/>
          <w:highlight w:val="none"/>
          <w:lang w:val="zh-CN"/>
        </w:rPr>
        <w:t>联合体各方不得再单独或与其他供应商组成新的联合体参加同一项目的采购活动。</w:t>
      </w:r>
    </w:p>
    <w:p>
      <w:pPr>
        <w:keepNext w:val="0"/>
        <w:keepLines w:val="0"/>
        <w:pageBreakBefore w:val="0"/>
        <w:kinsoku/>
        <w:wordWrap/>
        <w:overflowPunct/>
        <w:topLinePunct w:val="0"/>
        <w:autoSpaceDE/>
        <w:bidi w:val="0"/>
        <w:adjustRightInd w:val="0"/>
        <w:snapToGrid w:val="0"/>
        <w:spacing w:line="360" w:lineRule="auto"/>
        <w:ind w:firstLine="48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7.现场勘察</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7.1供应商应按</w:t>
      </w:r>
      <w:r>
        <w:rPr>
          <w:rFonts w:hint="eastAsia" w:ascii="宋体" w:hAnsi="宋体" w:eastAsia="宋体" w:cs="宋体"/>
          <w:b/>
          <w:color w:val="auto"/>
          <w:highlight w:val="none"/>
        </w:rPr>
        <w:t>磋商须知前附表</w:t>
      </w:r>
      <w:r>
        <w:rPr>
          <w:rFonts w:hint="eastAsia" w:ascii="宋体" w:hAnsi="宋体" w:eastAsia="宋体" w:cs="宋体"/>
          <w:color w:val="auto"/>
          <w:highlight w:val="none"/>
        </w:rPr>
        <w:t>中规定</w:t>
      </w:r>
      <w:r>
        <w:rPr>
          <w:rFonts w:hint="eastAsia" w:ascii="宋体" w:hAnsi="宋体" w:eastAsia="宋体" w:cs="宋体"/>
          <w:color w:val="auto"/>
          <w:szCs w:val="21"/>
          <w:highlight w:val="none"/>
        </w:rPr>
        <w:t>对采购项目现场和周围环境的现场考察。</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7.2勘察现场的费用由供应商自己承担，勘察期间所发生的人身伤害及财产损失由供应商自己负责。</w:t>
      </w:r>
    </w:p>
    <w:p>
      <w:pPr>
        <w:keepNext w:val="0"/>
        <w:keepLines w:val="0"/>
        <w:pageBreakBefore w:val="0"/>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7.3采购人不对供应商据此而做出的推论、理解和结论负责。一旦成交，供应商不得以任何借口，提出额外补偿，或延长合同期限的要求。</w:t>
      </w:r>
    </w:p>
    <w:p>
      <w:pPr>
        <w:keepNext w:val="0"/>
        <w:keepLines w:val="0"/>
        <w:pageBreakBefore w:val="0"/>
        <w:kinsoku/>
        <w:wordWrap/>
        <w:overflowPunct/>
        <w:topLinePunct w:val="0"/>
        <w:autoSpaceDE/>
        <w:bidi w:val="0"/>
        <w:adjustRightInd w:val="0"/>
        <w:snapToGrid w:val="0"/>
        <w:spacing w:line="360" w:lineRule="auto"/>
        <w:ind w:firstLine="48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8.采购进口产品</w:t>
      </w:r>
    </w:p>
    <w:p>
      <w:pPr>
        <w:keepNext w:val="0"/>
        <w:keepLines w:val="0"/>
        <w:pageBreakBefore w:val="0"/>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8.1除</w:t>
      </w:r>
      <w:r>
        <w:rPr>
          <w:rFonts w:hint="eastAsia" w:ascii="宋体" w:hAnsi="宋体" w:eastAsia="宋体" w:cs="宋体"/>
          <w:b/>
          <w:color w:val="auto"/>
          <w:szCs w:val="21"/>
          <w:highlight w:val="none"/>
        </w:rPr>
        <w:t>磋商文件前附表</w:t>
      </w:r>
      <w:r>
        <w:rPr>
          <w:rFonts w:hint="eastAsia" w:ascii="宋体" w:hAnsi="宋体" w:eastAsia="宋体" w:cs="宋体"/>
          <w:color w:val="auto"/>
          <w:szCs w:val="21"/>
          <w:highlight w:val="none"/>
        </w:rPr>
        <w:t>另有规定外，本项目</w:t>
      </w:r>
      <w:r>
        <w:rPr>
          <w:rFonts w:hint="eastAsia" w:ascii="宋体" w:hAnsi="宋体" w:eastAsia="宋体" w:cs="宋体"/>
          <w:color w:val="auto"/>
          <w:kern w:val="0"/>
          <w:szCs w:val="21"/>
          <w:highlight w:val="none"/>
        </w:rPr>
        <w:t>拒绝进口产品参加</w:t>
      </w:r>
      <w:r>
        <w:rPr>
          <w:rFonts w:hint="eastAsia" w:ascii="宋体" w:hAnsi="宋体" w:eastAsia="宋体" w:cs="宋体"/>
          <w:color w:val="auto"/>
          <w:szCs w:val="21"/>
          <w:highlight w:val="none"/>
        </w:rPr>
        <w:t>竞争性磋商采购活动</w:t>
      </w:r>
      <w:r>
        <w:rPr>
          <w:rFonts w:hint="eastAsia" w:ascii="宋体" w:hAnsi="宋体" w:eastAsia="宋体" w:cs="宋体"/>
          <w:color w:val="auto"/>
          <w:kern w:val="0"/>
          <w:szCs w:val="21"/>
          <w:highlight w:val="none"/>
        </w:rPr>
        <w:t>。</w:t>
      </w:r>
    </w:p>
    <w:p>
      <w:pPr>
        <w:keepNext w:val="0"/>
        <w:keepLines w:val="0"/>
        <w:pageBreakBefore w:val="0"/>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w:t>
      </w:r>
      <w:r>
        <w:rPr>
          <w:rFonts w:hint="eastAsia" w:ascii="宋体" w:hAnsi="宋体" w:eastAsia="宋体" w:cs="宋体"/>
          <w:color w:val="auto"/>
          <w:szCs w:val="21"/>
          <w:highlight w:val="none"/>
        </w:rPr>
        <w:t>本章第7.1</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zCs w:val="21"/>
          <w:highlight w:val="none"/>
        </w:rPr>
        <w:t>规定</w:t>
      </w:r>
      <w:r>
        <w:rPr>
          <w:rFonts w:hint="eastAsia" w:ascii="宋体" w:hAnsi="宋体" w:eastAsia="宋体" w:cs="宋体"/>
          <w:color w:val="auto"/>
          <w:kern w:val="0"/>
          <w:szCs w:val="21"/>
          <w:highlight w:val="none"/>
        </w:rPr>
        <w:t>同意购买进口产品的，</w:t>
      </w:r>
      <w:r>
        <w:rPr>
          <w:rFonts w:hint="eastAsia" w:ascii="宋体" w:hAnsi="宋体" w:eastAsia="宋体" w:cs="宋体"/>
          <w:color w:val="auto"/>
          <w:szCs w:val="21"/>
          <w:highlight w:val="none"/>
        </w:rPr>
        <w:t>本项目</w:t>
      </w:r>
      <w:r>
        <w:rPr>
          <w:rFonts w:hint="eastAsia" w:ascii="宋体" w:hAnsi="宋体" w:eastAsia="宋体" w:cs="宋体"/>
          <w:color w:val="auto"/>
          <w:kern w:val="0"/>
          <w:szCs w:val="21"/>
          <w:highlight w:val="none"/>
          <w:lang w:val="zh-CN"/>
        </w:rPr>
        <w:t>采购活动</w:t>
      </w:r>
      <w:r>
        <w:rPr>
          <w:rFonts w:hint="eastAsia" w:ascii="宋体" w:hAnsi="宋体" w:eastAsia="宋体" w:cs="宋体"/>
          <w:color w:val="auto"/>
          <w:kern w:val="0"/>
          <w:szCs w:val="21"/>
          <w:highlight w:val="none"/>
        </w:rPr>
        <w:t>不限制满足</w:t>
      </w:r>
      <w:r>
        <w:rPr>
          <w:rFonts w:hint="eastAsia" w:ascii="宋体" w:hAnsi="宋体" w:eastAsia="宋体" w:cs="宋体"/>
          <w:color w:val="auto"/>
          <w:szCs w:val="21"/>
          <w:highlight w:val="none"/>
        </w:rPr>
        <w:t>磋商文件要求</w:t>
      </w:r>
      <w:r>
        <w:rPr>
          <w:rFonts w:hint="eastAsia" w:ascii="宋体" w:hAnsi="宋体" w:eastAsia="宋体" w:cs="宋体"/>
          <w:color w:val="auto"/>
          <w:kern w:val="0"/>
          <w:szCs w:val="21"/>
          <w:highlight w:val="none"/>
        </w:rPr>
        <w:t>的国内产品参与</w:t>
      </w:r>
      <w:r>
        <w:rPr>
          <w:rFonts w:hint="eastAsia" w:ascii="宋体" w:hAnsi="宋体" w:eastAsia="宋体" w:cs="宋体"/>
          <w:color w:val="auto"/>
          <w:szCs w:val="21"/>
          <w:highlight w:val="none"/>
        </w:rPr>
        <w:t>竞争性磋商</w:t>
      </w:r>
      <w:r>
        <w:rPr>
          <w:rFonts w:hint="eastAsia" w:ascii="宋体" w:hAnsi="宋体" w:eastAsia="宋体" w:cs="宋体"/>
          <w:color w:val="auto"/>
          <w:kern w:val="0"/>
          <w:szCs w:val="21"/>
          <w:highlight w:val="none"/>
        </w:rPr>
        <w:t>。</w:t>
      </w:r>
    </w:p>
    <w:p>
      <w:pPr>
        <w:keepNext w:val="0"/>
        <w:keepLines w:val="0"/>
        <w:pageBreakBefore w:val="0"/>
        <w:numPr>
          <w:ilvl w:val="0"/>
          <w:numId w:val="1"/>
        </w:numPr>
        <w:kinsoku/>
        <w:wordWrap/>
        <w:overflowPunct/>
        <w:topLinePunct w:val="0"/>
        <w:autoSpaceDE/>
        <w:bidi w:val="0"/>
        <w:adjustRightInd w:val="0"/>
        <w:snapToGrid w:val="0"/>
        <w:spacing w:line="360" w:lineRule="auto"/>
        <w:ind w:firstLine="48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政府采购政策支持</w:t>
      </w:r>
    </w:p>
    <w:p>
      <w:pPr>
        <w:adjustRightInd w:val="0"/>
        <w:snapToGrid w:val="0"/>
        <w:spacing w:before="156" w:beforeLines="50" w:line="360" w:lineRule="auto"/>
        <w:ind w:firstLine="480" w:firstLineChars="200"/>
        <w:jc w:val="left"/>
        <w:rPr>
          <w:rFonts w:hint="eastAsia"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lang w:val="en-US" w:eastAsia="zh-CN"/>
        </w:rPr>
        <w:t>9</w:t>
      </w:r>
      <w:r>
        <w:rPr>
          <w:rFonts w:hint="eastAsia" w:cs="宋体" w:asciiTheme="minorEastAsia" w:hAnsiTheme="minorEastAsia" w:eastAsiaTheme="minorEastAsia"/>
          <w:color w:val="auto"/>
          <w:kern w:val="0"/>
          <w:highlight w:val="none"/>
        </w:rPr>
        <w:t>.1强制采购：</w:t>
      </w:r>
    </w:p>
    <w:p>
      <w:pPr>
        <w:adjustRightInd w:val="0"/>
        <w:snapToGrid w:val="0"/>
        <w:spacing w:before="156" w:beforeLines="50" w:line="360" w:lineRule="auto"/>
        <w:ind w:firstLine="480" w:firstLineChars="200"/>
        <w:jc w:val="left"/>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rPr>
        <w:t>（1）纳入财政部会同国务院有关部门发布的节能产品政府采购品目清单，实施政府强制采购的（品目清单标注</w:t>
      </w:r>
      <w:r>
        <w:rPr>
          <w:rFonts w:hint="eastAsia" w:cs="宋体" w:asciiTheme="minorEastAsia" w:hAnsiTheme="minorEastAsia" w:eastAsiaTheme="minorEastAsia"/>
          <w:color w:val="auto"/>
          <w:kern w:val="0"/>
          <w:highlight w:val="none"/>
        </w:rPr>
        <w:sym w:font="Wingdings" w:char="F0AB"/>
      </w:r>
      <w:r>
        <w:rPr>
          <w:rFonts w:hint="eastAsia" w:cs="宋体" w:asciiTheme="minorEastAsia" w:hAnsiTheme="minorEastAsia" w:eastAsiaTheme="minorEastAsia"/>
          <w:color w:val="auto"/>
          <w:kern w:val="0"/>
          <w:highlight w:val="none"/>
        </w:rPr>
        <w:t>符号产品），供应商提供的产品应当取得国家确定的认证机构出具的、处于有效期之内的节能产品认证证书，否则</w:t>
      </w:r>
      <w:r>
        <w:rPr>
          <w:rFonts w:hint="eastAsia" w:cs="宋体" w:asciiTheme="minorEastAsia" w:hAnsiTheme="minorEastAsia" w:eastAsiaTheme="minorEastAsia"/>
          <w:b/>
          <w:bCs/>
          <w:color w:val="auto"/>
          <w:kern w:val="0"/>
          <w:highlight w:val="none"/>
        </w:rPr>
        <w:t>其响应</w:t>
      </w:r>
      <w:r>
        <w:rPr>
          <w:rFonts w:hint="eastAsia" w:cs="宋体" w:asciiTheme="minorEastAsia" w:hAnsiTheme="minorEastAsia" w:eastAsiaTheme="minorEastAsia"/>
          <w:b/>
          <w:bCs/>
          <w:color w:val="auto"/>
          <w:kern w:val="0"/>
          <w:szCs w:val="21"/>
          <w:highlight w:val="none"/>
        </w:rPr>
        <w:t>无效</w:t>
      </w:r>
      <w:r>
        <w:rPr>
          <w:rFonts w:hint="eastAsia" w:cs="宋体" w:asciiTheme="minorEastAsia" w:hAnsiTheme="minorEastAsia" w:eastAsiaTheme="minorEastAsia"/>
          <w:color w:val="auto"/>
          <w:kern w:val="0"/>
          <w:highlight w:val="none"/>
        </w:rPr>
        <w:t>。</w:t>
      </w:r>
    </w:p>
    <w:p>
      <w:pPr>
        <w:keepNext w:val="0"/>
        <w:keepLines w:val="0"/>
        <w:pageBreakBefore w:val="0"/>
        <w:widowControl w:val="0"/>
        <w:kinsoku/>
        <w:wordWrap/>
        <w:overflowPunct/>
        <w:topLinePunct w:val="0"/>
        <w:autoSpaceDE/>
        <w:autoSpaceDN/>
        <w:bidi w:val="0"/>
        <w:adjustRightInd w:val="0"/>
        <w:snapToGrid w:val="0"/>
        <w:spacing w:before="156" w:beforeLines="50" w:line="360" w:lineRule="auto"/>
        <w:ind w:firstLine="480" w:firstLineChars="200"/>
        <w:jc w:val="left"/>
        <w:textAlignment w:val="auto"/>
        <w:rPr>
          <w:rFonts w:cs="宋体" w:asciiTheme="minorEastAsia" w:hAnsiTheme="minorEastAsia" w:eastAsiaTheme="minorEastAsia"/>
          <w:color w:val="auto"/>
          <w:kern w:val="0"/>
          <w:highlight w:val="none"/>
        </w:rPr>
      </w:pPr>
      <w:r>
        <w:rPr>
          <w:rFonts w:hint="eastAsia" w:cs="宋体" w:asciiTheme="minorEastAsia" w:hAnsiTheme="minorEastAsia" w:eastAsiaTheme="minorEastAsia"/>
          <w:color w:val="auto"/>
          <w:kern w:val="0"/>
          <w:highlight w:val="none"/>
          <w:lang w:val="en-US" w:eastAsia="zh-CN"/>
        </w:rPr>
        <w:t>9</w:t>
      </w:r>
      <w:r>
        <w:rPr>
          <w:rFonts w:hint="eastAsia" w:cs="宋体" w:asciiTheme="minorEastAsia" w:hAnsiTheme="minorEastAsia" w:eastAsiaTheme="minorEastAsia"/>
          <w:color w:val="auto"/>
          <w:kern w:val="0"/>
          <w:highlight w:val="none"/>
        </w:rPr>
        <w:t>.2优先采购：</w:t>
      </w:r>
    </w:p>
    <w:p>
      <w:pPr>
        <w:keepNext w:val="0"/>
        <w:keepLines w:val="0"/>
        <w:pageBreakBefore w:val="0"/>
        <w:widowControl w:val="0"/>
        <w:kinsoku/>
        <w:wordWrap/>
        <w:overflowPunct/>
        <w:topLinePunct w:val="0"/>
        <w:autoSpaceDE/>
        <w:autoSpaceDN/>
        <w:bidi w:val="0"/>
        <w:adjustRightInd w:val="0"/>
        <w:snapToGrid w:val="0"/>
        <w:spacing w:before="156" w:beforeLines="50" w:line="360" w:lineRule="auto"/>
        <w:ind w:firstLine="480" w:firstLineChars="200"/>
        <w:jc w:val="left"/>
        <w:textAlignment w:val="auto"/>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w:t>
      </w:r>
      <w:r>
        <w:rPr>
          <w:rFonts w:hint="eastAsia" w:ascii="宋体" w:hAnsi="宋体"/>
          <w:color w:val="auto"/>
          <w:highlight w:val="none"/>
        </w:rPr>
        <w:t>对</w:t>
      </w:r>
      <w:r>
        <w:rPr>
          <w:rFonts w:hint="eastAsia" w:ascii="宋体" w:hAnsi="宋体"/>
          <w:color w:val="auto"/>
          <w:szCs w:val="21"/>
          <w:highlight w:val="none"/>
        </w:rPr>
        <w:t>纳入财政部会同国务院有关部门发布的节能产品、环境标志产品政府采购品目清单，实施政府优先采购的，评审时按</w:t>
      </w:r>
      <w:r>
        <w:rPr>
          <w:rFonts w:hint="eastAsia" w:ascii="宋体" w:hAnsi="宋体"/>
          <w:b/>
          <w:color w:val="auto"/>
          <w:szCs w:val="21"/>
          <w:highlight w:val="none"/>
          <w:lang w:eastAsia="zh-CN"/>
        </w:rPr>
        <w:t>磋商</w:t>
      </w:r>
      <w:r>
        <w:rPr>
          <w:rFonts w:hint="eastAsia" w:ascii="宋体" w:hAnsi="宋体"/>
          <w:b/>
          <w:color w:val="auto"/>
          <w:szCs w:val="21"/>
          <w:highlight w:val="none"/>
        </w:rPr>
        <w:t>须知前附表</w:t>
      </w:r>
      <w:r>
        <w:rPr>
          <w:rFonts w:hint="eastAsia" w:ascii="宋体" w:hAnsi="宋体"/>
          <w:color w:val="auto"/>
          <w:szCs w:val="21"/>
          <w:highlight w:val="none"/>
        </w:rPr>
        <w:t>规定给予</w:t>
      </w:r>
      <w:r>
        <w:rPr>
          <w:rFonts w:hint="eastAsia" w:ascii="宋体" w:hAnsi="宋体"/>
          <w:color w:val="auto"/>
          <w:szCs w:val="21"/>
          <w:highlight w:val="none"/>
          <w:lang w:eastAsia="zh-CN"/>
        </w:rPr>
        <w:t>优惠</w:t>
      </w:r>
      <w:r>
        <w:rPr>
          <w:rFonts w:hint="eastAsia" w:ascii="宋体" w:hAnsi="宋体"/>
          <w:color w:val="auto"/>
          <w:szCs w:val="21"/>
          <w:highlight w:val="none"/>
        </w:rPr>
        <w:t>；</w:t>
      </w:r>
      <w:r>
        <w:rPr>
          <w:rFonts w:asciiTheme="minorEastAsia" w:hAnsiTheme="minorEastAsia" w:eastAsiaTheme="minorEastAsia"/>
          <w:color w:val="auto"/>
          <w:highlight w:val="none"/>
        </w:rPr>
        <w:t xml:space="preserve"> </w:t>
      </w:r>
    </w:p>
    <w:p>
      <w:pPr>
        <w:adjustRightInd w:val="0"/>
        <w:snapToGrid w:val="0"/>
        <w:spacing w:before="156" w:beforeLines="50" w:line="360" w:lineRule="auto"/>
        <w:ind w:firstLine="48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w:t>
      </w:r>
      <w:r>
        <w:rPr>
          <w:rFonts w:hint="eastAsia" w:ascii="宋体" w:hAnsi="宋体"/>
          <w:color w:val="auto"/>
          <w:highlight w:val="none"/>
        </w:rPr>
        <w:t>对纳入湖南省财政厅等有关部门发布的湖南省两型产品政府采购目录的，实施政府优先采购，评审时按</w:t>
      </w:r>
      <w:r>
        <w:rPr>
          <w:rFonts w:hint="eastAsia" w:ascii="宋体" w:hAnsi="宋体"/>
          <w:b/>
          <w:color w:val="auto"/>
          <w:szCs w:val="21"/>
          <w:highlight w:val="none"/>
          <w:lang w:eastAsia="zh-CN"/>
        </w:rPr>
        <w:t>磋商</w:t>
      </w:r>
      <w:r>
        <w:rPr>
          <w:rFonts w:hint="eastAsia" w:ascii="宋体" w:hAnsi="宋体"/>
          <w:b/>
          <w:color w:val="auto"/>
          <w:szCs w:val="21"/>
          <w:highlight w:val="none"/>
        </w:rPr>
        <w:t>须知前附表</w:t>
      </w:r>
      <w:r>
        <w:rPr>
          <w:rFonts w:hint="eastAsia" w:ascii="宋体" w:hAnsi="宋体"/>
          <w:color w:val="auto"/>
          <w:szCs w:val="21"/>
          <w:highlight w:val="none"/>
        </w:rPr>
        <w:t>规定</w:t>
      </w:r>
      <w:r>
        <w:rPr>
          <w:rFonts w:hint="eastAsia" w:ascii="宋体" w:hAnsi="宋体"/>
          <w:color w:val="auto"/>
          <w:highlight w:val="none"/>
        </w:rPr>
        <w:t>给予</w:t>
      </w:r>
      <w:r>
        <w:rPr>
          <w:rFonts w:hint="eastAsia" w:ascii="宋体" w:hAnsi="宋体"/>
          <w:color w:val="auto"/>
          <w:szCs w:val="21"/>
          <w:highlight w:val="none"/>
          <w:lang w:eastAsia="zh-CN"/>
        </w:rPr>
        <w:t>优惠</w:t>
      </w:r>
      <w:r>
        <w:rPr>
          <w:rFonts w:hint="eastAsia" w:ascii="宋体" w:hAnsi="宋体"/>
          <w:color w:val="auto"/>
          <w:highlight w:val="none"/>
        </w:rPr>
        <w:t>。</w:t>
      </w:r>
    </w:p>
    <w:p>
      <w:pPr>
        <w:adjustRightInd w:val="0"/>
        <w:snapToGrid w:val="0"/>
        <w:spacing w:before="156" w:beforeLines="50" w:line="360" w:lineRule="auto"/>
        <w:ind w:firstLine="48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9</w:t>
      </w:r>
      <w:r>
        <w:rPr>
          <w:rFonts w:hint="eastAsia" w:asciiTheme="minorEastAsia" w:hAnsiTheme="minorEastAsia" w:eastAsiaTheme="minorEastAsia"/>
          <w:color w:val="auto"/>
          <w:highlight w:val="none"/>
        </w:rPr>
        <w:t>.3价格评审优惠：</w:t>
      </w:r>
    </w:p>
    <w:p>
      <w:pPr>
        <w:adjustRightInd w:val="0"/>
        <w:snapToGrid w:val="0"/>
        <w:spacing w:before="156" w:beforeLines="50" w:line="360" w:lineRule="auto"/>
        <w:ind w:firstLine="48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w:t>
      </w:r>
      <w:r>
        <w:rPr>
          <w:rFonts w:hint="eastAsia" w:ascii="宋体" w:hAnsi="宋体"/>
          <w:color w:val="auto"/>
          <w:highlight w:val="none"/>
        </w:rPr>
        <w:t>供应商为小型、微型企业，且提供本企业生产的货物或者提供其他小型、微型企业生产的货物，价格按</w:t>
      </w:r>
      <w:r>
        <w:rPr>
          <w:rFonts w:hint="eastAsia" w:ascii="宋体" w:hAnsi="宋体"/>
          <w:b/>
          <w:color w:val="auto"/>
          <w:szCs w:val="21"/>
          <w:highlight w:val="none"/>
          <w:lang w:eastAsia="zh-CN"/>
        </w:rPr>
        <w:t>磋商</w:t>
      </w:r>
      <w:r>
        <w:rPr>
          <w:rFonts w:hint="eastAsia" w:ascii="宋体" w:hAnsi="宋体"/>
          <w:b/>
          <w:color w:val="auto"/>
          <w:szCs w:val="21"/>
          <w:highlight w:val="none"/>
        </w:rPr>
        <w:t>须知前附表</w:t>
      </w:r>
      <w:r>
        <w:rPr>
          <w:rFonts w:hint="eastAsia" w:ascii="宋体" w:hAnsi="宋体"/>
          <w:color w:val="auto"/>
          <w:szCs w:val="21"/>
          <w:highlight w:val="none"/>
        </w:rPr>
        <w:t>规定</w:t>
      </w:r>
      <w:r>
        <w:rPr>
          <w:rFonts w:hint="eastAsia" w:ascii="宋体" w:hAnsi="宋体"/>
          <w:color w:val="auto"/>
          <w:highlight w:val="none"/>
        </w:rPr>
        <w:t>给予价格折扣，用扣除后的价格参与评审。本项所称货物不包括使用大型企业注册商标的货物；</w:t>
      </w:r>
    </w:p>
    <w:p>
      <w:pPr>
        <w:adjustRightInd w:val="0"/>
        <w:snapToGrid w:val="0"/>
        <w:spacing w:before="156" w:beforeLines="50" w:line="360" w:lineRule="auto"/>
        <w:ind w:firstLine="48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w:t>
      </w:r>
      <w:r>
        <w:rPr>
          <w:rFonts w:hint="eastAsia" w:ascii="宋体" w:hAnsi="宋体"/>
          <w:color w:val="auto"/>
          <w:highlight w:val="none"/>
        </w:rPr>
        <w:t>小型、微型企业参加联合体并在联合体协议中明确其在合同金额占联合体合同总金额 30%以上的，该联合体价格按</w:t>
      </w:r>
      <w:r>
        <w:rPr>
          <w:rFonts w:hint="eastAsia" w:ascii="宋体" w:hAnsi="宋体"/>
          <w:b/>
          <w:color w:val="auto"/>
          <w:szCs w:val="21"/>
          <w:highlight w:val="none"/>
          <w:lang w:eastAsia="zh-CN"/>
        </w:rPr>
        <w:t>磋商</w:t>
      </w:r>
      <w:r>
        <w:rPr>
          <w:rFonts w:hint="eastAsia" w:ascii="宋体" w:hAnsi="宋体"/>
          <w:b/>
          <w:color w:val="auto"/>
          <w:szCs w:val="21"/>
          <w:highlight w:val="none"/>
        </w:rPr>
        <w:t>须知前附表</w:t>
      </w:r>
      <w:r>
        <w:rPr>
          <w:rFonts w:hint="eastAsia" w:ascii="宋体" w:hAnsi="宋体"/>
          <w:color w:val="auto"/>
          <w:szCs w:val="21"/>
          <w:highlight w:val="none"/>
        </w:rPr>
        <w:t>规定</w:t>
      </w:r>
      <w:r>
        <w:rPr>
          <w:rFonts w:hint="eastAsia" w:ascii="宋体" w:hAnsi="宋体"/>
          <w:color w:val="auto"/>
          <w:highlight w:val="none"/>
        </w:rPr>
        <w:t>给予价格折扣，用扣除后的价格参与评审。联合体各方均为小型、微型企业的，联合体视同为小型、微型企业；</w:t>
      </w:r>
      <w:r>
        <w:rPr>
          <w:rFonts w:asciiTheme="minorEastAsia" w:hAnsiTheme="minorEastAsia" w:eastAsiaTheme="minorEastAsia"/>
          <w:color w:val="auto"/>
          <w:highlight w:val="none"/>
        </w:rPr>
        <w:t xml:space="preserve"> </w:t>
      </w:r>
    </w:p>
    <w:p>
      <w:pPr>
        <w:adjustRightInd w:val="0"/>
        <w:snapToGrid w:val="0"/>
        <w:spacing w:before="156" w:beforeLines="50" w:line="360" w:lineRule="auto"/>
        <w:ind w:firstLine="480" w:firstLineChars="200"/>
        <w:jc w:val="left"/>
        <w:rPr>
          <w:rFonts w:ascii="宋体" w:hAnsi="宋体"/>
          <w:color w:val="auto"/>
          <w:szCs w:val="21"/>
          <w:highlight w:val="none"/>
        </w:rPr>
      </w:pPr>
      <w:r>
        <w:rPr>
          <w:rFonts w:hint="eastAsia" w:asciiTheme="minorEastAsia" w:hAnsiTheme="minorEastAsia" w:eastAsiaTheme="minorEastAsia"/>
          <w:color w:val="auto"/>
          <w:highlight w:val="none"/>
        </w:rPr>
        <w:t>（3）</w:t>
      </w:r>
      <w:r>
        <w:rPr>
          <w:rFonts w:hint="eastAsia" w:ascii="宋体" w:hAnsi="宋体"/>
          <w:color w:val="auto"/>
          <w:highlight w:val="none"/>
        </w:rPr>
        <w:t>监狱企业、残</w:t>
      </w:r>
      <w:r>
        <w:rPr>
          <w:rFonts w:hint="eastAsia" w:ascii="宋体" w:hAnsi="宋体"/>
          <w:color w:val="auto"/>
          <w:szCs w:val="21"/>
          <w:highlight w:val="none"/>
        </w:rPr>
        <w:t>疾人福利性单位视同小型、微型企业，享受评审中价格扣除等促进中小企业发展的政府采购政策。</w:t>
      </w:r>
      <w:r>
        <w:rPr>
          <w:rFonts w:ascii="宋体" w:hAnsi="宋体"/>
          <w:color w:val="auto"/>
          <w:szCs w:val="21"/>
          <w:highlight w:val="none"/>
        </w:rPr>
        <w:t xml:space="preserve"> </w:t>
      </w:r>
    </w:p>
    <w:p>
      <w:pPr>
        <w:adjustRightInd w:val="0"/>
        <w:snapToGrid w:val="0"/>
        <w:spacing w:before="156" w:beforeLines="50" w:line="360" w:lineRule="auto"/>
        <w:ind w:firstLine="48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9</w:t>
      </w:r>
      <w:r>
        <w:rPr>
          <w:rFonts w:hint="eastAsia" w:asciiTheme="minorEastAsia" w:hAnsiTheme="minorEastAsia" w:eastAsiaTheme="minorEastAsia"/>
          <w:color w:val="auto"/>
          <w:highlight w:val="none"/>
        </w:rPr>
        <w:t>.4政府采购政策交叉与叠加</w:t>
      </w:r>
    </w:p>
    <w:p>
      <w:pPr>
        <w:adjustRightInd w:val="0"/>
        <w:snapToGrid w:val="0"/>
        <w:spacing w:before="156" w:beforeLines="50" w:line="360" w:lineRule="auto"/>
        <w:ind w:firstLine="48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w:t>
      </w:r>
      <w:r>
        <w:rPr>
          <w:rFonts w:hint="eastAsia" w:ascii="宋体" w:hAnsi="宋体"/>
          <w:color w:val="auto"/>
          <w:highlight w:val="none"/>
        </w:rPr>
        <w:t>供应商提供的产品取得两个及以上优先采购产品认证的，评审时只有其中一项产品能够享受优先采购优惠（供应商自行选择，并在响应文件中并填报相关信息及数据）</w:t>
      </w:r>
    </w:p>
    <w:p>
      <w:pPr>
        <w:adjustRightInd w:val="0"/>
        <w:snapToGrid w:val="0"/>
        <w:spacing w:before="156" w:beforeLines="50" w:line="360" w:lineRule="auto"/>
        <w:ind w:firstLine="48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w:t>
      </w:r>
      <w:r>
        <w:rPr>
          <w:rFonts w:hint="eastAsia" w:ascii="宋体" w:hAnsi="宋体"/>
          <w:color w:val="auto"/>
          <w:highlight w:val="none"/>
        </w:rPr>
        <w:t>供应商同时符合小型、微型企业及监狱企业、残疾人福利性单位要求的，评审时只有一种类型享受价格评审优惠政策；</w:t>
      </w:r>
    </w:p>
    <w:p>
      <w:pPr>
        <w:adjustRightInd w:val="0"/>
        <w:snapToGrid w:val="0"/>
        <w:spacing w:before="156" w:beforeLines="50" w:line="360" w:lineRule="auto"/>
        <w:ind w:firstLine="48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w:t>
      </w:r>
      <w:r>
        <w:rPr>
          <w:rFonts w:hint="eastAsia" w:ascii="宋体" w:hAnsi="宋体"/>
          <w:color w:val="auto"/>
          <w:highlight w:val="none"/>
        </w:rPr>
        <w:t>小型和微型企业的价格评审优惠可以与同时属于“节能产品”、“环境标志产品”及“两型产品”中的一项优先采购优惠累加计算。</w:t>
      </w:r>
    </w:p>
    <w:p>
      <w:pPr>
        <w:adjustRightInd w:val="0"/>
        <w:snapToGrid w:val="0"/>
        <w:spacing w:before="156" w:beforeLines="50" w:line="360" w:lineRule="auto"/>
        <w:ind w:firstLine="48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9</w:t>
      </w:r>
      <w:r>
        <w:rPr>
          <w:rFonts w:hint="eastAsia" w:asciiTheme="minorEastAsia" w:hAnsiTheme="minorEastAsia" w:eastAsiaTheme="minorEastAsia"/>
          <w:color w:val="auto"/>
          <w:highlight w:val="none"/>
        </w:rPr>
        <w:t>.5</w:t>
      </w:r>
      <w:r>
        <w:rPr>
          <w:rFonts w:hint="eastAsia" w:ascii="宋体" w:hAnsi="宋体"/>
          <w:color w:val="auto"/>
          <w:highlight w:val="none"/>
        </w:rPr>
        <w:t>小型、微型企业的供应商提供部分小型、微型企业制造的产品，以及部分产品属于优先采购的，评审时只对该部分产品的报价实行价格扣除。</w:t>
      </w:r>
    </w:p>
    <w:p>
      <w:pPr>
        <w:adjustRightInd w:val="0"/>
        <w:snapToGrid w:val="0"/>
        <w:spacing w:before="156" w:beforeLines="50" w:line="360" w:lineRule="auto"/>
        <w:ind w:firstLine="48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9</w:t>
      </w:r>
      <w:r>
        <w:rPr>
          <w:rFonts w:hint="eastAsia" w:asciiTheme="minorEastAsia" w:hAnsiTheme="minorEastAsia" w:eastAsiaTheme="minorEastAsia"/>
          <w:color w:val="auto"/>
          <w:highlight w:val="none"/>
        </w:rPr>
        <w:t>.6响应文件符合本章第</w:t>
      </w:r>
      <w:r>
        <w:rPr>
          <w:rFonts w:hint="eastAsia" w:asciiTheme="minorEastAsia" w:hAnsiTheme="minorEastAsia" w:eastAsiaTheme="minorEastAsia"/>
          <w:color w:val="auto"/>
          <w:highlight w:val="none"/>
          <w:lang w:val="en-US" w:eastAsia="zh-CN"/>
        </w:rPr>
        <w:t>9</w:t>
      </w:r>
      <w:r>
        <w:rPr>
          <w:rFonts w:hint="eastAsia" w:asciiTheme="minorEastAsia" w:hAnsiTheme="minorEastAsia" w:eastAsiaTheme="minorEastAsia"/>
          <w:color w:val="auto"/>
          <w:highlight w:val="none"/>
        </w:rPr>
        <w:t>.1款、第</w:t>
      </w:r>
      <w:r>
        <w:rPr>
          <w:rFonts w:hint="eastAsia" w:asciiTheme="minorEastAsia" w:hAnsiTheme="minorEastAsia" w:eastAsiaTheme="minorEastAsia"/>
          <w:color w:val="auto"/>
          <w:highlight w:val="none"/>
          <w:lang w:val="en-US" w:eastAsia="zh-CN"/>
        </w:rPr>
        <w:t>9</w:t>
      </w:r>
      <w:r>
        <w:rPr>
          <w:rFonts w:hint="eastAsia" w:asciiTheme="minorEastAsia" w:hAnsiTheme="minorEastAsia" w:eastAsiaTheme="minorEastAsia"/>
          <w:color w:val="auto"/>
          <w:highlight w:val="none"/>
        </w:rPr>
        <w:t>.2款、第</w:t>
      </w:r>
      <w:r>
        <w:rPr>
          <w:rFonts w:hint="eastAsia" w:asciiTheme="minorEastAsia" w:hAnsiTheme="minorEastAsia" w:eastAsiaTheme="minorEastAsia"/>
          <w:color w:val="auto"/>
          <w:highlight w:val="none"/>
          <w:lang w:val="en-US" w:eastAsia="zh-CN"/>
        </w:rPr>
        <w:t>9</w:t>
      </w:r>
      <w:r>
        <w:rPr>
          <w:rFonts w:hint="eastAsia" w:asciiTheme="minorEastAsia" w:hAnsiTheme="minorEastAsia" w:eastAsiaTheme="minorEastAsia"/>
          <w:color w:val="auto"/>
          <w:highlight w:val="none"/>
        </w:rPr>
        <w:t>.3款规定的，供应商应提供相关证明资料。</w:t>
      </w:r>
    </w:p>
    <w:p>
      <w:pPr>
        <w:adjustRightInd w:val="0"/>
        <w:snapToGrid w:val="0"/>
        <w:spacing w:before="156" w:beforeLines="50" w:line="360" w:lineRule="auto"/>
        <w:ind w:firstLine="48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（1）</w:t>
      </w:r>
      <w:r>
        <w:rPr>
          <w:rFonts w:hint="eastAsia" w:ascii="宋体" w:hAnsi="宋体"/>
          <w:color w:val="auto"/>
          <w:highlight w:val="none"/>
        </w:rPr>
        <w:t>节能产品、环境标志产品：提供国家确定的认证机构出具的、处于有效期之内的节能产品、环境标志产品认证证书（复印件）。</w:t>
      </w:r>
    </w:p>
    <w:p>
      <w:pPr>
        <w:adjustRightInd w:val="0"/>
        <w:snapToGrid w:val="0"/>
        <w:spacing w:before="156" w:beforeLines="50" w:line="360" w:lineRule="auto"/>
        <w:ind w:firstLine="48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（2）</w:t>
      </w:r>
      <w:r>
        <w:rPr>
          <w:rFonts w:hint="eastAsia" w:ascii="宋体" w:hAnsi="宋体"/>
          <w:color w:val="auto"/>
          <w:highlight w:val="none"/>
        </w:rPr>
        <w:t>两型产品：提供《湖南省两型产品政府采购目录》（最新一期）文件首页和产品所在页（截图）。</w:t>
      </w:r>
    </w:p>
    <w:p>
      <w:pPr>
        <w:adjustRightInd w:val="0"/>
        <w:snapToGrid w:val="0"/>
        <w:spacing w:before="156" w:beforeLines="50" w:line="360" w:lineRule="auto"/>
        <w:ind w:firstLine="48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（3）</w:t>
      </w:r>
      <w:r>
        <w:rPr>
          <w:rFonts w:hint="eastAsia" w:ascii="宋体" w:hAnsi="宋体"/>
          <w:color w:val="auto"/>
          <w:highlight w:val="none"/>
        </w:rPr>
        <w:t>中小企业：按《关于印发＜政府采购促进中小企业发展暂行办法＞的通知》(财库[2011]181号)规定，提供《小型、微型企业声明函》（格式）。</w:t>
      </w:r>
    </w:p>
    <w:p>
      <w:pPr>
        <w:adjustRightInd w:val="0"/>
        <w:snapToGrid w:val="0"/>
        <w:spacing w:before="156" w:beforeLines="50" w:line="360" w:lineRule="auto"/>
        <w:ind w:firstLine="48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（4）监狱企业：按《关于政府采购支持监狱企业发展有关问题的通知》(财库〔2014〕68号)文件规定提供证明文件（复印件）。</w:t>
      </w:r>
    </w:p>
    <w:p>
      <w:pPr>
        <w:adjustRightInd w:val="0"/>
        <w:snapToGrid w:val="0"/>
        <w:spacing w:before="156" w:beforeLines="50" w:line="360" w:lineRule="auto"/>
        <w:ind w:firstLine="48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rPr>
        <w:t>（5）残疾人福利性单位：按《关于促进残疾人就业政府采购政策的通知》(财库〔2017〕141号)文件规定提供《残疾人福利性单位声明函》（格式）。</w:t>
      </w:r>
    </w:p>
    <w:p>
      <w:pPr>
        <w:adjustRightInd w:val="0"/>
        <w:snapToGrid w:val="0"/>
        <w:spacing w:before="156" w:beforeLines="50" w:line="360" w:lineRule="auto"/>
        <w:ind w:firstLine="48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9</w:t>
      </w:r>
      <w:r>
        <w:rPr>
          <w:rFonts w:hint="eastAsia" w:asciiTheme="minorEastAsia" w:hAnsiTheme="minorEastAsia" w:eastAsiaTheme="minorEastAsia"/>
          <w:color w:val="auto"/>
          <w:highlight w:val="none"/>
        </w:rPr>
        <w:t>.7进口产品是指符合《政府采购进口产品管理办法》（财库〔2007〕119号）和《关于政府采购进口产品管理有关问题的通知》（财办库〔2008〕248号）文件规定的产品。除</w:t>
      </w:r>
      <w:r>
        <w:rPr>
          <w:rFonts w:hint="eastAsia" w:ascii="宋体" w:hAnsi="宋体"/>
          <w:b/>
          <w:color w:val="auto"/>
          <w:szCs w:val="21"/>
          <w:highlight w:val="none"/>
          <w:lang w:eastAsia="zh-CN"/>
        </w:rPr>
        <w:t>磋商</w:t>
      </w:r>
      <w:r>
        <w:rPr>
          <w:rFonts w:hint="eastAsia" w:asciiTheme="minorEastAsia" w:hAnsiTheme="minorEastAsia" w:eastAsiaTheme="minorEastAsia"/>
          <w:b/>
          <w:color w:val="auto"/>
          <w:highlight w:val="none"/>
        </w:rPr>
        <w:t>须知前附表</w:t>
      </w:r>
      <w:r>
        <w:rPr>
          <w:rFonts w:hint="eastAsia" w:asciiTheme="minorEastAsia" w:hAnsiTheme="minorEastAsia" w:eastAsiaTheme="minorEastAsia"/>
          <w:color w:val="auto"/>
          <w:highlight w:val="none"/>
        </w:rPr>
        <w:t>另有规定外，采购项目拒绝进口产品参加</w:t>
      </w:r>
      <w:r>
        <w:rPr>
          <w:rFonts w:hint="eastAsia" w:asciiTheme="minorEastAsia" w:hAnsiTheme="minorEastAsia" w:eastAsiaTheme="minorEastAsia"/>
          <w:color w:val="auto"/>
          <w:highlight w:val="none"/>
          <w:lang w:eastAsia="zh-CN"/>
        </w:rPr>
        <w:t>磋商</w:t>
      </w:r>
      <w:r>
        <w:rPr>
          <w:rFonts w:hint="eastAsia" w:asciiTheme="minorEastAsia" w:hAnsiTheme="minorEastAsia" w:eastAsiaTheme="minorEastAsia"/>
          <w:color w:val="auto"/>
          <w:highlight w:val="none"/>
        </w:rPr>
        <w:t>。本款规定同意购买进口产品的，不限制满足</w:t>
      </w:r>
      <w:r>
        <w:rPr>
          <w:rFonts w:hint="eastAsia" w:asciiTheme="minorEastAsia" w:hAnsiTheme="minorEastAsia" w:eastAsiaTheme="minorEastAsia"/>
          <w:color w:val="auto"/>
          <w:highlight w:val="none"/>
          <w:lang w:eastAsia="zh-CN"/>
        </w:rPr>
        <w:t>磋商</w:t>
      </w:r>
      <w:r>
        <w:rPr>
          <w:rFonts w:hint="eastAsia" w:asciiTheme="minorEastAsia" w:hAnsiTheme="minorEastAsia" w:eastAsiaTheme="minorEastAsia"/>
          <w:color w:val="auto"/>
          <w:highlight w:val="none"/>
        </w:rPr>
        <w:t>文件要求的国内产品参与</w:t>
      </w:r>
      <w:r>
        <w:rPr>
          <w:rFonts w:hint="eastAsia" w:asciiTheme="minorEastAsia" w:hAnsiTheme="minorEastAsia" w:eastAsiaTheme="minorEastAsia"/>
          <w:color w:val="auto"/>
          <w:highlight w:val="none"/>
          <w:lang w:eastAsia="zh-CN"/>
        </w:rPr>
        <w:t>磋商</w:t>
      </w:r>
      <w:r>
        <w:rPr>
          <w:rFonts w:hint="eastAsia" w:asciiTheme="minorEastAsia" w:hAnsiTheme="minorEastAsia" w:eastAsiaTheme="minorEastAsia"/>
          <w:color w:val="auto"/>
          <w:highlight w:val="none"/>
        </w:rPr>
        <w:t>竞争。</w:t>
      </w:r>
    </w:p>
    <w:p>
      <w:pPr>
        <w:adjustRightInd w:val="0"/>
        <w:snapToGrid w:val="0"/>
        <w:spacing w:before="156" w:beforeLines="50" w:line="360" w:lineRule="auto"/>
        <w:ind w:firstLine="480" w:firstLineChars="200"/>
        <w:jc w:val="left"/>
        <w:rPr>
          <w:rFonts w:asciiTheme="minorEastAsia" w:hAnsiTheme="minorEastAsia" w:eastAsiaTheme="minorEastAsia"/>
          <w:color w:val="auto"/>
          <w:highlight w:val="none"/>
        </w:rPr>
      </w:pPr>
      <w:r>
        <w:rPr>
          <w:rFonts w:hint="eastAsia" w:asciiTheme="minorEastAsia" w:hAnsiTheme="minorEastAsia" w:eastAsiaTheme="minorEastAsia"/>
          <w:color w:val="auto"/>
          <w:highlight w:val="none"/>
          <w:lang w:val="en-US" w:eastAsia="zh-CN"/>
        </w:rPr>
        <w:t>9</w:t>
      </w:r>
      <w:r>
        <w:rPr>
          <w:rFonts w:hint="eastAsia" w:asciiTheme="minorEastAsia" w:hAnsiTheme="minorEastAsia" w:eastAsiaTheme="minorEastAsia"/>
          <w:color w:val="auto"/>
          <w:highlight w:val="none"/>
        </w:rPr>
        <w:t>.8供应商有融资、担保需求的，可登陆中国湖南政府采购网查询相关银行、担保机构业务。</w:t>
      </w:r>
    </w:p>
    <w:p>
      <w:pPr>
        <w:keepNext w:val="0"/>
        <w:keepLines w:val="0"/>
        <w:pageBreakBefore w:val="0"/>
        <w:kinsoku/>
        <w:wordWrap/>
        <w:overflowPunct/>
        <w:topLinePunct w:val="0"/>
        <w:autoSpaceDE/>
        <w:bidi w:val="0"/>
        <w:adjustRightInd w:val="0"/>
        <w:snapToGrid w:val="0"/>
        <w:spacing w:line="360" w:lineRule="auto"/>
        <w:ind w:firstLine="482" w:firstLineChars="200"/>
        <w:textAlignment w:val="auto"/>
        <w:outlineLvl w:val="2"/>
        <w:rPr>
          <w:rFonts w:hint="eastAsia" w:ascii="宋体" w:hAnsi="宋体" w:eastAsia="宋体" w:cs="宋体"/>
          <w:b/>
          <w:bCs/>
          <w:color w:val="auto"/>
          <w:sz w:val="24"/>
          <w:highlight w:val="none"/>
        </w:rPr>
      </w:pPr>
      <w:bookmarkStart w:id="69" w:name="_Toc22710"/>
      <w:bookmarkStart w:id="70" w:name="_Toc2474"/>
      <w:bookmarkStart w:id="71" w:name="_Toc1695"/>
      <w:bookmarkStart w:id="72" w:name="_Toc8697"/>
      <w:r>
        <w:rPr>
          <w:rFonts w:hint="eastAsia" w:ascii="宋体" w:hAnsi="宋体" w:eastAsia="宋体" w:cs="宋体"/>
          <w:b/>
          <w:bCs/>
          <w:color w:val="auto"/>
          <w:sz w:val="24"/>
          <w:highlight w:val="none"/>
        </w:rPr>
        <w:t>二、磋商文件</w:t>
      </w:r>
      <w:bookmarkEnd w:id="69"/>
      <w:bookmarkEnd w:id="70"/>
      <w:bookmarkEnd w:id="71"/>
      <w:bookmarkEnd w:id="72"/>
    </w:p>
    <w:p>
      <w:pPr>
        <w:keepNext w:val="0"/>
        <w:keepLines w:val="0"/>
        <w:pageBreakBefore w:val="0"/>
        <w:kinsoku/>
        <w:wordWrap/>
        <w:overflowPunct/>
        <w:topLinePunct w:val="0"/>
        <w:autoSpaceDE/>
        <w:bidi w:val="0"/>
        <w:adjustRightInd w:val="0"/>
        <w:snapToGrid w:val="0"/>
        <w:spacing w:line="360" w:lineRule="auto"/>
        <w:ind w:firstLine="48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10．磋商文件的组成</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10.1 磋商文件由下列文件组成：</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lang w:eastAsia="zh-CN"/>
        </w:rPr>
      </w:pPr>
      <w:r>
        <w:rPr>
          <w:rFonts w:hint="eastAsia" w:ascii="宋体" w:hAnsi="宋体" w:eastAsia="宋体" w:cs="宋体"/>
          <w:color w:val="auto"/>
          <w:highlight w:val="none"/>
        </w:rPr>
        <w:t>第一章 磋商</w:t>
      </w:r>
      <w:r>
        <w:rPr>
          <w:rFonts w:hint="eastAsia" w:ascii="宋体" w:hAnsi="宋体" w:eastAsia="宋体" w:cs="宋体"/>
          <w:color w:val="auto"/>
          <w:highlight w:val="none"/>
          <w:lang w:eastAsia="zh-CN"/>
        </w:rPr>
        <w:t>通知</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第二章 磋商须知</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第三章 政府采购合同格式条款</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第四章 采购需求</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第五章 响应文件组成</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highlight w:val="none"/>
        </w:rPr>
        <w:t>10.2</w:t>
      </w:r>
      <w:r>
        <w:rPr>
          <w:rFonts w:hint="eastAsia" w:ascii="宋体" w:hAnsi="宋体" w:eastAsia="宋体" w:cs="宋体"/>
          <w:color w:val="auto"/>
          <w:kern w:val="0"/>
          <w:highlight w:val="none"/>
        </w:rPr>
        <w:t>磋商小组根据与供应商磋商情况可能实质性变动的内容，包括采购需求中的技术、服务要求以及合同条款，</w:t>
      </w:r>
      <w:r>
        <w:rPr>
          <w:rFonts w:hint="eastAsia" w:ascii="宋体" w:hAnsi="宋体" w:eastAsia="宋体" w:cs="宋体"/>
          <w:color w:val="auto"/>
          <w:highlight w:val="none"/>
        </w:rPr>
        <w:t>在</w:t>
      </w:r>
      <w:r>
        <w:rPr>
          <w:rFonts w:hint="eastAsia" w:ascii="宋体" w:hAnsi="宋体" w:eastAsia="宋体" w:cs="宋体"/>
          <w:b/>
          <w:color w:val="auto"/>
          <w:highlight w:val="none"/>
        </w:rPr>
        <w:t>磋商须知前附表</w:t>
      </w:r>
      <w:r>
        <w:rPr>
          <w:rFonts w:hint="eastAsia" w:ascii="宋体" w:hAnsi="宋体" w:eastAsia="宋体" w:cs="宋体"/>
          <w:color w:val="auto"/>
          <w:highlight w:val="none"/>
        </w:rPr>
        <w:t>中明确。</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10.3</w:t>
      </w:r>
      <w:r>
        <w:rPr>
          <w:rFonts w:hint="eastAsia" w:ascii="宋体" w:hAnsi="宋体" w:eastAsia="宋体" w:cs="宋体"/>
          <w:color w:val="auto"/>
          <w:szCs w:val="21"/>
          <w:highlight w:val="none"/>
        </w:rPr>
        <w:t>供应商应仔细阅读</w:t>
      </w:r>
      <w:r>
        <w:rPr>
          <w:rFonts w:hint="eastAsia" w:ascii="宋体" w:hAnsi="宋体" w:eastAsia="宋体" w:cs="宋体"/>
          <w:bCs/>
          <w:color w:val="auto"/>
          <w:szCs w:val="21"/>
          <w:highlight w:val="none"/>
        </w:rPr>
        <w:t>磋商</w:t>
      </w:r>
      <w:r>
        <w:rPr>
          <w:rFonts w:hint="eastAsia" w:ascii="宋体" w:hAnsi="宋体" w:eastAsia="宋体" w:cs="宋体"/>
          <w:color w:val="auto"/>
          <w:szCs w:val="21"/>
          <w:highlight w:val="none"/>
        </w:rPr>
        <w:t>文件的全部内容，按照</w:t>
      </w:r>
      <w:r>
        <w:rPr>
          <w:rFonts w:hint="eastAsia" w:ascii="宋体" w:hAnsi="宋体" w:eastAsia="宋体" w:cs="宋体"/>
          <w:bCs/>
          <w:color w:val="auto"/>
          <w:szCs w:val="21"/>
          <w:highlight w:val="none"/>
        </w:rPr>
        <w:t>磋商</w:t>
      </w:r>
      <w:r>
        <w:rPr>
          <w:rFonts w:hint="eastAsia" w:ascii="宋体" w:hAnsi="宋体" w:eastAsia="宋体" w:cs="宋体"/>
          <w:color w:val="auto"/>
          <w:szCs w:val="21"/>
          <w:highlight w:val="none"/>
        </w:rPr>
        <w:t>文件要求编制响应文件。任何对</w:t>
      </w:r>
      <w:r>
        <w:rPr>
          <w:rFonts w:hint="eastAsia" w:ascii="宋体" w:hAnsi="宋体" w:eastAsia="宋体" w:cs="宋体"/>
          <w:bCs/>
          <w:color w:val="auto"/>
          <w:szCs w:val="21"/>
          <w:highlight w:val="none"/>
        </w:rPr>
        <w:t>磋商</w:t>
      </w:r>
      <w:r>
        <w:rPr>
          <w:rFonts w:hint="eastAsia" w:ascii="宋体" w:hAnsi="宋体" w:eastAsia="宋体" w:cs="宋体"/>
          <w:color w:val="auto"/>
          <w:szCs w:val="21"/>
          <w:highlight w:val="none"/>
        </w:rPr>
        <w:t>文件的忽略或误解不能作为响应文件存在缺陷或瑕疵的理由，其风险由供应商承担。</w:t>
      </w:r>
    </w:p>
    <w:p>
      <w:pPr>
        <w:keepNext w:val="0"/>
        <w:keepLines w:val="0"/>
        <w:pageBreakBefore w:val="0"/>
        <w:kinsoku/>
        <w:wordWrap/>
        <w:overflowPunct/>
        <w:topLinePunct w:val="0"/>
        <w:autoSpaceDE/>
        <w:bidi w:val="0"/>
        <w:adjustRightInd w:val="0"/>
        <w:snapToGrid w:val="0"/>
        <w:spacing w:line="360" w:lineRule="auto"/>
        <w:ind w:firstLine="48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11.</w:t>
      </w:r>
      <w:r>
        <w:rPr>
          <w:rFonts w:hint="eastAsia" w:ascii="宋体" w:hAnsi="宋体" w:eastAsia="宋体" w:cs="宋体"/>
          <w:b/>
          <w:color w:val="auto"/>
          <w:highlight w:val="none"/>
        </w:rPr>
        <w:t xml:space="preserve"> </w:t>
      </w:r>
      <w:r>
        <w:rPr>
          <w:rFonts w:hint="eastAsia" w:ascii="宋体" w:hAnsi="宋体" w:eastAsia="宋体" w:cs="宋体"/>
          <w:b/>
          <w:color w:val="auto"/>
          <w:szCs w:val="21"/>
          <w:highlight w:val="none"/>
        </w:rPr>
        <w:t>磋商文件的提供期限</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11.1磋商文件的提供期限自开始发出之日起不得少于五个工作日。具体提供期限见</w:t>
      </w:r>
      <w:r>
        <w:rPr>
          <w:rFonts w:hint="eastAsia" w:ascii="宋体" w:hAnsi="宋体" w:eastAsia="宋体" w:cs="宋体"/>
          <w:b/>
          <w:color w:val="auto"/>
          <w:szCs w:val="21"/>
          <w:highlight w:val="none"/>
        </w:rPr>
        <w:t>磋商文件前附表</w:t>
      </w:r>
      <w:r>
        <w:rPr>
          <w:rFonts w:hint="eastAsia" w:ascii="宋体" w:hAnsi="宋体" w:eastAsia="宋体" w:cs="宋体"/>
          <w:color w:val="auto"/>
          <w:szCs w:val="21"/>
          <w:highlight w:val="none"/>
        </w:rPr>
        <w:t>。</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11.2供应商应持</w:t>
      </w:r>
      <w:r>
        <w:rPr>
          <w:rFonts w:hint="eastAsia" w:ascii="宋体" w:hAnsi="宋体" w:eastAsia="宋体" w:cs="宋体"/>
          <w:b/>
          <w:color w:val="auto"/>
          <w:szCs w:val="21"/>
          <w:highlight w:val="none"/>
        </w:rPr>
        <w:t>磋商文件前附表</w:t>
      </w:r>
      <w:r>
        <w:rPr>
          <w:rFonts w:hint="eastAsia" w:ascii="宋体" w:hAnsi="宋体" w:eastAsia="宋体" w:cs="宋体"/>
          <w:color w:val="auto"/>
          <w:szCs w:val="21"/>
          <w:highlight w:val="none"/>
        </w:rPr>
        <w:t>规定的资料领取或购买磋商文件。</w:t>
      </w:r>
    </w:p>
    <w:p>
      <w:pPr>
        <w:pStyle w:val="13"/>
        <w:keepNext w:val="0"/>
        <w:keepLines w:val="0"/>
        <w:pageBreakBefore w:val="0"/>
        <w:kinsoku/>
        <w:wordWrap/>
        <w:overflowPunct/>
        <w:topLinePunct w:val="0"/>
        <w:autoSpaceDE/>
        <w:bidi w:val="0"/>
        <w:adjustRightInd w:val="0"/>
        <w:snapToGrid w:val="0"/>
        <w:spacing w:line="360" w:lineRule="auto"/>
        <w:ind w:firstLine="482" w:firstLineChars="200"/>
        <w:textAlignment w:val="auto"/>
        <w:rPr>
          <w:rFonts w:hint="eastAsia" w:ascii="宋体" w:hAnsi="宋体" w:eastAsia="宋体" w:cs="宋体"/>
          <w:color w:val="auto"/>
          <w:highlight w:val="none"/>
        </w:rPr>
      </w:pPr>
      <w:r>
        <w:rPr>
          <w:rFonts w:hint="eastAsia" w:ascii="宋体" w:hAnsi="宋体" w:eastAsia="宋体" w:cs="宋体"/>
          <w:b/>
          <w:color w:val="auto"/>
          <w:highlight w:val="none"/>
        </w:rPr>
        <w:t>12.</w:t>
      </w:r>
      <w:r>
        <w:rPr>
          <w:rFonts w:hint="eastAsia" w:ascii="宋体" w:hAnsi="宋体" w:eastAsia="宋体" w:cs="宋体"/>
          <w:b/>
          <w:color w:val="auto"/>
          <w:kern w:val="0"/>
          <w:highlight w:val="none"/>
        </w:rPr>
        <w:t>提交首次响应文件</w:t>
      </w:r>
      <w:r>
        <w:rPr>
          <w:rFonts w:hint="eastAsia" w:ascii="宋体" w:hAnsi="宋体" w:eastAsia="宋体" w:cs="宋体"/>
          <w:b/>
          <w:color w:val="auto"/>
          <w:highlight w:val="none"/>
        </w:rPr>
        <w:t>的</w:t>
      </w:r>
      <w:r>
        <w:rPr>
          <w:rFonts w:hint="eastAsia" w:ascii="宋体" w:hAnsi="宋体" w:eastAsia="宋体" w:cs="宋体"/>
          <w:b/>
          <w:color w:val="auto"/>
          <w:kern w:val="0"/>
          <w:highlight w:val="none"/>
        </w:rPr>
        <w:t>截止</w:t>
      </w:r>
      <w:r>
        <w:rPr>
          <w:rFonts w:hint="eastAsia" w:ascii="宋体" w:hAnsi="宋体" w:eastAsia="宋体" w:cs="宋体"/>
          <w:b/>
          <w:color w:val="auto"/>
          <w:highlight w:val="none"/>
        </w:rPr>
        <w:t>时间</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12.1</w:t>
      </w:r>
      <w:r>
        <w:rPr>
          <w:rFonts w:hint="eastAsia" w:ascii="宋体" w:hAnsi="宋体" w:eastAsia="宋体" w:cs="宋体"/>
          <w:color w:val="auto"/>
          <w:kern w:val="0"/>
          <w:highlight w:val="none"/>
        </w:rPr>
        <w:t>供应商提交首次响应文件截止</w:t>
      </w:r>
      <w:r>
        <w:rPr>
          <w:rFonts w:hint="eastAsia" w:ascii="宋体" w:hAnsi="宋体" w:eastAsia="宋体" w:cs="宋体"/>
          <w:color w:val="auto"/>
          <w:highlight w:val="none"/>
        </w:rPr>
        <w:t>时间见</w:t>
      </w:r>
      <w:r>
        <w:rPr>
          <w:rFonts w:hint="eastAsia" w:ascii="宋体" w:hAnsi="宋体" w:eastAsia="宋体" w:cs="宋体"/>
          <w:b/>
          <w:color w:val="auto"/>
          <w:highlight w:val="none"/>
        </w:rPr>
        <w:t>磋商须知前附表</w:t>
      </w:r>
      <w:r>
        <w:rPr>
          <w:rFonts w:hint="eastAsia" w:ascii="宋体" w:hAnsi="宋体" w:eastAsia="宋体" w:cs="宋体"/>
          <w:color w:val="auto"/>
          <w:highlight w:val="none"/>
        </w:rPr>
        <w:t>。</w:t>
      </w:r>
    </w:p>
    <w:p>
      <w:pPr>
        <w:keepNext w:val="0"/>
        <w:keepLines w:val="0"/>
        <w:pageBreakBefore w:val="0"/>
        <w:kinsoku/>
        <w:wordWrap/>
        <w:overflowPunct/>
        <w:topLinePunct w:val="0"/>
        <w:autoSpaceDE/>
        <w:bidi w:val="0"/>
        <w:adjustRightInd w:val="0"/>
        <w:snapToGrid w:val="0"/>
        <w:spacing w:line="360" w:lineRule="auto"/>
        <w:ind w:firstLine="48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13.磋商文件的澄清</w:t>
      </w:r>
      <w:r>
        <w:rPr>
          <w:rFonts w:hint="eastAsia" w:ascii="宋体" w:hAnsi="宋体" w:eastAsia="宋体" w:cs="宋体"/>
          <w:b/>
          <w:color w:val="auto"/>
          <w:kern w:val="0"/>
          <w:szCs w:val="21"/>
          <w:highlight w:val="none"/>
          <w:lang w:val="zh-CN"/>
        </w:rPr>
        <w:t>或者</w:t>
      </w:r>
      <w:r>
        <w:rPr>
          <w:rFonts w:hint="eastAsia" w:ascii="宋体" w:hAnsi="宋体" w:eastAsia="宋体" w:cs="宋体"/>
          <w:b/>
          <w:bCs/>
          <w:color w:val="auto"/>
          <w:szCs w:val="21"/>
          <w:highlight w:val="none"/>
        </w:rPr>
        <w:t>修改</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13.1在</w:t>
      </w:r>
      <w:r>
        <w:rPr>
          <w:rFonts w:hint="eastAsia" w:ascii="宋体" w:hAnsi="宋体" w:eastAsia="宋体" w:cs="宋体"/>
          <w:color w:val="auto"/>
          <w:kern w:val="0"/>
          <w:szCs w:val="21"/>
          <w:highlight w:val="none"/>
        </w:rPr>
        <w:t xml:space="preserve">提交首次响应文件截止之日前，采购人、采购代理机构可以对已发出的磋商文件进行必要的澄清或者修改。 </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13.2</w:t>
      </w:r>
      <w:r>
        <w:rPr>
          <w:rFonts w:hint="eastAsia" w:ascii="宋体" w:hAnsi="宋体" w:eastAsia="宋体" w:cs="宋体"/>
          <w:color w:val="auto"/>
          <w:kern w:val="0"/>
          <w:szCs w:val="21"/>
          <w:highlight w:val="none"/>
        </w:rPr>
        <w:t>澄清或者修改的内容可能影响响应文件编制的，采购人、采购代理机构应当在提交首次响应文件截止</w:t>
      </w:r>
      <w:r>
        <w:rPr>
          <w:rFonts w:hint="eastAsia" w:ascii="宋体" w:hAnsi="宋体" w:eastAsia="宋体" w:cs="宋体"/>
          <w:color w:val="auto"/>
          <w:kern w:val="0"/>
          <w:szCs w:val="21"/>
          <w:highlight w:val="none"/>
          <w:lang w:eastAsia="zh-CN"/>
        </w:rPr>
        <w:t>时间至少</w:t>
      </w:r>
      <w:r>
        <w:rPr>
          <w:rFonts w:hint="eastAsia" w:ascii="宋体" w:hAnsi="宋体" w:eastAsia="宋体" w:cs="宋体"/>
          <w:b/>
          <w:bCs/>
          <w:color w:val="auto"/>
          <w:kern w:val="0"/>
          <w:szCs w:val="21"/>
          <w:highlight w:val="none"/>
          <w:lang w:val="en-US" w:eastAsia="zh-CN"/>
        </w:rPr>
        <w:t>5</w:t>
      </w:r>
      <w:r>
        <w:rPr>
          <w:rFonts w:hint="eastAsia" w:ascii="宋体" w:hAnsi="宋体" w:eastAsia="宋体" w:cs="宋体"/>
          <w:color w:val="auto"/>
          <w:kern w:val="0"/>
          <w:szCs w:val="21"/>
          <w:highlight w:val="none"/>
        </w:rPr>
        <w:t>日前，以书面形式通知所有接收磋商文件的供应商，不足</w:t>
      </w:r>
      <w:r>
        <w:rPr>
          <w:rFonts w:hint="eastAsia" w:ascii="宋体" w:hAnsi="宋体" w:eastAsia="宋体" w:cs="宋体"/>
          <w:b/>
          <w:bCs/>
          <w:color w:val="auto"/>
          <w:kern w:val="0"/>
          <w:szCs w:val="21"/>
          <w:highlight w:val="none"/>
          <w:lang w:val="en-US" w:eastAsia="zh-CN"/>
        </w:rPr>
        <w:t>5</w:t>
      </w:r>
      <w:r>
        <w:rPr>
          <w:rFonts w:hint="eastAsia" w:ascii="宋体" w:hAnsi="宋体" w:eastAsia="宋体" w:cs="宋体"/>
          <w:color w:val="auto"/>
          <w:kern w:val="0"/>
          <w:szCs w:val="21"/>
          <w:highlight w:val="none"/>
        </w:rPr>
        <w:t>日的，顺延供应商提交首次响应文件截止时间。</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highlight w:val="none"/>
        </w:rPr>
        <w:t>13.2</w:t>
      </w:r>
      <w:r>
        <w:rPr>
          <w:rFonts w:hint="eastAsia" w:ascii="宋体" w:hAnsi="宋体" w:eastAsia="宋体" w:cs="宋体"/>
          <w:color w:val="auto"/>
          <w:kern w:val="0"/>
          <w:highlight w:val="none"/>
        </w:rPr>
        <w:t>提交首次响应文件截止时间前对磋商文件澄清或者修改内容，为磋商文件的组成部分。</w:t>
      </w:r>
    </w:p>
    <w:p>
      <w:pPr>
        <w:keepNext w:val="0"/>
        <w:keepLines w:val="0"/>
        <w:pageBreakBefore w:val="0"/>
        <w:kinsoku/>
        <w:wordWrap/>
        <w:overflowPunct/>
        <w:topLinePunct w:val="0"/>
        <w:autoSpaceDE/>
        <w:bidi w:val="0"/>
        <w:adjustRightInd w:val="0"/>
        <w:snapToGrid w:val="0"/>
        <w:spacing w:line="360" w:lineRule="auto"/>
        <w:ind w:firstLine="482" w:firstLineChars="200"/>
        <w:textAlignment w:val="auto"/>
        <w:outlineLvl w:val="2"/>
        <w:rPr>
          <w:rFonts w:hint="eastAsia" w:ascii="宋体" w:hAnsi="宋体" w:eastAsia="宋体" w:cs="宋体"/>
          <w:b/>
          <w:bCs/>
          <w:color w:val="auto"/>
          <w:sz w:val="24"/>
          <w:highlight w:val="none"/>
        </w:rPr>
      </w:pPr>
      <w:bookmarkStart w:id="73" w:name="_Toc14102"/>
      <w:bookmarkStart w:id="74" w:name="_Toc16946"/>
      <w:bookmarkStart w:id="75" w:name="_Toc31490"/>
      <w:bookmarkStart w:id="76" w:name="_Toc2957"/>
      <w:r>
        <w:rPr>
          <w:rFonts w:hint="eastAsia" w:ascii="宋体" w:hAnsi="宋体" w:eastAsia="宋体" w:cs="宋体"/>
          <w:b/>
          <w:bCs/>
          <w:color w:val="auto"/>
          <w:sz w:val="24"/>
          <w:highlight w:val="none"/>
        </w:rPr>
        <w:t>三、响应文件</w:t>
      </w:r>
      <w:bookmarkEnd w:id="73"/>
      <w:bookmarkEnd w:id="74"/>
      <w:bookmarkEnd w:id="75"/>
      <w:bookmarkEnd w:id="76"/>
    </w:p>
    <w:p>
      <w:pPr>
        <w:keepNext w:val="0"/>
        <w:keepLines w:val="0"/>
        <w:pageBreakBefore w:val="0"/>
        <w:kinsoku/>
        <w:wordWrap/>
        <w:overflowPunct/>
        <w:topLinePunct w:val="0"/>
        <w:autoSpaceDE/>
        <w:bidi w:val="0"/>
        <w:adjustRightInd w:val="0"/>
        <w:snapToGrid w:val="0"/>
        <w:spacing w:line="360" w:lineRule="auto"/>
        <w:ind w:firstLine="48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14.一般要求</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14.1 供应商应仔细阅读磋商文件的所有内容，按磋商文件的要求编制响应文件，并保证所提供的全部资料的真实性，以使其响应文件对磋商文件做出实质性的响应。</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 xml:space="preserve">14.2 </w:t>
      </w:r>
      <w:r>
        <w:rPr>
          <w:rFonts w:hint="eastAsia" w:ascii="宋体" w:hAnsi="宋体" w:eastAsia="宋体" w:cs="宋体"/>
          <w:color w:val="auto"/>
          <w:szCs w:val="21"/>
          <w:highlight w:val="none"/>
        </w:rPr>
        <w:t>供应商提交的响应文件及供应商与采购人或采购代理机构、磋商小组就有关磋商的所有来往函电均使用中文。供应商可以提交其它语言的资料，但应附中文注释，在有差异时以中文为准。</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bCs/>
          <w:color w:val="auto"/>
          <w:highlight w:val="none"/>
        </w:rPr>
        <w:t xml:space="preserve">14.3 </w:t>
      </w:r>
      <w:r>
        <w:rPr>
          <w:rFonts w:hint="eastAsia" w:ascii="宋体" w:hAnsi="宋体" w:eastAsia="宋体" w:cs="宋体"/>
          <w:color w:val="auto"/>
          <w:highlight w:val="none"/>
        </w:rPr>
        <w:t>计量单位应使用我国法定计量单位，未列明时应默认为我国法定计量单位。</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14.4 响应文件应采用书面形式，电报、传真、电子邮件形式的响应文件概不接受。</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14.5 供应商应按磋商文件中提供的响应文件格式填写。</w:t>
      </w:r>
    </w:p>
    <w:p>
      <w:pPr>
        <w:keepNext w:val="0"/>
        <w:keepLines w:val="0"/>
        <w:pageBreakBefore w:val="0"/>
        <w:kinsoku/>
        <w:wordWrap/>
        <w:overflowPunct/>
        <w:topLinePunct w:val="0"/>
        <w:autoSpaceDE/>
        <w:bidi w:val="0"/>
        <w:adjustRightInd w:val="0"/>
        <w:snapToGrid w:val="0"/>
        <w:spacing w:line="360" w:lineRule="auto"/>
        <w:ind w:firstLine="48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15.</w:t>
      </w:r>
      <w:r>
        <w:rPr>
          <w:rFonts w:hint="eastAsia" w:ascii="宋体" w:hAnsi="宋体" w:eastAsia="宋体" w:cs="宋体"/>
          <w:b/>
          <w:color w:val="auto"/>
          <w:szCs w:val="21"/>
          <w:highlight w:val="none"/>
        </w:rPr>
        <w:t>响应文件</w:t>
      </w:r>
      <w:r>
        <w:rPr>
          <w:rFonts w:hint="eastAsia" w:ascii="宋体" w:hAnsi="宋体" w:eastAsia="宋体" w:cs="宋体"/>
          <w:b/>
          <w:bCs/>
          <w:color w:val="auto"/>
          <w:szCs w:val="21"/>
          <w:highlight w:val="none"/>
        </w:rPr>
        <w:t>的组成</w:t>
      </w:r>
    </w:p>
    <w:p>
      <w:pPr>
        <w:keepNext w:val="0"/>
        <w:keepLines w:val="0"/>
        <w:pageBreakBefore w:val="0"/>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15.1 响应文件包括下列内容：</w:t>
      </w:r>
      <w:r>
        <w:rPr>
          <w:rFonts w:hint="eastAsia" w:ascii="宋体" w:hAnsi="宋体" w:eastAsia="宋体" w:cs="宋体"/>
          <w:color w:val="auto"/>
          <w:szCs w:val="21"/>
          <w:highlight w:val="none"/>
        </w:rPr>
        <w:t xml:space="preserve"> </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hAnsi="宋体" w:cs="宋体"/>
          <w:color w:val="auto"/>
          <w:highlight w:val="none"/>
          <w:lang w:eastAsia="zh-CN"/>
        </w:rPr>
        <w:t>（</w:t>
      </w:r>
      <w:r>
        <w:rPr>
          <w:rFonts w:hint="eastAsia" w:hAnsi="宋体" w:cs="宋体"/>
          <w:color w:val="auto"/>
          <w:highlight w:val="none"/>
          <w:lang w:val="en-US" w:eastAsia="zh-CN"/>
        </w:rPr>
        <w:t>1</w:t>
      </w:r>
      <w:r>
        <w:rPr>
          <w:rFonts w:hint="eastAsia" w:hAnsi="宋体" w:cs="宋体"/>
          <w:color w:val="auto"/>
          <w:highlight w:val="none"/>
          <w:lang w:eastAsia="zh-CN"/>
        </w:rPr>
        <w:t>）</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响应声明(格式)</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hAnsi="宋体" w:cs="宋体"/>
          <w:color w:val="auto"/>
          <w:highlight w:val="none"/>
          <w:lang w:eastAsia="zh-CN"/>
        </w:rPr>
        <w:t>（</w:t>
      </w:r>
      <w:r>
        <w:rPr>
          <w:rFonts w:hint="eastAsia" w:hAnsi="宋体" w:cs="宋体"/>
          <w:color w:val="auto"/>
          <w:highlight w:val="none"/>
          <w:lang w:val="en-US" w:eastAsia="zh-CN"/>
        </w:rPr>
        <w:t>2</w:t>
      </w:r>
      <w:r>
        <w:rPr>
          <w:rFonts w:hint="eastAsia" w:hAnsi="宋体" w:cs="宋体"/>
          <w:color w:val="auto"/>
          <w:highlight w:val="none"/>
          <w:lang w:eastAsia="zh-CN"/>
        </w:rPr>
        <w:t>）</w:t>
      </w:r>
      <w:r>
        <w:rPr>
          <w:rFonts w:hint="eastAsia" w:ascii="宋体" w:hAnsi="宋体" w:eastAsia="宋体" w:cs="宋体"/>
          <w:color w:val="auto"/>
          <w:highlight w:val="none"/>
        </w:rPr>
        <w:t>法定代表人（单位负责人）身份证明(格式)</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hAnsi="宋体" w:cs="宋体"/>
          <w:color w:val="auto"/>
          <w:highlight w:val="none"/>
          <w:lang w:eastAsia="zh-CN"/>
        </w:rPr>
        <w:t>（</w:t>
      </w:r>
      <w:r>
        <w:rPr>
          <w:rFonts w:hint="eastAsia" w:hAnsi="宋体" w:cs="宋体"/>
          <w:color w:val="auto"/>
          <w:highlight w:val="none"/>
          <w:lang w:val="en-US" w:eastAsia="zh-CN"/>
        </w:rPr>
        <w:t>3</w:t>
      </w:r>
      <w:r>
        <w:rPr>
          <w:rFonts w:hint="eastAsia" w:hAnsi="宋体" w:cs="宋体"/>
          <w:color w:val="auto"/>
          <w:highlight w:val="none"/>
          <w:lang w:eastAsia="zh-CN"/>
        </w:rPr>
        <w:t>）</w:t>
      </w:r>
      <w:r>
        <w:rPr>
          <w:rFonts w:hint="eastAsia" w:ascii="宋体" w:hAnsi="宋体" w:eastAsia="宋体" w:cs="宋体"/>
          <w:color w:val="auto"/>
          <w:highlight w:val="none"/>
        </w:rPr>
        <w:t>授权委托书(格式)</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lang w:val="en-US" w:eastAsia="zh-CN"/>
        </w:rPr>
      </w:pPr>
      <w:r>
        <w:rPr>
          <w:rFonts w:hint="eastAsia" w:hAnsi="宋体" w:cs="宋体"/>
          <w:color w:val="auto"/>
          <w:highlight w:val="none"/>
          <w:lang w:eastAsia="zh-CN"/>
        </w:rPr>
        <w:t>（</w:t>
      </w:r>
      <w:r>
        <w:rPr>
          <w:rFonts w:hint="eastAsia" w:hAnsi="宋体" w:cs="宋体"/>
          <w:color w:val="auto"/>
          <w:highlight w:val="none"/>
          <w:lang w:val="en-US" w:eastAsia="zh-CN"/>
        </w:rPr>
        <w:t>4</w:t>
      </w:r>
      <w:r>
        <w:rPr>
          <w:rFonts w:hint="eastAsia" w:hAnsi="宋体" w:cs="宋体"/>
          <w:color w:val="auto"/>
          <w:highlight w:val="none"/>
          <w:lang w:eastAsia="zh-CN"/>
        </w:rPr>
        <w:t>）</w:t>
      </w:r>
      <w:r>
        <w:rPr>
          <w:rFonts w:hint="eastAsia" w:ascii="宋体" w:hAnsi="宋体" w:eastAsia="宋体" w:cs="宋体"/>
          <w:color w:val="auto"/>
          <w:highlight w:val="none"/>
        </w:rPr>
        <w:t>保证金</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hAnsi="宋体" w:cs="宋体"/>
          <w:color w:val="auto"/>
          <w:highlight w:val="none"/>
          <w:lang w:eastAsia="zh-CN"/>
        </w:rPr>
        <w:t>（</w:t>
      </w:r>
      <w:r>
        <w:rPr>
          <w:rFonts w:hint="eastAsia" w:hAnsi="宋体" w:cs="宋体"/>
          <w:color w:val="auto"/>
          <w:highlight w:val="none"/>
          <w:lang w:val="en-US" w:eastAsia="zh-CN"/>
        </w:rPr>
        <w:t>5</w:t>
      </w:r>
      <w:r>
        <w:rPr>
          <w:rFonts w:hint="eastAsia" w:hAnsi="宋体" w:cs="宋体"/>
          <w:color w:val="auto"/>
          <w:highlight w:val="none"/>
          <w:lang w:eastAsia="zh-CN"/>
        </w:rPr>
        <w:t>）</w:t>
      </w:r>
      <w:r>
        <w:rPr>
          <w:rFonts w:hint="eastAsia" w:ascii="宋体" w:hAnsi="宋体" w:eastAsia="宋体" w:cs="宋体"/>
          <w:color w:val="auto"/>
          <w:highlight w:val="none"/>
        </w:rPr>
        <w:t>报价表及报价文件(格式)</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hAnsi="宋体" w:cs="宋体"/>
          <w:color w:val="auto"/>
          <w:highlight w:val="none"/>
          <w:lang w:eastAsia="zh-CN"/>
        </w:rPr>
        <w:t>（</w:t>
      </w:r>
      <w:r>
        <w:rPr>
          <w:rFonts w:hint="eastAsia" w:hAnsi="宋体" w:cs="宋体"/>
          <w:color w:val="auto"/>
          <w:highlight w:val="none"/>
          <w:lang w:val="en-US" w:eastAsia="zh-CN"/>
        </w:rPr>
        <w:t>6</w:t>
      </w:r>
      <w:r>
        <w:rPr>
          <w:rFonts w:hint="eastAsia" w:hAnsi="宋体" w:cs="宋体"/>
          <w:color w:val="auto"/>
          <w:highlight w:val="none"/>
          <w:lang w:eastAsia="zh-CN"/>
        </w:rPr>
        <w:t>）</w:t>
      </w:r>
      <w:r>
        <w:rPr>
          <w:rFonts w:hint="eastAsia" w:ascii="宋体" w:hAnsi="宋体" w:eastAsia="宋体" w:cs="宋体"/>
          <w:color w:val="auto"/>
          <w:highlight w:val="none"/>
        </w:rPr>
        <w:t>采购需求响应</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hAnsi="宋体" w:cs="宋体"/>
          <w:color w:val="auto"/>
          <w:highlight w:val="none"/>
          <w:lang w:eastAsia="zh-CN"/>
        </w:rPr>
        <w:t>（</w:t>
      </w:r>
      <w:r>
        <w:rPr>
          <w:rFonts w:hint="eastAsia" w:hAnsi="宋体" w:cs="宋体"/>
          <w:color w:val="auto"/>
          <w:highlight w:val="none"/>
          <w:lang w:val="en-US" w:eastAsia="zh-CN"/>
        </w:rPr>
        <w:t>7</w:t>
      </w:r>
      <w:r>
        <w:rPr>
          <w:rFonts w:hint="eastAsia" w:hAnsi="宋体" w:cs="宋体"/>
          <w:color w:val="auto"/>
          <w:highlight w:val="none"/>
          <w:lang w:eastAsia="zh-CN"/>
        </w:rPr>
        <w:t>）</w:t>
      </w:r>
      <w:r>
        <w:rPr>
          <w:rFonts w:hint="eastAsia" w:ascii="宋体" w:hAnsi="宋体" w:eastAsia="宋体" w:cs="宋体"/>
          <w:color w:val="auto"/>
          <w:highlight w:val="none"/>
        </w:rPr>
        <w:t>合同条款偏离表</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hAnsi="宋体" w:cs="宋体"/>
          <w:color w:val="auto"/>
          <w:highlight w:val="none"/>
          <w:lang w:eastAsia="zh-CN"/>
        </w:rPr>
        <w:t>（</w:t>
      </w:r>
      <w:r>
        <w:rPr>
          <w:rFonts w:hint="eastAsia" w:hAnsi="宋体" w:cs="宋体"/>
          <w:color w:val="auto"/>
          <w:highlight w:val="none"/>
          <w:lang w:val="en-US" w:eastAsia="zh-CN"/>
        </w:rPr>
        <w:t>8</w:t>
      </w:r>
      <w:r>
        <w:rPr>
          <w:rFonts w:hint="eastAsia" w:hAnsi="宋体" w:cs="宋体"/>
          <w:color w:val="auto"/>
          <w:highlight w:val="none"/>
          <w:lang w:eastAsia="zh-CN"/>
        </w:rPr>
        <w:t>）</w:t>
      </w:r>
      <w:r>
        <w:rPr>
          <w:rFonts w:hint="eastAsia" w:ascii="宋体" w:hAnsi="宋体" w:eastAsia="宋体" w:cs="宋体"/>
          <w:color w:val="auto"/>
          <w:highlight w:val="none"/>
        </w:rPr>
        <w:t>采购需求偏离表</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hAnsi="宋体" w:cs="宋体"/>
          <w:color w:val="auto"/>
          <w:highlight w:val="none"/>
          <w:lang w:eastAsia="zh-CN"/>
        </w:rPr>
        <w:t>（</w:t>
      </w:r>
      <w:r>
        <w:rPr>
          <w:rFonts w:hint="eastAsia" w:hAnsi="宋体" w:cs="宋体"/>
          <w:color w:val="auto"/>
          <w:highlight w:val="none"/>
          <w:lang w:val="en-US" w:eastAsia="zh-CN"/>
        </w:rPr>
        <w:t>9</w:t>
      </w:r>
      <w:r>
        <w:rPr>
          <w:rFonts w:hint="eastAsia" w:hAnsi="宋体" w:cs="宋体"/>
          <w:color w:val="auto"/>
          <w:highlight w:val="none"/>
          <w:lang w:eastAsia="zh-CN"/>
        </w:rPr>
        <w:t>）</w:t>
      </w:r>
      <w:r>
        <w:rPr>
          <w:rFonts w:hint="eastAsia" w:ascii="宋体" w:hAnsi="宋体" w:eastAsia="宋体" w:cs="宋体"/>
          <w:color w:val="auto"/>
          <w:highlight w:val="none"/>
        </w:rPr>
        <w:t>享受政府采购政策优惠的证明资料</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hAnsi="宋体" w:cs="宋体"/>
          <w:color w:val="auto"/>
          <w:highlight w:val="none"/>
          <w:lang w:eastAsia="zh-CN"/>
        </w:rPr>
        <w:t>（</w:t>
      </w:r>
      <w:r>
        <w:rPr>
          <w:rFonts w:hint="eastAsia" w:hAnsi="宋体" w:cs="宋体"/>
          <w:color w:val="auto"/>
          <w:highlight w:val="none"/>
          <w:lang w:val="en-US" w:eastAsia="zh-CN"/>
        </w:rPr>
        <w:t>10</w:t>
      </w:r>
      <w:r>
        <w:rPr>
          <w:rFonts w:hint="eastAsia" w:hAnsi="宋体" w:cs="宋体"/>
          <w:color w:val="auto"/>
          <w:highlight w:val="none"/>
          <w:lang w:eastAsia="zh-CN"/>
        </w:rPr>
        <w:t>）</w:t>
      </w:r>
      <w:r>
        <w:rPr>
          <w:rFonts w:hint="eastAsia" w:ascii="宋体" w:hAnsi="宋体" w:eastAsia="宋体" w:cs="宋体"/>
          <w:color w:val="auto"/>
          <w:highlight w:val="none"/>
        </w:rPr>
        <w:t>关于资格的声明(格式)</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hAnsi="宋体" w:cs="宋体"/>
          <w:color w:val="auto"/>
          <w:highlight w:val="none"/>
          <w:lang w:eastAsia="zh-CN"/>
        </w:rPr>
        <w:t>（</w:t>
      </w:r>
      <w:r>
        <w:rPr>
          <w:rFonts w:hint="eastAsia" w:hAnsi="宋体" w:cs="宋体"/>
          <w:color w:val="auto"/>
          <w:highlight w:val="none"/>
          <w:lang w:val="en-US" w:eastAsia="zh-CN"/>
        </w:rPr>
        <w:t>11</w:t>
      </w:r>
      <w:r>
        <w:rPr>
          <w:rFonts w:hint="eastAsia" w:hAnsi="宋体" w:cs="宋体"/>
          <w:color w:val="auto"/>
          <w:highlight w:val="none"/>
          <w:lang w:eastAsia="zh-CN"/>
        </w:rPr>
        <w:t>）</w:t>
      </w:r>
      <w:r>
        <w:rPr>
          <w:rFonts w:hint="eastAsia" w:ascii="宋体" w:hAnsi="宋体" w:eastAsia="宋体" w:cs="宋体"/>
          <w:color w:val="auto"/>
          <w:highlight w:val="none"/>
        </w:rPr>
        <w:t>响应标的符合</w:t>
      </w:r>
      <w:r>
        <w:rPr>
          <w:rFonts w:hint="eastAsia" w:ascii="宋体" w:hAnsi="宋体" w:eastAsia="宋体" w:cs="宋体"/>
          <w:color w:val="auto"/>
          <w:highlight w:val="none"/>
          <w:lang w:eastAsia="zh-CN"/>
        </w:rPr>
        <w:t>磋商</w:t>
      </w:r>
      <w:r>
        <w:rPr>
          <w:rFonts w:hint="eastAsia" w:ascii="宋体" w:hAnsi="宋体" w:eastAsia="宋体" w:cs="宋体"/>
          <w:color w:val="auto"/>
          <w:highlight w:val="none"/>
        </w:rPr>
        <w:t>文件规定的证明文件</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hAnsi="宋体" w:cs="宋体"/>
          <w:color w:val="auto"/>
          <w:highlight w:val="none"/>
          <w:lang w:eastAsia="zh-CN"/>
        </w:rPr>
        <w:t>（</w:t>
      </w:r>
      <w:r>
        <w:rPr>
          <w:rFonts w:hint="eastAsia" w:hAnsi="宋体" w:cs="宋体"/>
          <w:color w:val="auto"/>
          <w:highlight w:val="none"/>
          <w:lang w:val="en-US" w:eastAsia="zh-CN"/>
        </w:rPr>
        <w:t>12</w:t>
      </w:r>
      <w:r>
        <w:rPr>
          <w:rFonts w:hint="eastAsia" w:hAnsi="宋体" w:cs="宋体"/>
          <w:color w:val="auto"/>
          <w:highlight w:val="none"/>
          <w:lang w:eastAsia="zh-CN"/>
        </w:rPr>
        <w:t>）</w:t>
      </w:r>
      <w:r>
        <w:rPr>
          <w:rFonts w:hint="eastAsia" w:ascii="宋体" w:hAnsi="宋体" w:eastAsia="宋体" w:cs="宋体"/>
          <w:color w:val="auto"/>
          <w:highlight w:val="none"/>
        </w:rPr>
        <w:t>代理服务费承诺书</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hAnsi="宋体" w:cs="宋体"/>
          <w:color w:val="auto"/>
          <w:highlight w:val="none"/>
          <w:lang w:eastAsia="zh-CN"/>
        </w:rPr>
        <w:t>（</w:t>
      </w:r>
      <w:r>
        <w:rPr>
          <w:rFonts w:hint="eastAsia" w:hAnsi="宋体" w:cs="宋体"/>
          <w:color w:val="auto"/>
          <w:highlight w:val="none"/>
          <w:lang w:val="en-US" w:eastAsia="zh-CN"/>
        </w:rPr>
        <w:t>13</w:t>
      </w:r>
      <w:r>
        <w:rPr>
          <w:rFonts w:hint="eastAsia" w:hAnsi="宋体" w:cs="宋体"/>
          <w:color w:val="auto"/>
          <w:highlight w:val="none"/>
          <w:lang w:eastAsia="zh-CN"/>
        </w:rPr>
        <w:t>）</w:t>
      </w:r>
      <w:r>
        <w:rPr>
          <w:rFonts w:hint="eastAsia" w:ascii="宋体" w:hAnsi="宋体" w:eastAsia="宋体" w:cs="宋体"/>
          <w:color w:val="auto"/>
          <w:highlight w:val="none"/>
        </w:rPr>
        <w:t>最终报价</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15.2在磋商过程中，</w:t>
      </w:r>
      <w:r>
        <w:rPr>
          <w:rFonts w:hint="eastAsia" w:ascii="宋体" w:hAnsi="宋体" w:eastAsia="宋体" w:cs="宋体"/>
          <w:color w:val="auto"/>
          <w:szCs w:val="21"/>
          <w:highlight w:val="none"/>
        </w:rPr>
        <w:t>供应商</w:t>
      </w:r>
      <w:r>
        <w:rPr>
          <w:rFonts w:hint="eastAsia" w:ascii="宋体" w:hAnsi="宋体" w:eastAsia="宋体" w:cs="宋体"/>
          <w:color w:val="auto"/>
          <w:highlight w:val="none"/>
        </w:rPr>
        <w:t>根据</w:t>
      </w:r>
      <w:r>
        <w:rPr>
          <w:rFonts w:hint="eastAsia" w:ascii="宋体" w:hAnsi="宋体" w:eastAsia="宋体" w:cs="宋体"/>
          <w:color w:val="auto"/>
          <w:kern w:val="0"/>
          <w:szCs w:val="21"/>
          <w:highlight w:val="none"/>
        </w:rPr>
        <w:t>磋商小组</w:t>
      </w:r>
      <w:r>
        <w:rPr>
          <w:rFonts w:hint="eastAsia" w:ascii="宋体" w:hAnsi="宋体" w:eastAsia="宋体" w:cs="宋体"/>
          <w:bCs/>
          <w:color w:val="auto"/>
          <w:szCs w:val="21"/>
          <w:highlight w:val="none"/>
        </w:rPr>
        <w:t>书面形式要求</w:t>
      </w:r>
      <w:r>
        <w:rPr>
          <w:rFonts w:hint="eastAsia" w:ascii="宋体" w:hAnsi="宋体" w:eastAsia="宋体" w:cs="宋体"/>
          <w:color w:val="auto"/>
          <w:kern w:val="0"/>
          <w:szCs w:val="21"/>
          <w:highlight w:val="none"/>
        </w:rPr>
        <w:t>提交的</w:t>
      </w:r>
      <w:r>
        <w:rPr>
          <w:rFonts w:hint="eastAsia" w:ascii="宋体" w:hAnsi="宋体" w:eastAsia="宋体" w:cs="宋体"/>
          <w:color w:val="auto"/>
          <w:highlight w:val="none"/>
        </w:rPr>
        <w:t>最后报价(或者</w:t>
      </w:r>
      <w:r>
        <w:rPr>
          <w:rFonts w:hint="eastAsia" w:ascii="宋体" w:hAnsi="宋体" w:eastAsia="宋体" w:cs="宋体"/>
          <w:bCs/>
          <w:color w:val="auto"/>
          <w:szCs w:val="21"/>
          <w:highlight w:val="none"/>
        </w:rPr>
        <w:t>重</w:t>
      </w:r>
      <w:r>
        <w:rPr>
          <w:rFonts w:hint="eastAsia" w:ascii="宋体" w:hAnsi="宋体" w:eastAsia="宋体" w:cs="宋体"/>
          <w:color w:val="auto"/>
          <w:kern w:val="0"/>
          <w:szCs w:val="21"/>
          <w:highlight w:val="none"/>
        </w:rPr>
        <w:t>新提交的响应文件和</w:t>
      </w:r>
      <w:r>
        <w:rPr>
          <w:rFonts w:hint="eastAsia" w:ascii="宋体" w:hAnsi="宋体" w:eastAsia="宋体" w:cs="宋体"/>
          <w:color w:val="auto"/>
          <w:highlight w:val="none"/>
        </w:rPr>
        <w:t>最后报价)是</w:t>
      </w:r>
      <w:r>
        <w:rPr>
          <w:rFonts w:hint="eastAsia" w:ascii="宋体" w:hAnsi="宋体" w:eastAsia="宋体" w:cs="宋体"/>
          <w:color w:val="auto"/>
          <w:szCs w:val="21"/>
          <w:highlight w:val="none"/>
        </w:rPr>
        <w:t>响应文件</w:t>
      </w:r>
      <w:r>
        <w:rPr>
          <w:rFonts w:hint="eastAsia" w:ascii="宋体" w:hAnsi="宋体" w:eastAsia="宋体" w:cs="宋体"/>
          <w:color w:val="auto"/>
          <w:highlight w:val="none"/>
        </w:rPr>
        <w:t>的有效组成部分。</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b/>
          <w:color w:val="auto"/>
          <w:highlight w:val="none"/>
        </w:rPr>
      </w:pPr>
      <w:r>
        <w:rPr>
          <w:rFonts w:hint="eastAsia" w:ascii="宋体" w:hAnsi="宋体" w:eastAsia="宋体" w:cs="宋体"/>
          <w:color w:val="auto"/>
          <w:highlight w:val="none"/>
        </w:rPr>
        <w:t>15.3</w:t>
      </w:r>
      <w:r>
        <w:rPr>
          <w:rFonts w:hint="eastAsia" w:ascii="宋体" w:hAnsi="宋体" w:eastAsia="宋体" w:cs="宋体"/>
          <w:color w:val="auto"/>
          <w:kern w:val="0"/>
          <w:szCs w:val="21"/>
          <w:highlight w:val="none"/>
        </w:rPr>
        <w:t>磋商文件规定可能发生实质性变动的，供应商应当在</w:t>
      </w:r>
      <w:r>
        <w:rPr>
          <w:rFonts w:hint="eastAsia" w:ascii="宋体" w:hAnsi="宋体" w:eastAsia="宋体" w:cs="宋体"/>
          <w:color w:val="auto"/>
          <w:highlight w:val="none"/>
        </w:rPr>
        <w:t>《技术/商务响应与偏离表》中对应内容注明。</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15.4</w:t>
      </w:r>
      <w:r>
        <w:rPr>
          <w:rFonts w:hint="eastAsia" w:ascii="宋体" w:hAnsi="宋体" w:eastAsia="宋体" w:cs="宋体"/>
          <w:color w:val="auto"/>
          <w:szCs w:val="21"/>
          <w:highlight w:val="none"/>
        </w:rPr>
        <w:t>根据《政府采购法》第四十二条的规定，供应商无论成交与否，其响应文件不予退还。</w:t>
      </w:r>
    </w:p>
    <w:p>
      <w:pPr>
        <w:keepNext w:val="0"/>
        <w:keepLines w:val="0"/>
        <w:pageBreakBefore w:val="0"/>
        <w:kinsoku/>
        <w:wordWrap/>
        <w:overflowPunct/>
        <w:topLinePunct w:val="0"/>
        <w:autoSpaceDE/>
        <w:bidi w:val="0"/>
        <w:adjustRightInd w:val="0"/>
        <w:snapToGrid w:val="0"/>
        <w:spacing w:line="360" w:lineRule="auto"/>
        <w:ind w:firstLine="482"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16.报价</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16.1供应商应当根据磋商文件要求和范围，以</w:t>
      </w:r>
      <w:r>
        <w:rPr>
          <w:rFonts w:hint="eastAsia" w:ascii="宋体" w:hAnsi="宋体" w:eastAsia="宋体" w:cs="宋体"/>
          <w:bCs/>
          <w:color w:val="auto"/>
          <w:szCs w:val="21"/>
          <w:highlight w:val="none"/>
        </w:rPr>
        <w:t>人民币</w:t>
      </w:r>
      <w:r>
        <w:rPr>
          <w:rFonts w:hint="eastAsia" w:ascii="宋体" w:hAnsi="宋体" w:eastAsia="宋体" w:cs="宋体"/>
          <w:color w:val="auto"/>
          <w:szCs w:val="21"/>
          <w:highlight w:val="none"/>
        </w:rPr>
        <w:t>报价，以元为单位，保留小数点后两位。</w:t>
      </w:r>
    </w:p>
    <w:p>
      <w:pPr>
        <w:pStyle w:val="35"/>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16.2供应商应按第五章响应文件组成格式填写。</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16.3响应文件中标明的价格在合同执行过程中是固定不变的，不得以任何理由予以变更。以可变动价格提交的报价将被认为是非实质响应而被拒绝。</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16.4</w:t>
      </w:r>
      <w:r>
        <w:rPr>
          <w:rFonts w:hint="eastAsia" w:ascii="宋体" w:hAnsi="宋体" w:eastAsia="宋体" w:cs="宋体"/>
          <w:color w:val="auto"/>
          <w:kern w:val="0"/>
          <w:highlight w:val="none"/>
          <w:lang w:val="zh-CN"/>
        </w:rPr>
        <w:t>供应商</w:t>
      </w:r>
      <w:r>
        <w:rPr>
          <w:rFonts w:hint="eastAsia" w:ascii="宋体" w:hAnsi="宋体" w:eastAsia="宋体" w:cs="宋体"/>
          <w:color w:val="auto"/>
          <w:highlight w:val="none"/>
        </w:rPr>
        <w:t>的报价不得超过采购项目</w:t>
      </w:r>
      <w:r>
        <w:rPr>
          <w:rFonts w:hint="eastAsia" w:ascii="宋体" w:hAnsi="宋体" w:eastAsia="宋体" w:cs="宋体"/>
          <w:color w:val="auto"/>
          <w:highlight w:val="none"/>
          <w:lang w:eastAsia="zh-CN"/>
        </w:rPr>
        <w:t>最高限价</w:t>
      </w:r>
      <w:r>
        <w:rPr>
          <w:rFonts w:hint="eastAsia" w:ascii="宋体" w:hAnsi="宋体" w:eastAsia="宋体" w:cs="宋体"/>
          <w:color w:val="auto"/>
          <w:highlight w:val="none"/>
        </w:rPr>
        <w:t>，采购项目</w:t>
      </w:r>
      <w:r>
        <w:rPr>
          <w:rFonts w:hint="eastAsia" w:ascii="宋体" w:hAnsi="宋体" w:eastAsia="宋体" w:cs="宋体"/>
          <w:color w:val="auto"/>
          <w:highlight w:val="none"/>
          <w:lang w:eastAsia="zh-CN"/>
        </w:rPr>
        <w:t>最高限价</w:t>
      </w:r>
      <w:r>
        <w:rPr>
          <w:rFonts w:hint="eastAsia" w:ascii="宋体" w:hAnsi="宋体" w:eastAsia="宋体" w:cs="宋体"/>
          <w:color w:val="auto"/>
          <w:highlight w:val="none"/>
        </w:rPr>
        <w:t>或其计算方法见</w:t>
      </w:r>
      <w:r>
        <w:rPr>
          <w:rFonts w:hint="eastAsia" w:ascii="宋体" w:hAnsi="宋体" w:eastAsia="宋体" w:cs="宋体"/>
          <w:b/>
          <w:color w:val="auto"/>
          <w:highlight w:val="none"/>
        </w:rPr>
        <w:t>磋商须知前附表</w:t>
      </w:r>
      <w:r>
        <w:rPr>
          <w:rFonts w:hint="eastAsia" w:ascii="宋体" w:hAnsi="宋体" w:eastAsia="宋体" w:cs="宋体"/>
          <w:color w:val="auto"/>
          <w:highlight w:val="none"/>
        </w:rPr>
        <w:t>。</w:t>
      </w:r>
    </w:p>
    <w:p>
      <w:pPr>
        <w:pStyle w:val="13"/>
        <w:keepNext w:val="0"/>
        <w:keepLines w:val="0"/>
        <w:pageBreakBefore w:val="0"/>
        <w:kinsoku/>
        <w:wordWrap/>
        <w:overflowPunct/>
        <w:topLinePunct w:val="0"/>
        <w:autoSpaceDE/>
        <w:bidi w:val="0"/>
        <w:adjustRightInd w:val="0"/>
        <w:snapToGrid w:val="0"/>
        <w:spacing w:line="360" w:lineRule="auto"/>
        <w:ind w:firstLine="48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17.供应商符合磋商文件规定的证明文件</w:t>
      </w:r>
    </w:p>
    <w:p>
      <w:pPr>
        <w:keepNext w:val="0"/>
        <w:keepLines w:val="0"/>
        <w:pageBreakBefore w:val="0"/>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17.1供应商应提交满足本章第3.1款规定的资格条件要求的证明文件,该证明文件作为响应文件的一部分。</w:t>
      </w:r>
    </w:p>
    <w:p>
      <w:pPr>
        <w:keepNext w:val="0"/>
        <w:keepLines w:val="0"/>
        <w:pageBreakBefore w:val="0"/>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17.2如果供应商为联合体，则应提交联合体各方资格证明文件、联合体协议。否则，在评审时将其视为无效响应。</w:t>
      </w:r>
    </w:p>
    <w:p>
      <w:pPr>
        <w:keepNext w:val="0"/>
        <w:keepLines w:val="0"/>
        <w:pageBreakBefore w:val="0"/>
        <w:kinsoku/>
        <w:wordWrap/>
        <w:overflowPunct/>
        <w:topLinePunct w:val="0"/>
        <w:autoSpaceDE/>
        <w:bidi w:val="0"/>
        <w:adjustRightInd w:val="0"/>
        <w:snapToGrid w:val="0"/>
        <w:spacing w:before="156" w:line="360" w:lineRule="auto"/>
        <w:ind w:firstLine="48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 除</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另有规定外，供应商提供的货物及服务不是供应商制造或拥有的，则必须提供经销、或代理采购货物、或采购货物提供售后服务的证明文件。</w:t>
      </w:r>
    </w:p>
    <w:p>
      <w:pPr>
        <w:keepNext w:val="0"/>
        <w:keepLines w:val="0"/>
        <w:pageBreakBefore w:val="0"/>
        <w:kinsoku/>
        <w:wordWrap/>
        <w:overflowPunct/>
        <w:topLinePunct w:val="0"/>
        <w:autoSpaceDE/>
        <w:bidi w:val="0"/>
        <w:adjustRightInd w:val="0"/>
        <w:snapToGrid w:val="0"/>
        <w:spacing w:before="156" w:beforeLines="50" w:line="360" w:lineRule="auto"/>
        <w:ind w:firstLine="482" w:firstLineChars="200"/>
        <w:jc w:val="left"/>
        <w:textAlignment w:val="auto"/>
        <w:rPr>
          <w:rFonts w:hint="eastAsia" w:ascii="宋体" w:hAnsi="宋体" w:eastAsia="宋体" w:cs="宋体"/>
          <w:b/>
          <w:i w:val="0"/>
          <w:iCs w:val="0"/>
          <w:color w:val="auto"/>
          <w:szCs w:val="21"/>
          <w:highlight w:val="none"/>
        </w:rPr>
      </w:pPr>
      <w:r>
        <w:rPr>
          <w:rFonts w:hint="eastAsia" w:ascii="宋体" w:hAnsi="宋体" w:eastAsia="宋体" w:cs="宋体"/>
          <w:b/>
          <w:i w:val="0"/>
          <w:iCs w:val="0"/>
          <w:color w:val="auto"/>
          <w:szCs w:val="21"/>
          <w:highlight w:val="none"/>
        </w:rPr>
        <w:t>18．样品提供</w:t>
      </w:r>
      <w:r>
        <w:rPr>
          <w:rFonts w:hint="eastAsia" w:ascii="宋体" w:hAnsi="宋体" w:eastAsia="宋体" w:cs="宋体"/>
          <w:b/>
          <w:i w:val="0"/>
          <w:iCs w:val="0"/>
          <w:color w:val="auto"/>
          <w:szCs w:val="21"/>
          <w:highlight w:val="none"/>
          <w:lang w:eastAsia="zh-CN"/>
        </w:rPr>
        <w:t>（本项目不适用）</w:t>
      </w:r>
    </w:p>
    <w:p>
      <w:pPr>
        <w:keepNext w:val="0"/>
        <w:keepLines w:val="0"/>
        <w:pageBreakBefore w:val="0"/>
        <w:kinsoku/>
        <w:wordWrap/>
        <w:overflowPunct/>
        <w:topLinePunct w:val="0"/>
        <w:autoSpaceDE/>
        <w:bidi w:val="0"/>
        <w:adjustRightInd w:val="0"/>
        <w:snapToGrid w:val="0"/>
        <w:spacing w:before="156" w:line="360" w:lineRule="auto"/>
        <w:ind w:firstLine="48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18.1 </w:t>
      </w:r>
      <w:r>
        <w:rPr>
          <w:rFonts w:hint="eastAsia" w:ascii="宋体" w:hAnsi="宋体" w:eastAsia="宋体" w:cs="宋体"/>
          <w:b/>
          <w:color w:val="auto"/>
          <w:highlight w:val="none"/>
        </w:rPr>
        <w:t>磋商须知前附表</w:t>
      </w:r>
      <w:r>
        <w:rPr>
          <w:rFonts w:hint="eastAsia" w:ascii="宋体" w:hAnsi="宋体" w:eastAsia="宋体" w:cs="宋体"/>
          <w:color w:val="auto"/>
          <w:szCs w:val="21"/>
          <w:highlight w:val="none"/>
        </w:rPr>
        <w:t>规定</w:t>
      </w:r>
      <w:r>
        <w:rPr>
          <w:rFonts w:hint="eastAsia" w:ascii="宋体" w:hAnsi="宋体" w:eastAsia="宋体" w:cs="宋体"/>
          <w:bCs/>
          <w:color w:val="auto"/>
          <w:highlight w:val="none"/>
        </w:rPr>
        <w:t>供应商</w:t>
      </w:r>
      <w:r>
        <w:rPr>
          <w:rFonts w:hint="eastAsia" w:ascii="宋体" w:hAnsi="宋体" w:eastAsia="宋体" w:cs="宋体"/>
          <w:color w:val="auto"/>
          <w:szCs w:val="21"/>
          <w:highlight w:val="none"/>
        </w:rPr>
        <w:t>在</w:t>
      </w:r>
      <w:r>
        <w:rPr>
          <w:rFonts w:hint="eastAsia" w:ascii="宋体" w:hAnsi="宋体" w:eastAsia="宋体" w:cs="宋体"/>
          <w:color w:val="auto"/>
          <w:highlight w:val="none"/>
        </w:rPr>
        <w:t>磋商</w:t>
      </w:r>
      <w:r>
        <w:rPr>
          <w:rFonts w:hint="eastAsia" w:ascii="宋体" w:hAnsi="宋体" w:eastAsia="宋体" w:cs="宋体"/>
          <w:color w:val="auto"/>
          <w:szCs w:val="21"/>
          <w:highlight w:val="none"/>
        </w:rPr>
        <w:t>时提供样品的，</w:t>
      </w:r>
      <w:r>
        <w:rPr>
          <w:rFonts w:hint="eastAsia" w:ascii="宋体" w:hAnsi="宋体" w:eastAsia="宋体" w:cs="宋体"/>
          <w:bCs/>
          <w:color w:val="auto"/>
          <w:highlight w:val="none"/>
        </w:rPr>
        <w:t>供应商</w:t>
      </w:r>
      <w:r>
        <w:rPr>
          <w:rFonts w:hint="eastAsia" w:ascii="宋体" w:hAnsi="宋体" w:eastAsia="宋体" w:cs="宋体"/>
          <w:color w:val="auto"/>
          <w:szCs w:val="21"/>
          <w:highlight w:val="none"/>
        </w:rPr>
        <w:t>有以下情形之一的，在评审时将其视为无效响应。</w:t>
      </w:r>
    </w:p>
    <w:p>
      <w:pPr>
        <w:keepNext w:val="0"/>
        <w:keepLines w:val="0"/>
        <w:pageBreakBefore w:val="0"/>
        <w:kinsoku/>
        <w:wordWrap/>
        <w:overflowPunct/>
        <w:topLinePunct w:val="0"/>
        <w:autoSpaceDE/>
        <w:bidi w:val="0"/>
        <w:adjustRightInd w:val="0"/>
        <w:snapToGrid w:val="0"/>
        <w:spacing w:before="156" w:line="360" w:lineRule="auto"/>
        <w:ind w:firstLine="48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（1）未在</w:t>
      </w:r>
      <w:r>
        <w:rPr>
          <w:rFonts w:hint="eastAsia" w:ascii="宋体" w:hAnsi="宋体" w:eastAsia="宋体" w:cs="宋体"/>
          <w:b/>
          <w:color w:val="auto"/>
          <w:highlight w:val="none"/>
        </w:rPr>
        <w:t>磋商须知前附表</w:t>
      </w:r>
      <w:r>
        <w:rPr>
          <w:rFonts w:hint="eastAsia" w:ascii="宋体" w:hAnsi="宋体" w:eastAsia="宋体" w:cs="宋体"/>
          <w:color w:val="auto"/>
          <w:szCs w:val="21"/>
          <w:highlight w:val="none"/>
        </w:rPr>
        <w:t>规定的提交时间、地点提交的；</w:t>
      </w:r>
    </w:p>
    <w:p>
      <w:pPr>
        <w:keepNext w:val="0"/>
        <w:keepLines w:val="0"/>
        <w:pageBreakBefore w:val="0"/>
        <w:kinsoku/>
        <w:wordWrap/>
        <w:overflowPunct/>
        <w:topLinePunct w:val="0"/>
        <w:autoSpaceDE/>
        <w:bidi w:val="0"/>
        <w:adjustRightInd w:val="0"/>
        <w:snapToGrid w:val="0"/>
        <w:spacing w:before="156" w:line="360" w:lineRule="auto"/>
        <w:ind w:firstLine="48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bCs/>
          <w:color w:val="auto"/>
          <w:highlight w:val="none"/>
        </w:rPr>
        <w:t>供应商</w:t>
      </w:r>
      <w:r>
        <w:rPr>
          <w:rFonts w:hint="eastAsia" w:ascii="宋体" w:hAnsi="宋体" w:eastAsia="宋体" w:cs="宋体"/>
          <w:color w:val="auto"/>
          <w:szCs w:val="21"/>
          <w:highlight w:val="none"/>
        </w:rPr>
        <w:t>提供的样品与响应文件中提供样品的型号、规格不一致的。</w:t>
      </w:r>
    </w:p>
    <w:p>
      <w:pPr>
        <w:keepNext w:val="0"/>
        <w:keepLines w:val="0"/>
        <w:pageBreakBefore w:val="0"/>
        <w:kinsoku/>
        <w:wordWrap/>
        <w:overflowPunct/>
        <w:topLinePunct w:val="0"/>
        <w:autoSpaceDE/>
        <w:bidi w:val="0"/>
        <w:adjustRightInd w:val="0"/>
        <w:snapToGrid w:val="0"/>
        <w:spacing w:line="360" w:lineRule="auto"/>
        <w:ind w:firstLine="48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19.</w:t>
      </w:r>
      <w:r>
        <w:rPr>
          <w:rFonts w:hint="eastAsia" w:ascii="宋体" w:hAnsi="宋体" w:eastAsia="宋体" w:cs="宋体"/>
          <w:color w:val="auto"/>
          <w:highlight w:val="none"/>
        </w:rPr>
        <w:t xml:space="preserve"> </w:t>
      </w:r>
      <w:r>
        <w:rPr>
          <w:rFonts w:hint="eastAsia" w:ascii="宋体" w:hAnsi="宋体" w:eastAsia="宋体" w:cs="宋体"/>
          <w:b/>
          <w:bCs/>
          <w:color w:val="auto"/>
          <w:szCs w:val="21"/>
          <w:highlight w:val="none"/>
        </w:rPr>
        <w:t>磋商保证金</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bCs/>
          <w:color w:val="auto"/>
          <w:highlight w:val="none"/>
        </w:rPr>
      </w:pPr>
      <w:r>
        <w:rPr>
          <w:rFonts w:hint="eastAsia" w:ascii="宋体" w:hAnsi="宋体" w:eastAsia="宋体" w:cs="宋体"/>
          <w:color w:val="auto"/>
          <w:highlight w:val="none"/>
        </w:rPr>
        <w:t>19.1</w:t>
      </w:r>
      <w:r>
        <w:rPr>
          <w:rFonts w:hint="eastAsia" w:ascii="宋体" w:hAnsi="宋体" w:eastAsia="宋体" w:cs="宋体"/>
          <w:b/>
          <w:color w:val="auto"/>
          <w:highlight w:val="none"/>
        </w:rPr>
        <w:t>磋商须知前附表</w:t>
      </w:r>
      <w:r>
        <w:rPr>
          <w:rFonts w:hint="eastAsia" w:ascii="宋体" w:hAnsi="宋体" w:eastAsia="宋体" w:cs="宋体"/>
          <w:color w:val="auto"/>
          <w:highlight w:val="none"/>
        </w:rPr>
        <w:t>规定交纳磋商</w:t>
      </w:r>
      <w:r>
        <w:rPr>
          <w:rFonts w:hint="eastAsia" w:ascii="宋体" w:hAnsi="宋体" w:eastAsia="宋体" w:cs="宋体"/>
          <w:bCs/>
          <w:color w:val="auto"/>
          <w:highlight w:val="none"/>
        </w:rPr>
        <w:t>保证金的</w:t>
      </w:r>
      <w:r>
        <w:rPr>
          <w:rFonts w:hint="eastAsia" w:ascii="宋体" w:hAnsi="宋体" w:eastAsia="宋体" w:cs="宋体"/>
          <w:color w:val="auto"/>
          <w:highlight w:val="none"/>
        </w:rPr>
        <w:t>，应按</w:t>
      </w:r>
      <w:r>
        <w:rPr>
          <w:rFonts w:hint="eastAsia" w:ascii="宋体" w:hAnsi="宋体" w:eastAsia="宋体" w:cs="宋体"/>
          <w:b/>
          <w:color w:val="auto"/>
          <w:highlight w:val="none"/>
        </w:rPr>
        <w:t>磋商须知前附表</w:t>
      </w:r>
      <w:r>
        <w:rPr>
          <w:rFonts w:hint="eastAsia" w:ascii="宋体" w:hAnsi="宋体" w:eastAsia="宋体" w:cs="宋体"/>
          <w:color w:val="auto"/>
          <w:highlight w:val="none"/>
        </w:rPr>
        <w:t>规定的磋商</w:t>
      </w:r>
      <w:r>
        <w:rPr>
          <w:rFonts w:hint="eastAsia" w:ascii="宋体" w:hAnsi="宋体" w:eastAsia="宋体" w:cs="宋体"/>
          <w:bCs/>
          <w:color w:val="auto"/>
          <w:highlight w:val="none"/>
        </w:rPr>
        <w:t>保证金形式交纳，不得以现金方式交纳</w:t>
      </w:r>
      <w:r>
        <w:rPr>
          <w:rFonts w:hint="eastAsia" w:ascii="宋体" w:hAnsi="宋体" w:eastAsia="宋体" w:cs="宋体"/>
          <w:color w:val="auto"/>
          <w:highlight w:val="none"/>
        </w:rPr>
        <w:t>，在</w:t>
      </w:r>
      <w:r>
        <w:rPr>
          <w:rFonts w:hint="eastAsia" w:ascii="宋体" w:hAnsi="宋体" w:eastAsia="宋体" w:cs="宋体"/>
          <w:color w:val="auto"/>
          <w:kern w:val="0"/>
          <w:highlight w:val="none"/>
        </w:rPr>
        <w:t>提交首次响应文件截止时间</w:t>
      </w:r>
      <w:r>
        <w:rPr>
          <w:rFonts w:hint="eastAsia" w:ascii="宋体" w:hAnsi="宋体" w:eastAsia="宋体" w:cs="宋体"/>
          <w:color w:val="auto"/>
          <w:highlight w:val="none"/>
        </w:rPr>
        <w:t>前，</w:t>
      </w:r>
      <w:r>
        <w:rPr>
          <w:rFonts w:hint="eastAsia" w:ascii="宋体" w:hAnsi="宋体" w:eastAsia="宋体" w:cs="宋体"/>
          <w:bCs/>
          <w:color w:val="auto"/>
          <w:highlight w:val="none"/>
        </w:rPr>
        <w:t>向采购代理机构交纳不超过</w:t>
      </w:r>
      <w:r>
        <w:rPr>
          <w:rFonts w:hint="eastAsia" w:ascii="宋体" w:hAnsi="宋体" w:eastAsia="宋体" w:cs="宋体"/>
          <w:color w:val="auto"/>
          <w:kern w:val="0"/>
          <w:highlight w:val="none"/>
          <w:lang w:val="zh-CN"/>
        </w:rPr>
        <w:t>采购项目</w:t>
      </w:r>
      <w:r>
        <w:rPr>
          <w:rFonts w:hint="eastAsia" w:ascii="宋体" w:hAnsi="宋体" w:eastAsia="宋体" w:cs="宋体"/>
          <w:color w:val="auto"/>
          <w:kern w:val="0"/>
          <w:highlight w:val="none"/>
          <w:lang w:val="zh-CN" w:eastAsia="zh-CN"/>
        </w:rPr>
        <w:t>最高限价</w:t>
      </w:r>
      <w:r>
        <w:rPr>
          <w:rFonts w:hint="eastAsia" w:ascii="宋体" w:hAnsi="宋体" w:eastAsia="宋体" w:cs="宋体"/>
          <w:color w:val="auto"/>
          <w:kern w:val="0"/>
          <w:highlight w:val="none"/>
          <w:lang w:val="zh-CN"/>
        </w:rPr>
        <w:t>2﹪</w:t>
      </w:r>
      <w:r>
        <w:rPr>
          <w:rFonts w:hint="eastAsia" w:ascii="宋体" w:hAnsi="宋体" w:eastAsia="宋体" w:cs="宋体"/>
          <w:bCs/>
          <w:color w:val="auto"/>
          <w:highlight w:val="none"/>
        </w:rPr>
        <w:t>的磋商保证金(数额采用四舍五入，计算至元)</w:t>
      </w:r>
      <w:r>
        <w:rPr>
          <w:rFonts w:hint="eastAsia" w:ascii="宋体" w:hAnsi="宋体" w:eastAsia="宋体" w:cs="宋体"/>
          <w:color w:val="auto"/>
          <w:highlight w:val="none"/>
        </w:rPr>
        <w:t>。磋商</w:t>
      </w:r>
      <w:r>
        <w:rPr>
          <w:rFonts w:hint="eastAsia" w:ascii="宋体" w:hAnsi="宋体" w:eastAsia="宋体" w:cs="宋体"/>
          <w:bCs/>
          <w:color w:val="auto"/>
          <w:highlight w:val="none"/>
        </w:rPr>
        <w:t>保证金有效期应当与</w:t>
      </w:r>
      <w:r>
        <w:rPr>
          <w:rFonts w:hint="eastAsia" w:ascii="宋体" w:hAnsi="宋体" w:eastAsia="宋体" w:cs="宋体"/>
          <w:color w:val="auto"/>
          <w:highlight w:val="none"/>
        </w:rPr>
        <w:t>本章第20.1</w:t>
      </w:r>
      <w:r>
        <w:rPr>
          <w:rFonts w:hint="eastAsia" w:ascii="宋体" w:hAnsi="宋体" w:eastAsia="宋体" w:cs="宋体"/>
          <w:color w:val="auto"/>
          <w:kern w:val="0"/>
          <w:highlight w:val="none"/>
          <w:lang w:val="zh-CN"/>
        </w:rPr>
        <w:t>款</w:t>
      </w:r>
      <w:r>
        <w:rPr>
          <w:rFonts w:hint="eastAsia" w:ascii="宋体" w:hAnsi="宋体" w:eastAsia="宋体" w:cs="宋体"/>
          <w:color w:val="auto"/>
          <w:highlight w:val="none"/>
        </w:rPr>
        <w:t>规定的</w:t>
      </w:r>
      <w:r>
        <w:rPr>
          <w:rFonts w:hint="eastAsia" w:ascii="宋体" w:hAnsi="宋体" w:eastAsia="宋体" w:cs="宋体"/>
          <w:bCs/>
          <w:color w:val="auto"/>
          <w:highlight w:val="none"/>
        </w:rPr>
        <w:t>响应文件有效期一致。</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19.2</w:t>
      </w:r>
      <w:r>
        <w:rPr>
          <w:rFonts w:hint="eastAsia" w:ascii="宋体" w:hAnsi="宋体" w:eastAsia="宋体" w:cs="宋体"/>
          <w:color w:val="auto"/>
          <w:kern w:val="0"/>
          <w:szCs w:val="21"/>
          <w:highlight w:val="none"/>
          <w:lang w:val="zh-CN"/>
        </w:rPr>
        <w:t>供应商为联合体的，可以由联合体中的一方或者共同交纳磋商保证金，其交纳的磋商保证金，对联合体各方均具有约束力。</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19.3供应商未按照磋商文件要求提交磋商保证金的，响应无效。</w:t>
      </w:r>
    </w:p>
    <w:p>
      <w:pPr>
        <w:pStyle w:val="13"/>
        <w:keepNext w:val="0"/>
        <w:keepLines w:val="0"/>
        <w:pageBreakBefore w:val="0"/>
        <w:tabs>
          <w:tab w:val="left" w:pos="6300"/>
        </w:tabs>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19.4采购代理机构在成交通知书发出后5个工作日内退还未成交供应商的磋商保证金；在采购合同签定后5个工作日内退还成交供应商的磋商保证金，但因供应商自身原因导致无法及时退还的除外。</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highlight w:val="none"/>
        </w:rPr>
        <w:t xml:space="preserve">19.5 </w:t>
      </w:r>
      <w:r>
        <w:rPr>
          <w:rFonts w:hint="eastAsia" w:ascii="宋体" w:hAnsi="宋体" w:eastAsia="宋体" w:cs="宋体"/>
          <w:color w:val="auto"/>
          <w:kern w:val="0"/>
          <w:highlight w:val="none"/>
        </w:rPr>
        <w:t>有下列情形之一的，磋商保证金不予退还，并上缴本级财政国库：</w:t>
      </w:r>
    </w:p>
    <w:p>
      <w:pPr>
        <w:keepNext w:val="0"/>
        <w:keepLines w:val="0"/>
        <w:pageBreakBefore w:val="0"/>
        <w:widowControl/>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（1）供应商在提交首次响应文件截止时间后撤回响应文件的；</w:t>
      </w:r>
    </w:p>
    <w:p>
      <w:pPr>
        <w:keepNext w:val="0"/>
        <w:keepLines w:val="0"/>
        <w:pageBreakBefore w:val="0"/>
        <w:widowControl/>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（2）供应商在响应文件中提供虚假资料的；</w:t>
      </w:r>
    </w:p>
    <w:p>
      <w:pPr>
        <w:keepNext w:val="0"/>
        <w:keepLines w:val="0"/>
        <w:pageBreakBefore w:val="0"/>
        <w:widowControl/>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highlight w:val="none"/>
        </w:rPr>
        <w:t>（3）</w:t>
      </w:r>
      <w:r>
        <w:rPr>
          <w:rFonts w:hint="eastAsia" w:ascii="宋体" w:hAnsi="宋体" w:eastAsia="宋体" w:cs="宋体"/>
          <w:color w:val="auto"/>
          <w:highlight w:val="none"/>
        </w:rPr>
        <w:t>确定成交结果后，无正当理由放弃成交资格的；</w:t>
      </w:r>
    </w:p>
    <w:p>
      <w:pPr>
        <w:keepNext w:val="0"/>
        <w:keepLines w:val="0"/>
        <w:pageBreakBefore w:val="0"/>
        <w:widowControl/>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 除因不可抗力或磋商文件认可的情形以外，成交供应商不与采购人签订合同的；</w:t>
      </w:r>
    </w:p>
    <w:p>
      <w:pPr>
        <w:keepNext w:val="0"/>
        <w:keepLines w:val="0"/>
        <w:pageBreakBefore w:val="0"/>
        <w:widowControl/>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（5）供应商与采购人、其他供应商或者采购代理机构恶意串通的；</w:t>
      </w:r>
    </w:p>
    <w:p>
      <w:pPr>
        <w:keepNext w:val="0"/>
        <w:keepLines w:val="0"/>
        <w:pageBreakBefore w:val="0"/>
        <w:widowControl/>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（6）磋商文件规定的其他情形。</w:t>
      </w:r>
    </w:p>
    <w:p>
      <w:pPr>
        <w:keepNext w:val="0"/>
        <w:keepLines w:val="0"/>
        <w:pageBreakBefore w:val="0"/>
        <w:kinsoku/>
        <w:wordWrap/>
        <w:overflowPunct/>
        <w:topLinePunct w:val="0"/>
        <w:autoSpaceDE/>
        <w:bidi w:val="0"/>
        <w:adjustRightInd w:val="0"/>
        <w:snapToGrid w:val="0"/>
        <w:spacing w:line="360" w:lineRule="auto"/>
        <w:ind w:firstLine="48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20.</w:t>
      </w:r>
      <w:r>
        <w:rPr>
          <w:rFonts w:hint="eastAsia" w:ascii="宋体" w:hAnsi="宋体" w:eastAsia="宋体" w:cs="宋体"/>
          <w:color w:val="auto"/>
          <w:szCs w:val="21"/>
          <w:highlight w:val="none"/>
        </w:rPr>
        <w:t xml:space="preserve"> </w:t>
      </w:r>
      <w:r>
        <w:rPr>
          <w:rFonts w:hint="eastAsia" w:ascii="宋体" w:hAnsi="宋体" w:eastAsia="宋体" w:cs="宋体"/>
          <w:b/>
          <w:color w:val="auto"/>
          <w:highlight w:val="none"/>
        </w:rPr>
        <w:t>响应文件</w:t>
      </w:r>
      <w:r>
        <w:rPr>
          <w:rFonts w:hint="eastAsia" w:ascii="宋体" w:hAnsi="宋体" w:eastAsia="宋体" w:cs="宋体"/>
          <w:b/>
          <w:color w:val="auto"/>
          <w:szCs w:val="21"/>
          <w:highlight w:val="none"/>
        </w:rPr>
        <w:t>有效期</w:t>
      </w:r>
    </w:p>
    <w:p>
      <w:pPr>
        <w:keepNext w:val="0"/>
        <w:keepLines w:val="0"/>
        <w:pageBreakBefore w:val="0"/>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20.1响应文件</w:t>
      </w:r>
      <w:r>
        <w:rPr>
          <w:rFonts w:hint="eastAsia" w:ascii="宋体" w:hAnsi="宋体" w:eastAsia="宋体" w:cs="宋体"/>
          <w:color w:val="auto"/>
          <w:szCs w:val="21"/>
          <w:highlight w:val="none"/>
        </w:rPr>
        <w:t>有效期见</w:t>
      </w:r>
      <w:r>
        <w:rPr>
          <w:rFonts w:hint="eastAsia" w:ascii="宋体" w:hAnsi="宋体" w:eastAsia="宋体" w:cs="宋体"/>
          <w:b/>
          <w:color w:val="auto"/>
          <w:highlight w:val="none"/>
        </w:rPr>
        <w:t>磋商须知前附表</w:t>
      </w:r>
      <w:r>
        <w:rPr>
          <w:rFonts w:hint="eastAsia" w:ascii="宋体" w:hAnsi="宋体" w:eastAsia="宋体" w:cs="宋体"/>
          <w:color w:val="auto"/>
          <w:szCs w:val="21"/>
          <w:highlight w:val="none"/>
        </w:rPr>
        <w:t>，在此期间</w:t>
      </w:r>
      <w:r>
        <w:rPr>
          <w:rFonts w:hint="eastAsia" w:ascii="宋体" w:hAnsi="宋体" w:eastAsia="宋体" w:cs="宋体"/>
          <w:color w:val="auto"/>
          <w:highlight w:val="none"/>
        </w:rPr>
        <w:t>响应</w:t>
      </w:r>
      <w:r>
        <w:rPr>
          <w:rFonts w:hint="eastAsia" w:ascii="宋体" w:hAnsi="宋体" w:eastAsia="宋体" w:cs="宋体"/>
          <w:color w:val="auto"/>
          <w:szCs w:val="21"/>
          <w:highlight w:val="none"/>
        </w:rPr>
        <w:t>文件对供应商具有法律约束力，</w:t>
      </w:r>
      <w:r>
        <w:rPr>
          <w:rFonts w:hint="eastAsia" w:ascii="宋体" w:hAnsi="宋体" w:eastAsia="宋体" w:cs="宋体"/>
          <w:color w:val="auto"/>
          <w:highlight w:val="none"/>
        </w:rPr>
        <w:t>从</w:t>
      </w:r>
      <w:r>
        <w:rPr>
          <w:rFonts w:hint="eastAsia" w:ascii="宋体" w:hAnsi="宋体" w:eastAsia="宋体" w:cs="宋体"/>
          <w:color w:val="auto"/>
          <w:kern w:val="0"/>
          <w:szCs w:val="21"/>
          <w:highlight w:val="none"/>
        </w:rPr>
        <w:t>提交首次响应文件截止时间</w:t>
      </w:r>
      <w:r>
        <w:rPr>
          <w:rFonts w:hint="eastAsia" w:ascii="宋体" w:hAnsi="宋体" w:eastAsia="宋体" w:cs="宋体"/>
          <w:color w:val="auto"/>
          <w:highlight w:val="none"/>
        </w:rPr>
        <w:t>之日起计算。响应文件有效期不足的将被视为无效响应。</w:t>
      </w:r>
    </w:p>
    <w:p>
      <w:pPr>
        <w:keepNext w:val="0"/>
        <w:keepLines w:val="0"/>
        <w:pageBreakBefore w:val="0"/>
        <w:kinsoku/>
        <w:wordWrap/>
        <w:overflowPunct/>
        <w:topLinePunct w:val="0"/>
        <w:autoSpaceDE/>
        <w:bidi w:val="0"/>
        <w:adjustRightInd w:val="0"/>
        <w:snapToGrid w:val="0"/>
        <w:spacing w:line="360" w:lineRule="auto"/>
        <w:ind w:firstLine="48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21.响应文件的签署及规定</w:t>
      </w:r>
    </w:p>
    <w:p>
      <w:pPr>
        <w:pStyle w:val="13"/>
        <w:adjustRightInd w:val="0"/>
        <w:snapToGrid w:val="0"/>
        <w:spacing w:before="156" w:beforeLines="50" w:line="360" w:lineRule="auto"/>
        <w:ind w:firstLine="480" w:firstLineChars="200"/>
        <w:rPr>
          <w:rFonts w:hAnsi="宋体"/>
          <w:color w:val="auto"/>
          <w:highlight w:val="none"/>
        </w:rPr>
      </w:pPr>
      <w:r>
        <w:rPr>
          <w:rFonts w:hint="eastAsia" w:ascii="宋体" w:hAnsi="宋体" w:eastAsia="宋体" w:cs="宋体"/>
          <w:color w:val="auto"/>
          <w:highlight w:val="none"/>
        </w:rPr>
        <w:t>21.1</w:t>
      </w:r>
      <w:r>
        <w:rPr>
          <w:rFonts w:hint="eastAsia" w:hAnsi="宋体"/>
          <w:color w:val="auto"/>
          <w:highlight w:val="none"/>
        </w:rPr>
        <w:t>响应文件正本一份，副本份数见</w:t>
      </w:r>
      <w:r>
        <w:rPr>
          <w:rFonts w:hint="eastAsia" w:ascii="宋体" w:hAnsi="宋体" w:eastAsia="宋体" w:cs="宋体"/>
          <w:b/>
          <w:color w:val="auto"/>
          <w:highlight w:val="none"/>
        </w:rPr>
        <w:t>磋商须知前附表</w:t>
      </w:r>
      <w:r>
        <w:rPr>
          <w:rFonts w:hint="eastAsia" w:hAnsi="宋体"/>
          <w:color w:val="auto"/>
          <w:highlight w:val="none"/>
          <w:lang w:eastAsia="zh-CN"/>
        </w:rPr>
        <w:t>，</w:t>
      </w:r>
      <w:r>
        <w:rPr>
          <w:rFonts w:hint="eastAsia" w:hAnsi="宋体"/>
          <w:color w:val="auto"/>
          <w:highlight w:val="none"/>
        </w:rPr>
        <w:t>响应文件电子文档（U盘或光盘形式）：</w:t>
      </w:r>
      <w:r>
        <w:rPr>
          <w:rFonts w:hint="eastAsia" w:hAnsi="宋体"/>
          <w:color w:val="auto"/>
          <w:highlight w:val="none"/>
          <w:lang w:eastAsia="zh-CN"/>
        </w:rPr>
        <w:t>一</w:t>
      </w:r>
      <w:r>
        <w:rPr>
          <w:rFonts w:hint="eastAsia" w:hAnsi="宋体"/>
          <w:color w:val="auto"/>
          <w:highlight w:val="none"/>
        </w:rPr>
        <w:t>份</w:t>
      </w:r>
      <w:r>
        <w:rPr>
          <w:rFonts w:hint="eastAsia" w:hAnsi="宋体"/>
          <w:b/>
          <w:color w:val="auto"/>
          <w:highlight w:val="none"/>
        </w:rPr>
        <w:t>。</w:t>
      </w:r>
      <w:r>
        <w:rPr>
          <w:rFonts w:hint="eastAsia" w:hAnsi="宋体"/>
          <w:color w:val="auto"/>
          <w:highlight w:val="none"/>
        </w:rPr>
        <w:t>纸质响应文件须清楚地注明“正本”或“副本”的字样。若副本和正本不一致或电子版文件和纸质正本文件不一致时，以纸质正本文件为准。响应文件的正本与副本应分别装订成册，并编制目录。响应文件的副本可为正本的复印件。</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21.2 响应文件正本和副本应按磋商文件要求签章处盖单位章和由法定代表人或其委托代理人签字</w:t>
      </w:r>
      <w:r>
        <w:rPr>
          <w:rFonts w:hint="eastAsia" w:ascii="宋体" w:hAnsi="宋体" w:eastAsia="宋体" w:cs="宋体"/>
          <w:b/>
          <w:bCs/>
          <w:color w:val="auto"/>
          <w:highlight w:val="none"/>
        </w:rPr>
        <w:t>；</w:t>
      </w:r>
      <w:r>
        <w:rPr>
          <w:rFonts w:hint="eastAsia" w:ascii="宋体" w:hAnsi="宋体" w:eastAsia="宋体" w:cs="宋体"/>
          <w:color w:val="auto"/>
          <w:highlight w:val="none"/>
        </w:rPr>
        <w:t>任何加行、涂改、增删，应有法定代表人或其委托代理人在旁边签字。否则，将导致响应文件无效。</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21.3 在磋商过程中，供应商按磋商文件规定和磋商小组要求</w:t>
      </w:r>
      <w:r>
        <w:rPr>
          <w:rFonts w:hint="eastAsia" w:ascii="宋体" w:hAnsi="宋体" w:eastAsia="宋体" w:cs="宋体"/>
          <w:color w:val="auto"/>
          <w:kern w:val="0"/>
          <w:highlight w:val="none"/>
        </w:rPr>
        <w:t>提交的</w:t>
      </w:r>
      <w:r>
        <w:rPr>
          <w:rFonts w:hint="eastAsia" w:ascii="宋体" w:hAnsi="宋体" w:eastAsia="宋体" w:cs="宋体"/>
          <w:color w:val="auto"/>
          <w:highlight w:val="none"/>
        </w:rPr>
        <w:t>最后报价(或者</w:t>
      </w:r>
      <w:r>
        <w:rPr>
          <w:rFonts w:hint="eastAsia" w:ascii="宋体" w:hAnsi="宋体" w:eastAsia="宋体" w:cs="宋体"/>
          <w:bCs/>
          <w:color w:val="auto"/>
          <w:highlight w:val="none"/>
        </w:rPr>
        <w:t>重</w:t>
      </w:r>
      <w:r>
        <w:rPr>
          <w:rFonts w:hint="eastAsia" w:ascii="宋体" w:hAnsi="宋体" w:eastAsia="宋体" w:cs="宋体"/>
          <w:color w:val="auto"/>
          <w:kern w:val="0"/>
          <w:highlight w:val="none"/>
        </w:rPr>
        <w:t>新提交的响应文件和</w:t>
      </w:r>
      <w:r>
        <w:rPr>
          <w:rFonts w:hint="eastAsia" w:ascii="宋体" w:hAnsi="宋体" w:eastAsia="宋体" w:cs="宋体"/>
          <w:color w:val="auto"/>
          <w:highlight w:val="none"/>
        </w:rPr>
        <w:t>最后报价)，可打印或用不退色墨水书写，但需经法定代表人或其委托代理人签字，</w:t>
      </w:r>
      <w:r>
        <w:rPr>
          <w:rFonts w:hint="eastAsia" w:ascii="宋体" w:hAnsi="宋体" w:eastAsia="宋体" w:cs="宋体"/>
          <w:color w:val="auto"/>
          <w:kern w:val="0"/>
          <w:highlight w:val="none"/>
        </w:rPr>
        <w:t>或者加盖供应商单位章</w:t>
      </w:r>
      <w:r>
        <w:rPr>
          <w:rFonts w:hint="eastAsia" w:ascii="宋体" w:hAnsi="宋体" w:eastAsia="宋体" w:cs="宋体"/>
          <w:color w:val="auto"/>
          <w:highlight w:val="none"/>
        </w:rPr>
        <w:t>。否则，将导致响应文件无效。</w:t>
      </w:r>
    </w:p>
    <w:p>
      <w:pPr>
        <w:keepNext w:val="0"/>
        <w:keepLines w:val="0"/>
        <w:pageBreakBefore w:val="0"/>
        <w:kinsoku/>
        <w:wordWrap/>
        <w:overflowPunct/>
        <w:topLinePunct w:val="0"/>
        <w:autoSpaceDE/>
        <w:bidi w:val="0"/>
        <w:adjustRightInd w:val="0"/>
        <w:snapToGrid w:val="0"/>
        <w:spacing w:line="360" w:lineRule="auto"/>
        <w:ind w:firstLine="482" w:firstLineChars="200"/>
        <w:textAlignment w:val="auto"/>
        <w:outlineLvl w:val="2"/>
        <w:rPr>
          <w:rFonts w:hint="eastAsia" w:ascii="宋体" w:hAnsi="宋体" w:eastAsia="宋体" w:cs="宋体"/>
          <w:b/>
          <w:bCs/>
          <w:color w:val="auto"/>
          <w:sz w:val="24"/>
          <w:highlight w:val="none"/>
        </w:rPr>
      </w:pPr>
      <w:bookmarkStart w:id="77" w:name="_Toc7128"/>
      <w:bookmarkStart w:id="78" w:name="_Toc2229"/>
      <w:bookmarkStart w:id="79" w:name="_Toc16178"/>
      <w:bookmarkStart w:id="80" w:name="_Toc6834"/>
      <w:r>
        <w:rPr>
          <w:rFonts w:hint="eastAsia" w:ascii="宋体" w:hAnsi="宋体" w:eastAsia="宋体" w:cs="宋体"/>
          <w:b/>
          <w:bCs/>
          <w:color w:val="auto"/>
          <w:sz w:val="24"/>
          <w:highlight w:val="none"/>
        </w:rPr>
        <w:t>四、响应文件的递交</w:t>
      </w:r>
      <w:bookmarkEnd w:id="77"/>
      <w:bookmarkEnd w:id="78"/>
      <w:bookmarkEnd w:id="79"/>
      <w:bookmarkEnd w:id="80"/>
    </w:p>
    <w:p>
      <w:pPr>
        <w:keepNext w:val="0"/>
        <w:keepLines w:val="0"/>
        <w:pageBreakBefore w:val="0"/>
        <w:kinsoku/>
        <w:wordWrap/>
        <w:overflowPunct/>
        <w:topLinePunct w:val="0"/>
        <w:autoSpaceDE/>
        <w:bidi w:val="0"/>
        <w:adjustRightInd w:val="0"/>
        <w:snapToGrid w:val="0"/>
        <w:spacing w:line="360" w:lineRule="auto"/>
        <w:ind w:firstLine="48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22.</w:t>
      </w:r>
      <w:r>
        <w:rPr>
          <w:rFonts w:hint="eastAsia" w:ascii="宋体" w:hAnsi="宋体" w:eastAsia="宋体" w:cs="宋体"/>
          <w:b/>
          <w:color w:val="auto"/>
          <w:szCs w:val="21"/>
          <w:highlight w:val="none"/>
        </w:rPr>
        <w:t>响应文件</w:t>
      </w:r>
      <w:r>
        <w:rPr>
          <w:rFonts w:hint="eastAsia" w:ascii="宋体" w:hAnsi="宋体" w:eastAsia="宋体" w:cs="宋体"/>
          <w:b/>
          <w:bCs/>
          <w:color w:val="auto"/>
          <w:szCs w:val="21"/>
          <w:highlight w:val="none"/>
        </w:rPr>
        <w:t>的密封和标记</w:t>
      </w:r>
    </w:p>
    <w:p>
      <w:pPr>
        <w:pStyle w:val="13"/>
        <w:adjustRightInd w:val="0"/>
        <w:snapToGrid w:val="0"/>
        <w:spacing w:before="156" w:beforeLines="50" w:line="360" w:lineRule="auto"/>
        <w:ind w:firstLine="480" w:firstLineChars="200"/>
        <w:rPr>
          <w:rFonts w:hAnsi="宋体"/>
          <w:color w:val="auto"/>
          <w:highlight w:val="none"/>
        </w:rPr>
      </w:pPr>
      <w:r>
        <w:rPr>
          <w:rFonts w:hint="eastAsia" w:hAnsi="宋体"/>
          <w:color w:val="auto"/>
          <w:highlight w:val="none"/>
          <w:lang w:val="en-US" w:eastAsia="zh-CN"/>
        </w:rPr>
        <w:t>22</w:t>
      </w:r>
      <w:r>
        <w:rPr>
          <w:rFonts w:hint="eastAsia" w:hAnsi="宋体"/>
          <w:color w:val="auto"/>
          <w:highlight w:val="none"/>
        </w:rPr>
        <w:t>.1响应文件应密封包装，以保证其响应文件信息在提交首次响应文件截止时间前不被透露。</w:t>
      </w:r>
    </w:p>
    <w:p>
      <w:pPr>
        <w:adjustRightInd w:val="0"/>
        <w:snapToGrid w:val="0"/>
        <w:spacing w:before="156" w:beforeLines="50" w:line="360" w:lineRule="auto"/>
        <w:ind w:firstLine="480" w:firstLineChars="200"/>
        <w:jc w:val="left"/>
        <w:rPr>
          <w:rFonts w:ascii="宋体" w:hAnsi="宋体"/>
          <w:color w:val="auto"/>
          <w:szCs w:val="21"/>
          <w:highlight w:val="none"/>
        </w:rPr>
      </w:pPr>
      <w:r>
        <w:rPr>
          <w:rFonts w:hint="eastAsia" w:ascii="宋体" w:hAnsi="宋体"/>
          <w:color w:val="auto"/>
          <w:szCs w:val="21"/>
          <w:highlight w:val="none"/>
          <w:lang w:val="en-US" w:eastAsia="zh-CN"/>
        </w:rPr>
        <w:t>22</w:t>
      </w:r>
      <w:r>
        <w:rPr>
          <w:rFonts w:hint="eastAsia" w:ascii="宋体" w:hAnsi="宋体"/>
          <w:color w:val="auto"/>
          <w:szCs w:val="21"/>
          <w:highlight w:val="none"/>
        </w:rPr>
        <w:t>.2响应文件封套上应写明的内容见</w:t>
      </w:r>
      <w:r>
        <w:rPr>
          <w:rFonts w:hint="eastAsia" w:ascii="宋体" w:hAnsi="宋体" w:eastAsia="宋体" w:cs="宋体"/>
          <w:b/>
          <w:color w:val="auto"/>
          <w:highlight w:val="none"/>
        </w:rPr>
        <w:t>磋商须知前附表</w:t>
      </w:r>
      <w:r>
        <w:rPr>
          <w:rFonts w:hint="eastAsia" w:ascii="宋体" w:hAnsi="宋体"/>
          <w:b/>
          <w:color w:val="auto"/>
          <w:szCs w:val="21"/>
          <w:highlight w:val="none"/>
        </w:rPr>
        <w:t>。</w:t>
      </w:r>
    </w:p>
    <w:p>
      <w:pPr>
        <w:keepNext w:val="0"/>
        <w:keepLines w:val="0"/>
        <w:pageBreakBefore w:val="0"/>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22.3响应文件如果未按上述规定密封和加写标记，采购人或采购代理机构将拒绝接收。</w:t>
      </w:r>
    </w:p>
    <w:p>
      <w:pPr>
        <w:keepNext w:val="0"/>
        <w:keepLines w:val="0"/>
        <w:pageBreakBefore w:val="0"/>
        <w:kinsoku/>
        <w:wordWrap/>
        <w:overflowPunct/>
        <w:topLinePunct w:val="0"/>
        <w:autoSpaceDE/>
        <w:bidi w:val="0"/>
        <w:adjustRightInd w:val="0"/>
        <w:snapToGrid w:val="0"/>
        <w:spacing w:line="360" w:lineRule="auto"/>
        <w:ind w:firstLine="48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23.响应文件的</w:t>
      </w:r>
      <w:r>
        <w:rPr>
          <w:rFonts w:hint="eastAsia" w:ascii="宋体" w:hAnsi="宋体" w:eastAsia="宋体" w:cs="宋体"/>
          <w:b/>
          <w:color w:val="auto"/>
          <w:kern w:val="0"/>
          <w:szCs w:val="21"/>
          <w:highlight w:val="none"/>
          <w:lang w:val="zh-CN"/>
        </w:rPr>
        <w:t>补充、修改或者撤回</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23.1</w:t>
      </w:r>
      <w:r>
        <w:rPr>
          <w:rFonts w:hint="eastAsia" w:ascii="宋体" w:hAnsi="宋体" w:eastAsia="宋体" w:cs="宋体"/>
          <w:color w:val="auto"/>
          <w:kern w:val="0"/>
          <w:highlight w:val="none"/>
        </w:rPr>
        <w:t>供应商在提交首次响应文件截止时间前，可以对所提交的首次响应文件进行补充、修改或者撤回，并书面通知采购人、采购代理机构。</w:t>
      </w:r>
      <w:r>
        <w:rPr>
          <w:rFonts w:hint="eastAsia" w:ascii="宋体" w:hAnsi="宋体" w:eastAsia="宋体" w:cs="宋体"/>
          <w:color w:val="auto"/>
          <w:highlight w:val="none"/>
        </w:rPr>
        <w:t>该通知应有供应商法定代表人或其委托代理人签字。</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23.2</w:t>
      </w:r>
      <w:r>
        <w:rPr>
          <w:rFonts w:hint="eastAsia" w:ascii="宋体" w:hAnsi="宋体" w:eastAsia="宋体" w:cs="宋体"/>
          <w:color w:val="auto"/>
          <w:kern w:val="0"/>
          <w:highlight w:val="none"/>
          <w:lang w:val="zh-CN"/>
        </w:rPr>
        <w:t>补充、修改的内容与响应文件不一致时，以补充、修改的内容为准。</w:t>
      </w:r>
    </w:p>
    <w:p>
      <w:pPr>
        <w:keepNext w:val="0"/>
        <w:keepLines w:val="0"/>
        <w:pageBreakBefore w:val="0"/>
        <w:kinsoku/>
        <w:wordWrap/>
        <w:overflowPunct/>
        <w:topLinePunct w:val="0"/>
        <w:autoSpaceDE/>
        <w:bidi w:val="0"/>
        <w:adjustRightInd w:val="0"/>
        <w:snapToGrid w:val="0"/>
        <w:spacing w:line="360" w:lineRule="auto"/>
        <w:ind w:firstLine="48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24.响应文件的递交与接收</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 供应商应在</w:t>
      </w:r>
      <w:r>
        <w:rPr>
          <w:rFonts w:hint="eastAsia" w:ascii="宋体" w:hAnsi="宋体" w:eastAsia="宋体" w:cs="宋体"/>
          <w:color w:val="auto"/>
          <w:kern w:val="0"/>
          <w:szCs w:val="21"/>
          <w:highlight w:val="none"/>
        </w:rPr>
        <w:t>提交首次响应文件截止时间</w:t>
      </w:r>
      <w:r>
        <w:rPr>
          <w:rFonts w:hint="eastAsia" w:ascii="宋体" w:hAnsi="宋体" w:eastAsia="宋体" w:cs="宋体"/>
          <w:color w:val="auto"/>
          <w:szCs w:val="21"/>
          <w:highlight w:val="none"/>
        </w:rPr>
        <w:t>前，将响应文件送达</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中指定的地点。</w:t>
      </w:r>
      <w:r>
        <w:rPr>
          <w:rFonts w:hint="eastAsia" w:ascii="宋体" w:hAnsi="宋体" w:eastAsia="宋体" w:cs="宋体"/>
          <w:color w:val="auto"/>
          <w:kern w:val="0"/>
          <w:highlight w:val="none"/>
        </w:rPr>
        <w:t>在截止时间后送达的响应文件，采购人、采购代理机构或者磋商小组应当拒收。</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24.2</w:t>
      </w:r>
      <w:r>
        <w:rPr>
          <w:rFonts w:hint="eastAsia" w:ascii="宋体" w:hAnsi="宋体" w:eastAsia="宋体" w:cs="宋体"/>
          <w:color w:val="auto"/>
          <w:kern w:val="0"/>
          <w:highlight w:val="none"/>
        </w:rPr>
        <w:t>在提交首次响应文件截止时间后，</w:t>
      </w:r>
      <w:r>
        <w:rPr>
          <w:rFonts w:hint="eastAsia" w:ascii="宋体" w:hAnsi="宋体" w:eastAsia="宋体" w:cs="宋体"/>
          <w:color w:val="auto"/>
          <w:highlight w:val="none"/>
        </w:rPr>
        <w:t>由</w:t>
      </w:r>
      <w:r>
        <w:rPr>
          <w:rFonts w:hint="eastAsia" w:ascii="宋体" w:hAnsi="宋体" w:eastAsia="宋体" w:cs="宋体"/>
          <w:bCs/>
          <w:color w:val="auto"/>
          <w:highlight w:val="none"/>
        </w:rPr>
        <w:t>供应商代表</w:t>
      </w:r>
      <w:r>
        <w:rPr>
          <w:rFonts w:hint="eastAsia" w:ascii="宋体" w:hAnsi="宋体" w:eastAsia="宋体" w:cs="宋体"/>
          <w:color w:val="auto"/>
          <w:highlight w:val="none"/>
        </w:rPr>
        <w:t>当场查验</w:t>
      </w:r>
      <w:r>
        <w:rPr>
          <w:rFonts w:hint="eastAsia" w:ascii="宋体" w:hAnsi="宋体" w:eastAsia="宋体" w:cs="宋体"/>
          <w:bCs/>
          <w:color w:val="auto"/>
          <w:highlight w:val="none"/>
        </w:rPr>
        <w:t>响应文件</w:t>
      </w:r>
      <w:r>
        <w:rPr>
          <w:rFonts w:hint="eastAsia" w:ascii="宋体" w:hAnsi="宋体" w:eastAsia="宋体" w:cs="宋体"/>
          <w:color w:val="auto"/>
          <w:highlight w:val="none"/>
        </w:rPr>
        <w:t>的密封状况，采购人或</w:t>
      </w:r>
      <w:r>
        <w:rPr>
          <w:rFonts w:hint="eastAsia" w:ascii="宋体" w:hAnsi="宋体" w:eastAsia="宋体" w:cs="宋体"/>
          <w:bCs/>
          <w:color w:val="auto"/>
          <w:highlight w:val="none"/>
        </w:rPr>
        <w:t>采购代理机构</w:t>
      </w:r>
      <w:r>
        <w:rPr>
          <w:rFonts w:hint="eastAsia" w:ascii="宋体" w:hAnsi="宋体" w:eastAsia="宋体" w:cs="宋体"/>
          <w:color w:val="auto"/>
          <w:highlight w:val="none"/>
        </w:rPr>
        <w:t>不当场拆封</w:t>
      </w:r>
      <w:r>
        <w:rPr>
          <w:rFonts w:hint="eastAsia" w:ascii="宋体" w:hAnsi="宋体" w:eastAsia="宋体" w:cs="宋体"/>
          <w:bCs/>
          <w:color w:val="auto"/>
          <w:highlight w:val="none"/>
        </w:rPr>
        <w:t>响应文件</w:t>
      </w:r>
      <w:r>
        <w:rPr>
          <w:rFonts w:hint="eastAsia" w:ascii="宋体" w:hAnsi="宋体" w:eastAsia="宋体" w:cs="宋体"/>
          <w:color w:val="auto"/>
          <w:highlight w:val="none"/>
        </w:rPr>
        <w:t>。</w:t>
      </w:r>
    </w:p>
    <w:p>
      <w:pPr>
        <w:keepNext w:val="0"/>
        <w:keepLines w:val="0"/>
        <w:pageBreakBefore w:val="0"/>
        <w:kinsoku/>
        <w:wordWrap/>
        <w:overflowPunct/>
        <w:topLinePunct w:val="0"/>
        <w:autoSpaceDE/>
        <w:bidi w:val="0"/>
        <w:adjustRightInd w:val="0"/>
        <w:snapToGrid w:val="0"/>
        <w:spacing w:line="360" w:lineRule="auto"/>
        <w:ind w:firstLine="482" w:firstLineChars="200"/>
        <w:textAlignment w:val="auto"/>
        <w:outlineLvl w:val="2"/>
        <w:rPr>
          <w:rFonts w:hint="eastAsia" w:ascii="宋体" w:hAnsi="宋体" w:eastAsia="宋体" w:cs="宋体"/>
          <w:b/>
          <w:bCs/>
          <w:color w:val="auto"/>
          <w:sz w:val="24"/>
          <w:highlight w:val="none"/>
        </w:rPr>
      </w:pPr>
      <w:bookmarkStart w:id="81" w:name="_Toc2292"/>
      <w:bookmarkStart w:id="82" w:name="_Toc31045"/>
      <w:bookmarkStart w:id="83" w:name="_Toc5446"/>
      <w:bookmarkStart w:id="84" w:name="_Toc11249"/>
      <w:r>
        <w:rPr>
          <w:rFonts w:hint="eastAsia" w:ascii="宋体" w:hAnsi="宋体" w:eastAsia="宋体" w:cs="宋体"/>
          <w:b/>
          <w:bCs/>
          <w:color w:val="auto"/>
          <w:sz w:val="24"/>
          <w:highlight w:val="none"/>
        </w:rPr>
        <w:t>五、响应文件的磋商与评审</w:t>
      </w:r>
      <w:bookmarkEnd w:id="81"/>
      <w:bookmarkEnd w:id="82"/>
      <w:bookmarkEnd w:id="83"/>
      <w:bookmarkEnd w:id="84"/>
    </w:p>
    <w:p>
      <w:pPr>
        <w:keepNext w:val="0"/>
        <w:keepLines w:val="0"/>
        <w:pageBreakBefore w:val="0"/>
        <w:tabs>
          <w:tab w:val="left" w:pos="0"/>
        </w:tabs>
        <w:kinsoku/>
        <w:wordWrap/>
        <w:overflowPunct/>
        <w:topLinePunct w:val="0"/>
        <w:autoSpaceDE/>
        <w:bidi w:val="0"/>
        <w:adjustRightInd w:val="0"/>
        <w:snapToGrid w:val="0"/>
        <w:spacing w:line="360" w:lineRule="auto"/>
        <w:ind w:firstLine="48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25.磋商程序</w:t>
      </w:r>
    </w:p>
    <w:p>
      <w:pPr>
        <w:keepNext w:val="0"/>
        <w:keepLines w:val="0"/>
        <w:pageBreakBefore w:val="0"/>
        <w:widowControl/>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25.1磋商程序：响应文件审查、磋商（包括澄清）、响应文件评审、</w:t>
      </w:r>
      <w:r>
        <w:rPr>
          <w:rFonts w:hint="eastAsia" w:ascii="宋体" w:hAnsi="宋体" w:eastAsia="宋体" w:cs="宋体"/>
          <w:bCs/>
          <w:color w:val="auto"/>
          <w:szCs w:val="21"/>
          <w:highlight w:val="none"/>
        </w:rPr>
        <w:t>提出成交供应商。其中，</w:t>
      </w:r>
      <w:r>
        <w:rPr>
          <w:rFonts w:hint="eastAsia" w:ascii="宋体" w:hAnsi="宋体" w:eastAsia="宋体" w:cs="宋体"/>
          <w:color w:val="auto"/>
          <w:kern w:val="0"/>
          <w:szCs w:val="21"/>
          <w:highlight w:val="none"/>
        </w:rPr>
        <w:t>磋商按</w:t>
      </w:r>
      <w:r>
        <w:rPr>
          <w:rFonts w:hint="eastAsia" w:ascii="宋体" w:hAnsi="宋体" w:eastAsia="宋体" w:cs="宋体"/>
          <w:color w:val="auto"/>
          <w:szCs w:val="21"/>
          <w:highlight w:val="none"/>
        </w:rPr>
        <w:t>本章</w:t>
      </w:r>
      <w:r>
        <w:rPr>
          <w:rFonts w:hint="eastAsia" w:ascii="宋体" w:hAnsi="宋体" w:eastAsia="宋体" w:cs="宋体"/>
          <w:color w:val="auto"/>
          <w:highlight w:val="none"/>
        </w:rPr>
        <w:t>第30.1</w:t>
      </w:r>
      <w:r>
        <w:rPr>
          <w:rFonts w:hint="eastAsia" w:ascii="宋体" w:hAnsi="宋体" w:eastAsia="宋体" w:cs="宋体"/>
          <w:color w:val="auto"/>
          <w:kern w:val="0"/>
          <w:szCs w:val="21"/>
          <w:highlight w:val="none"/>
          <w:lang w:val="zh-CN"/>
        </w:rPr>
        <w:t>款或者</w:t>
      </w:r>
      <w:r>
        <w:rPr>
          <w:rFonts w:hint="eastAsia" w:ascii="宋体" w:hAnsi="宋体" w:eastAsia="宋体" w:cs="宋体"/>
          <w:color w:val="auto"/>
          <w:highlight w:val="none"/>
        </w:rPr>
        <w:t>第30.2</w:t>
      </w:r>
      <w:r>
        <w:rPr>
          <w:rFonts w:hint="eastAsia" w:ascii="宋体" w:hAnsi="宋体" w:eastAsia="宋体" w:cs="宋体"/>
          <w:color w:val="auto"/>
          <w:kern w:val="0"/>
          <w:szCs w:val="21"/>
          <w:highlight w:val="none"/>
          <w:lang w:val="zh-CN"/>
        </w:rPr>
        <w:t>款</w:t>
      </w:r>
      <w:r>
        <w:rPr>
          <w:rFonts w:hint="eastAsia" w:ascii="宋体" w:hAnsi="宋体" w:eastAsia="宋体" w:cs="宋体"/>
          <w:color w:val="auto"/>
          <w:highlight w:val="none"/>
        </w:rPr>
        <w:t>情形</w:t>
      </w:r>
      <w:r>
        <w:rPr>
          <w:rFonts w:hint="eastAsia" w:ascii="宋体" w:hAnsi="宋体" w:eastAsia="宋体" w:cs="宋体"/>
          <w:bCs/>
          <w:color w:val="auto"/>
          <w:szCs w:val="21"/>
          <w:highlight w:val="none"/>
        </w:rPr>
        <w:t>进行。</w:t>
      </w:r>
    </w:p>
    <w:p>
      <w:pPr>
        <w:keepNext w:val="0"/>
        <w:keepLines w:val="0"/>
        <w:pageBreakBefore w:val="0"/>
        <w:widowControl/>
        <w:kinsoku/>
        <w:wordWrap/>
        <w:overflowPunct/>
        <w:topLinePunct w:val="0"/>
        <w:autoSpaceDE/>
        <w:bidi w:val="0"/>
        <w:adjustRightInd w:val="0"/>
        <w:snapToGrid w:val="0"/>
        <w:spacing w:line="360" w:lineRule="auto"/>
        <w:ind w:firstLine="48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26.</w:t>
      </w:r>
      <w:r>
        <w:rPr>
          <w:rFonts w:hint="eastAsia" w:ascii="宋体" w:hAnsi="宋体" w:eastAsia="宋体" w:cs="宋体"/>
          <w:color w:val="auto"/>
          <w:highlight w:val="none"/>
        </w:rPr>
        <w:t xml:space="preserve"> </w:t>
      </w:r>
      <w:r>
        <w:rPr>
          <w:rFonts w:hint="eastAsia" w:ascii="宋体" w:hAnsi="宋体" w:eastAsia="宋体" w:cs="宋体"/>
          <w:b/>
          <w:color w:val="auto"/>
          <w:kern w:val="0"/>
          <w:szCs w:val="21"/>
          <w:highlight w:val="none"/>
        </w:rPr>
        <w:t>响应文件审查</w:t>
      </w:r>
      <w:r>
        <w:rPr>
          <w:rFonts w:hint="eastAsia" w:ascii="宋体" w:hAnsi="宋体" w:eastAsia="宋体" w:cs="宋体"/>
          <w:b/>
          <w:color w:val="auto"/>
          <w:szCs w:val="21"/>
          <w:highlight w:val="none"/>
        </w:rPr>
        <w:t xml:space="preserve"> </w:t>
      </w:r>
    </w:p>
    <w:p>
      <w:pPr>
        <w:keepNext w:val="0"/>
        <w:keepLines w:val="0"/>
        <w:pageBreakBefore w:val="0"/>
        <w:kinsoku/>
        <w:wordWrap/>
        <w:overflowPunct/>
        <w:topLinePunct w:val="0"/>
        <w:autoSpaceDE/>
        <w:bidi w:val="0"/>
        <w:adjustRightInd w:val="0"/>
        <w:snapToGrid w:val="0"/>
        <w:spacing w:before="156" w:line="360" w:lineRule="auto"/>
        <w:ind w:firstLine="48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26.1 资格性审查：根据本章第3.1项规定的供应商资格条件要求，对</w:t>
      </w:r>
      <w:r>
        <w:rPr>
          <w:rFonts w:hint="eastAsia" w:ascii="宋体" w:hAnsi="宋体" w:eastAsia="宋体" w:cs="宋体"/>
          <w:color w:val="auto"/>
          <w:highlight w:val="none"/>
        </w:rPr>
        <w:t>响应</w:t>
      </w:r>
      <w:r>
        <w:rPr>
          <w:rFonts w:hint="eastAsia" w:ascii="宋体" w:hAnsi="宋体" w:eastAsia="宋体" w:cs="宋体"/>
          <w:color w:val="auto"/>
          <w:szCs w:val="21"/>
          <w:highlight w:val="none"/>
        </w:rPr>
        <w:t>文件的资格证明等进行审查，以确定供应商是否具备磋商资格条件。</w:t>
      </w:r>
      <w:r>
        <w:rPr>
          <w:rFonts w:hint="eastAsia" w:ascii="宋体" w:hAnsi="宋体" w:cs="宋体"/>
          <w:color w:val="auto"/>
          <w:szCs w:val="21"/>
          <w:highlight w:val="none"/>
          <w:lang w:eastAsia="zh-CN"/>
        </w:rPr>
        <w:t>（由采购人、采购代理机构进行资格审查）</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26.2符合性审查: 对响应文件(包括首次提交的响应文件、重新提交的响应文件)的有效性、完整性和响应程度进行审查，以确定是否对磋商文件的实质性要求作出响应。</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26.3响应文件审查结束后，磋商小组所有成员集中与单一供应商分别进行磋商，并给予所有参加磋商的供应商平等的磋商机会。供应商应派其法定代表人或委托代理人参加磋商。</w:t>
      </w:r>
    </w:p>
    <w:p>
      <w:pPr>
        <w:pStyle w:val="13"/>
        <w:keepNext w:val="0"/>
        <w:keepLines w:val="0"/>
        <w:pageBreakBefore w:val="0"/>
        <w:kinsoku/>
        <w:wordWrap/>
        <w:overflowPunct/>
        <w:topLinePunct w:val="0"/>
        <w:autoSpaceDE/>
        <w:bidi w:val="0"/>
        <w:adjustRightInd w:val="0"/>
        <w:snapToGrid w:val="0"/>
        <w:spacing w:line="360" w:lineRule="auto"/>
        <w:ind w:firstLine="482" w:firstLineChars="200"/>
        <w:textAlignment w:val="auto"/>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27.实质性响应</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kern w:val="0"/>
          <w:highlight w:val="none"/>
          <w:u w:val="single"/>
        </w:rPr>
      </w:pPr>
      <w:r>
        <w:rPr>
          <w:rFonts w:hint="eastAsia" w:ascii="宋体" w:hAnsi="宋体" w:eastAsia="宋体" w:cs="宋体"/>
          <w:color w:val="auto"/>
          <w:kern w:val="0"/>
          <w:highlight w:val="none"/>
        </w:rPr>
        <w:t>27.1</w:t>
      </w:r>
      <w:r>
        <w:rPr>
          <w:rFonts w:hint="eastAsia" w:ascii="宋体" w:hAnsi="宋体" w:eastAsia="宋体" w:cs="宋体"/>
          <w:color w:val="auto"/>
          <w:highlight w:val="none"/>
        </w:rPr>
        <w:t>实质性响应是指响应文件(包括首次响应文件、重新提交的响应文件)与磋商文件要求的所有条款、条件和规格相符，没有偏离。偏离指不满足、或不响应磋商文件的要求。</w:t>
      </w:r>
    </w:p>
    <w:p>
      <w:pPr>
        <w:keepNext w:val="0"/>
        <w:keepLines w:val="0"/>
        <w:pageBreakBefore w:val="0"/>
        <w:tabs>
          <w:tab w:val="left" w:pos="0"/>
          <w:tab w:val="left" w:pos="7560"/>
          <w:tab w:val="left" w:pos="7740"/>
          <w:tab w:val="left" w:pos="7920"/>
        </w:tabs>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27.2</w:t>
      </w:r>
      <w:r>
        <w:rPr>
          <w:rFonts w:hint="eastAsia" w:ascii="宋体" w:hAnsi="宋体" w:eastAsia="宋体" w:cs="宋体"/>
          <w:color w:val="auto"/>
          <w:highlight w:val="none"/>
        </w:rPr>
        <w:t>响应文件是否实质性响应磋商文件要求由磋商小组依据磋商文件规定认定。</w:t>
      </w:r>
      <w:r>
        <w:rPr>
          <w:rFonts w:hint="eastAsia" w:ascii="宋体" w:hAnsi="宋体" w:eastAsia="宋体" w:cs="宋体"/>
          <w:color w:val="auto"/>
          <w:kern w:val="0"/>
          <w:szCs w:val="21"/>
          <w:highlight w:val="none"/>
        </w:rPr>
        <w:t>磋商小组</w:t>
      </w:r>
      <w:r>
        <w:rPr>
          <w:rFonts w:hint="eastAsia" w:ascii="宋体" w:hAnsi="宋体" w:eastAsia="宋体" w:cs="宋体"/>
          <w:color w:val="auto"/>
          <w:szCs w:val="21"/>
          <w:highlight w:val="none"/>
        </w:rPr>
        <w:t>决定</w:t>
      </w:r>
      <w:r>
        <w:rPr>
          <w:rFonts w:hint="eastAsia" w:ascii="宋体" w:hAnsi="宋体" w:eastAsia="宋体" w:cs="宋体"/>
          <w:color w:val="auto"/>
          <w:highlight w:val="none"/>
        </w:rPr>
        <w:t>响应文件</w:t>
      </w:r>
      <w:r>
        <w:rPr>
          <w:rFonts w:hint="eastAsia" w:ascii="宋体" w:hAnsi="宋体" w:eastAsia="宋体" w:cs="宋体"/>
          <w:color w:val="auto"/>
          <w:szCs w:val="21"/>
          <w:highlight w:val="none"/>
        </w:rPr>
        <w:t>的响应性只根据</w:t>
      </w:r>
      <w:r>
        <w:rPr>
          <w:rFonts w:hint="eastAsia" w:ascii="宋体" w:hAnsi="宋体" w:eastAsia="宋体" w:cs="宋体"/>
          <w:color w:val="auto"/>
          <w:highlight w:val="none"/>
        </w:rPr>
        <w:t>响应文件</w:t>
      </w:r>
      <w:r>
        <w:rPr>
          <w:rFonts w:hint="eastAsia" w:ascii="宋体" w:hAnsi="宋体" w:eastAsia="宋体" w:cs="宋体"/>
          <w:color w:val="auto"/>
          <w:szCs w:val="21"/>
          <w:highlight w:val="none"/>
        </w:rPr>
        <w:t>本身的真实无误的内容，而不依据外部的证据。</w:t>
      </w:r>
    </w:p>
    <w:p>
      <w:pPr>
        <w:pStyle w:val="13"/>
        <w:keepNext w:val="0"/>
        <w:keepLines w:val="0"/>
        <w:pageBreakBefore w:val="0"/>
        <w:kinsoku/>
        <w:wordWrap/>
        <w:overflowPunct/>
        <w:topLinePunct w:val="0"/>
        <w:autoSpaceDE/>
        <w:bidi w:val="0"/>
        <w:adjustRightInd w:val="0"/>
        <w:snapToGrid w:val="0"/>
        <w:spacing w:line="360" w:lineRule="auto"/>
        <w:ind w:firstLine="482" w:firstLineChars="200"/>
        <w:textAlignment w:val="auto"/>
        <w:rPr>
          <w:rFonts w:hint="eastAsia" w:ascii="宋体" w:hAnsi="宋体" w:eastAsia="宋体" w:cs="宋体"/>
          <w:b/>
          <w:color w:val="auto"/>
          <w:kern w:val="0"/>
          <w:highlight w:val="none"/>
        </w:rPr>
      </w:pPr>
      <w:r>
        <w:rPr>
          <w:rFonts w:hint="eastAsia" w:ascii="宋体" w:hAnsi="宋体" w:eastAsia="宋体" w:cs="宋体"/>
          <w:b/>
          <w:color w:val="auto"/>
          <w:kern w:val="0"/>
          <w:highlight w:val="none"/>
        </w:rPr>
        <w:t xml:space="preserve">28.无效响应 </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b/>
          <w:color w:val="auto"/>
          <w:kern w:val="0"/>
          <w:highlight w:val="none"/>
        </w:rPr>
      </w:pPr>
      <w:r>
        <w:rPr>
          <w:rFonts w:hint="eastAsia" w:ascii="宋体" w:hAnsi="宋体" w:eastAsia="宋体" w:cs="宋体"/>
          <w:color w:val="auto"/>
          <w:kern w:val="0"/>
          <w:highlight w:val="none"/>
        </w:rPr>
        <w:t>28.1</w:t>
      </w:r>
      <w:r>
        <w:rPr>
          <w:rFonts w:hint="eastAsia" w:ascii="宋体" w:hAnsi="宋体" w:eastAsia="宋体" w:cs="宋体"/>
          <w:color w:val="auto"/>
          <w:highlight w:val="none"/>
        </w:rPr>
        <w:t>磋商小组在对资格性和符合性进行审查时，有下列情况之一的，属无效响应，</w:t>
      </w:r>
      <w:r>
        <w:rPr>
          <w:rFonts w:hint="eastAsia" w:ascii="宋体" w:hAnsi="宋体" w:eastAsia="宋体" w:cs="宋体"/>
          <w:color w:val="auto"/>
          <w:kern w:val="0"/>
          <w:highlight w:val="none"/>
        </w:rPr>
        <w:t>磋商小组应当告知有关供应商</w:t>
      </w:r>
      <w:r>
        <w:rPr>
          <w:rFonts w:hint="eastAsia" w:ascii="宋体" w:hAnsi="宋体" w:eastAsia="宋体" w:cs="宋体"/>
          <w:color w:val="auto"/>
          <w:highlight w:val="none"/>
        </w:rPr>
        <w:t>：</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（1）供应商存在本章第3.3款情形的；</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（2）联合体不符合本章第3.2款规定的；</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（3）应交未交磋商保证金或金额不足、磋商保证金缴纳形式不符合磋商文件要求的；</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（4）响应文件未按照磋商文件要求签署、盖章的；</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）响应文件不满足本章第27.1款规定的实质性要求的；</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）报价超过采购项目</w:t>
      </w:r>
      <w:r>
        <w:rPr>
          <w:rFonts w:hint="eastAsia" w:ascii="宋体" w:hAnsi="宋体" w:eastAsia="宋体" w:cs="宋体"/>
          <w:color w:val="auto"/>
          <w:szCs w:val="21"/>
          <w:highlight w:val="none"/>
          <w:lang w:eastAsia="zh-CN"/>
        </w:rPr>
        <w:t>最高限价</w:t>
      </w:r>
      <w:r>
        <w:rPr>
          <w:rFonts w:hint="eastAsia" w:ascii="宋体" w:hAnsi="宋体" w:eastAsia="宋体" w:cs="宋体"/>
          <w:color w:val="auto"/>
          <w:szCs w:val="21"/>
          <w:highlight w:val="none"/>
        </w:rPr>
        <w:t>的；</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）响应文件有效期不足的；</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eastAsia="宋体" w:cs="宋体"/>
          <w:color w:val="auto"/>
          <w:szCs w:val="21"/>
          <w:highlight w:val="none"/>
        </w:rPr>
        <w:t>）响应文件不符合法律、规章、规范性文件和磋商文件规定及要求的。</w:t>
      </w:r>
    </w:p>
    <w:p>
      <w:pPr>
        <w:keepNext w:val="0"/>
        <w:keepLines w:val="0"/>
        <w:pageBreakBefore w:val="0"/>
        <w:widowControl/>
        <w:kinsoku/>
        <w:wordWrap/>
        <w:overflowPunct/>
        <w:topLinePunct w:val="0"/>
        <w:autoSpaceDE/>
        <w:bidi w:val="0"/>
        <w:adjustRightInd w:val="0"/>
        <w:snapToGrid w:val="0"/>
        <w:spacing w:line="360" w:lineRule="auto"/>
        <w:ind w:firstLine="482" w:firstLineChars="200"/>
        <w:jc w:val="left"/>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29.澄清</w:t>
      </w:r>
    </w:p>
    <w:p>
      <w:pPr>
        <w:keepNext w:val="0"/>
        <w:keepLines w:val="0"/>
        <w:pageBreakBefore w:val="0"/>
        <w:widowControl/>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29.1 磋商小组在对响应文件的有效性、完整性和对磋商文件的响应程度进行审查时，可以要求供应商对响应文件中含义不明确、同类问题表述不一致或者有明显文字和计算错误的内容等作出必要的澄清、说明或者更正。该要求应当以书面形式作出。供应商的澄清、说明或者更正应当采用书面形式，由其法定代表人或其委托代理人签字或者加盖公章。供应商的澄清、说明或者更正不得超出响应文件的范围或者改变响应文件的实质性内容。</w:t>
      </w:r>
    </w:p>
    <w:p>
      <w:pPr>
        <w:keepNext w:val="0"/>
        <w:keepLines w:val="0"/>
        <w:pageBreakBefore w:val="0"/>
        <w:widowControl/>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29.2 最后报价计算错误修正的原则：最后报价的大写金额和小写金额不一致的，以大写金额为准；总价金额与按分项报价汇总金额不一致的，以分项报价金额计算结果为准；分项报价金额小数点有明显错位的，应以总价为准，并修改分项报价。</w:t>
      </w:r>
    </w:p>
    <w:p>
      <w:pPr>
        <w:keepNext w:val="0"/>
        <w:keepLines w:val="0"/>
        <w:pageBreakBefore w:val="0"/>
        <w:widowControl/>
        <w:kinsoku/>
        <w:wordWrap/>
        <w:overflowPunct/>
        <w:topLinePunct w:val="0"/>
        <w:autoSpaceDE/>
        <w:bidi w:val="0"/>
        <w:adjustRightInd w:val="0"/>
        <w:snapToGrid w:val="0"/>
        <w:spacing w:line="360" w:lineRule="auto"/>
        <w:ind w:firstLine="482" w:firstLineChars="200"/>
        <w:jc w:val="left"/>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30.磋商</w:t>
      </w:r>
    </w:p>
    <w:p>
      <w:pPr>
        <w:keepNext w:val="0"/>
        <w:keepLines w:val="0"/>
        <w:pageBreakBefore w:val="0"/>
        <w:widowControl/>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30.1</w:t>
      </w:r>
      <w:r>
        <w:rPr>
          <w:rFonts w:hint="eastAsia" w:ascii="宋体" w:hAnsi="宋体" w:eastAsia="宋体" w:cs="宋体"/>
          <w:color w:val="auto"/>
          <w:highlight w:val="none"/>
        </w:rPr>
        <w:t>本章第10.2项</w:t>
      </w:r>
      <w:r>
        <w:rPr>
          <w:rFonts w:hint="eastAsia" w:ascii="宋体" w:hAnsi="宋体" w:eastAsia="宋体" w:cs="宋体"/>
          <w:color w:val="auto"/>
          <w:kern w:val="0"/>
          <w:szCs w:val="21"/>
          <w:highlight w:val="none"/>
        </w:rPr>
        <w:t>未明确磋商文件实质性变动内容的，或者磋商文件明确了可能发生实质性变动内容，但在磋商过程中，</w:t>
      </w:r>
      <w:r>
        <w:rPr>
          <w:rFonts w:hint="eastAsia" w:ascii="宋体" w:hAnsi="宋体" w:eastAsia="宋体" w:cs="宋体"/>
          <w:bCs/>
          <w:color w:val="auto"/>
          <w:szCs w:val="21"/>
          <w:highlight w:val="none"/>
        </w:rPr>
        <w:t>磋商小组</w:t>
      </w:r>
      <w:r>
        <w:rPr>
          <w:rFonts w:hint="eastAsia" w:ascii="宋体" w:hAnsi="宋体" w:eastAsia="宋体" w:cs="宋体"/>
          <w:color w:val="auto"/>
          <w:kern w:val="0"/>
          <w:szCs w:val="21"/>
          <w:highlight w:val="none"/>
        </w:rPr>
        <w:t>根据磋商情况</w:t>
      </w:r>
      <w:r>
        <w:rPr>
          <w:rFonts w:hint="eastAsia" w:ascii="宋体" w:hAnsi="宋体" w:eastAsia="宋体" w:cs="宋体"/>
          <w:bCs/>
          <w:color w:val="auto"/>
          <w:szCs w:val="21"/>
          <w:highlight w:val="none"/>
        </w:rPr>
        <w:t>认为</w:t>
      </w:r>
      <w:r>
        <w:rPr>
          <w:rFonts w:hint="eastAsia" w:ascii="宋体" w:hAnsi="宋体" w:eastAsia="宋体" w:cs="宋体"/>
          <w:color w:val="auto"/>
          <w:kern w:val="0"/>
          <w:szCs w:val="21"/>
          <w:highlight w:val="none"/>
        </w:rPr>
        <w:t>磋商文件无需发生实质性变动的，磋商小组应当直接与响应文件审查合格的供应商就价格组织多轮磋商。</w:t>
      </w:r>
    </w:p>
    <w:p>
      <w:pPr>
        <w:keepNext w:val="0"/>
        <w:keepLines w:val="0"/>
        <w:pageBreakBefore w:val="0"/>
        <w:widowControl/>
        <w:tabs>
          <w:tab w:val="left" w:pos="1080"/>
          <w:tab w:val="left" w:pos="1260"/>
        </w:tabs>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（1）磋商结束后，磋商小组应当要求所有继续参加磋商的供应商在磋商小组规定时间内提交最后报价。</w:t>
      </w:r>
    </w:p>
    <w:p>
      <w:pPr>
        <w:keepNext w:val="0"/>
        <w:keepLines w:val="0"/>
        <w:pageBreakBefore w:val="0"/>
        <w:widowControl/>
        <w:tabs>
          <w:tab w:val="left" w:pos="1080"/>
          <w:tab w:val="left" w:pos="1260"/>
        </w:tabs>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（2）磋商文件明确可能发生实质性变动，但在磋商过程中</w:t>
      </w:r>
      <w:r>
        <w:rPr>
          <w:rFonts w:hint="eastAsia" w:ascii="宋体" w:hAnsi="宋体" w:eastAsia="宋体" w:cs="宋体"/>
          <w:bCs/>
          <w:color w:val="auto"/>
          <w:szCs w:val="21"/>
          <w:highlight w:val="none"/>
        </w:rPr>
        <w:t>磋商小组</w:t>
      </w:r>
      <w:r>
        <w:rPr>
          <w:rFonts w:hint="eastAsia" w:ascii="宋体" w:hAnsi="宋体" w:eastAsia="宋体" w:cs="宋体"/>
          <w:color w:val="auto"/>
          <w:kern w:val="0"/>
          <w:szCs w:val="21"/>
          <w:highlight w:val="none"/>
        </w:rPr>
        <w:t>根据磋商情况</w:t>
      </w:r>
      <w:r>
        <w:rPr>
          <w:rFonts w:hint="eastAsia" w:ascii="宋体" w:hAnsi="宋体" w:eastAsia="宋体" w:cs="宋体"/>
          <w:bCs/>
          <w:color w:val="auto"/>
          <w:szCs w:val="21"/>
          <w:highlight w:val="none"/>
        </w:rPr>
        <w:t>认为</w:t>
      </w:r>
      <w:r>
        <w:rPr>
          <w:rFonts w:hint="eastAsia" w:ascii="宋体" w:hAnsi="宋体" w:eastAsia="宋体" w:cs="宋体"/>
          <w:color w:val="auto"/>
          <w:kern w:val="0"/>
          <w:szCs w:val="21"/>
          <w:highlight w:val="none"/>
        </w:rPr>
        <w:t>磋商文件无需发生实质性变动的，磋商小组不另行通知。</w:t>
      </w:r>
    </w:p>
    <w:p>
      <w:pPr>
        <w:keepNext w:val="0"/>
        <w:keepLines w:val="0"/>
        <w:pageBreakBefore w:val="0"/>
        <w:widowControl/>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30.2</w:t>
      </w:r>
      <w:r>
        <w:rPr>
          <w:rFonts w:hint="eastAsia" w:ascii="宋体" w:hAnsi="宋体" w:eastAsia="宋体" w:cs="宋体"/>
          <w:color w:val="auto"/>
          <w:highlight w:val="none"/>
        </w:rPr>
        <w:t>本章第10.2</w:t>
      </w:r>
      <w:r>
        <w:rPr>
          <w:rFonts w:hint="eastAsia" w:ascii="宋体" w:hAnsi="宋体" w:eastAsia="宋体" w:cs="宋体"/>
          <w:color w:val="auto"/>
          <w:kern w:val="0"/>
          <w:szCs w:val="21"/>
          <w:highlight w:val="none"/>
          <w:lang w:val="zh-CN"/>
        </w:rPr>
        <w:t>款</w:t>
      </w:r>
      <w:r>
        <w:rPr>
          <w:rFonts w:hint="eastAsia" w:ascii="宋体" w:hAnsi="宋体" w:eastAsia="宋体" w:cs="宋体"/>
          <w:color w:val="auto"/>
          <w:kern w:val="0"/>
          <w:szCs w:val="21"/>
          <w:highlight w:val="none"/>
        </w:rPr>
        <w:t>明确磋商文件实质性变动内容的，</w:t>
      </w:r>
      <w:r>
        <w:rPr>
          <w:rFonts w:hint="eastAsia" w:ascii="宋体" w:hAnsi="宋体" w:eastAsia="宋体" w:cs="宋体"/>
          <w:bCs/>
          <w:color w:val="auto"/>
          <w:szCs w:val="21"/>
          <w:highlight w:val="none"/>
        </w:rPr>
        <w:t>磋商小组</w:t>
      </w:r>
      <w:r>
        <w:rPr>
          <w:rFonts w:hint="eastAsia" w:ascii="宋体" w:hAnsi="宋体" w:eastAsia="宋体" w:cs="宋体"/>
          <w:color w:val="auto"/>
          <w:kern w:val="0"/>
          <w:szCs w:val="21"/>
          <w:highlight w:val="none"/>
        </w:rPr>
        <w:t>可以组织多轮磋商。</w:t>
      </w:r>
      <w:r>
        <w:rPr>
          <w:rFonts w:hint="eastAsia" w:ascii="宋体" w:hAnsi="宋体" w:eastAsia="宋体" w:cs="宋体"/>
          <w:bCs/>
          <w:color w:val="auto"/>
          <w:szCs w:val="21"/>
          <w:highlight w:val="none"/>
        </w:rPr>
        <w:t>在每一轮磋商中，磋商小组</w:t>
      </w:r>
      <w:r>
        <w:rPr>
          <w:rFonts w:hint="eastAsia" w:ascii="宋体" w:hAnsi="宋体" w:eastAsia="宋体" w:cs="宋体"/>
          <w:color w:val="auto"/>
          <w:kern w:val="0"/>
          <w:szCs w:val="21"/>
          <w:highlight w:val="none"/>
        </w:rPr>
        <w:t>可以根据磋商文件规定和磋商情况，</w:t>
      </w:r>
      <w:r>
        <w:rPr>
          <w:rFonts w:hint="eastAsia" w:ascii="宋体" w:hAnsi="宋体" w:eastAsia="宋体" w:cs="宋体"/>
          <w:bCs/>
          <w:color w:val="auto"/>
          <w:szCs w:val="21"/>
          <w:highlight w:val="none"/>
        </w:rPr>
        <w:t>对磋商文件的</w:t>
      </w:r>
      <w:r>
        <w:rPr>
          <w:rFonts w:hint="eastAsia" w:ascii="宋体" w:hAnsi="宋体" w:eastAsia="宋体" w:cs="宋体"/>
          <w:color w:val="auto"/>
          <w:kern w:val="0"/>
          <w:szCs w:val="21"/>
          <w:highlight w:val="none"/>
        </w:rPr>
        <w:t>采购需求中的技术、服务要求以及合同草案条款</w:t>
      </w:r>
      <w:r>
        <w:rPr>
          <w:rFonts w:hint="eastAsia" w:ascii="宋体" w:hAnsi="宋体" w:eastAsia="宋体" w:cs="宋体"/>
          <w:bCs/>
          <w:color w:val="auto"/>
          <w:szCs w:val="21"/>
          <w:highlight w:val="none"/>
        </w:rPr>
        <w:t>作实质性变动(磋商文件的实质性变动内容为磋商文件的组成部分)，并以书面形式要求</w:t>
      </w:r>
      <w:r>
        <w:rPr>
          <w:rFonts w:hint="eastAsia" w:ascii="宋体" w:hAnsi="宋体" w:eastAsia="宋体" w:cs="宋体"/>
          <w:color w:val="auto"/>
          <w:kern w:val="0"/>
          <w:szCs w:val="21"/>
          <w:highlight w:val="none"/>
        </w:rPr>
        <w:t>响应文件审查合格</w:t>
      </w:r>
      <w:r>
        <w:rPr>
          <w:rFonts w:hint="eastAsia" w:ascii="宋体" w:hAnsi="宋体" w:eastAsia="宋体" w:cs="宋体"/>
          <w:bCs/>
          <w:color w:val="auto"/>
          <w:szCs w:val="21"/>
          <w:highlight w:val="none"/>
        </w:rPr>
        <w:t>的供应商，在规定的</w:t>
      </w:r>
      <w:r>
        <w:rPr>
          <w:rFonts w:hint="eastAsia" w:ascii="宋体" w:hAnsi="宋体" w:eastAsia="宋体" w:cs="宋体"/>
          <w:color w:val="auto"/>
          <w:kern w:val="0"/>
          <w:szCs w:val="21"/>
          <w:highlight w:val="none"/>
        </w:rPr>
        <w:t>截止时间前</w:t>
      </w:r>
      <w:r>
        <w:rPr>
          <w:rFonts w:hint="eastAsia" w:ascii="宋体" w:hAnsi="宋体" w:eastAsia="宋体" w:cs="宋体"/>
          <w:bCs/>
          <w:color w:val="auto"/>
          <w:szCs w:val="21"/>
          <w:highlight w:val="none"/>
        </w:rPr>
        <w:t>重</w:t>
      </w:r>
      <w:r>
        <w:rPr>
          <w:rFonts w:hint="eastAsia" w:ascii="宋体" w:hAnsi="宋体" w:eastAsia="宋体" w:cs="宋体"/>
          <w:color w:val="auto"/>
          <w:kern w:val="0"/>
          <w:szCs w:val="21"/>
          <w:highlight w:val="none"/>
        </w:rPr>
        <w:t>新提交响应文件</w:t>
      </w:r>
      <w:r>
        <w:rPr>
          <w:rFonts w:hint="eastAsia" w:ascii="宋体" w:hAnsi="宋体" w:eastAsia="宋体" w:cs="宋体"/>
          <w:bCs/>
          <w:color w:val="auto"/>
          <w:szCs w:val="21"/>
          <w:highlight w:val="none"/>
        </w:rPr>
        <w:t>。</w:t>
      </w:r>
      <w:r>
        <w:rPr>
          <w:rFonts w:hint="eastAsia" w:ascii="宋体" w:hAnsi="宋体" w:eastAsia="宋体" w:cs="宋体"/>
          <w:color w:val="auto"/>
          <w:kern w:val="0"/>
          <w:szCs w:val="21"/>
          <w:highlight w:val="none"/>
        </w:rPr>
        <w:t>磋商小组应当</w:t>
      </w:r>
      <w:r>
        <w:rPr>
          <w:rFonts w:hint="eastAsia" w:ascii="宋体" w:hAnsi="宋体" w:eastAsia="宋体" w:cs="宋体"/>
          <w:color w:val="auto"/>
          <w:szCs w:val="21"/>
          <w:highlight w:val="none"/>
        </w:rPr>
        <w:t>根据本章第26.2</w:t>
      </w:r>
      <w:r>
        <w:rPr>
          <w:rFonts w:hint="eastAsia" w:ascii="宋体" w:hAnsi="宋体" w:eastAsia="宋体" w:cs="宋体"/>
          <w:color w:val="auto"/>
          <w:kern w:val="0"/>
          <w:szCs w:val="21"/>
          <w:highlight w:val="none"/>
          <w:lang w:val="zh-CN"/>
        </w:rPr>
        <w:t>款</w:t>
      </w:r>
      <w:r>
        <w:rPr>
          <w:rFonts w:hint="eastAsia" w:ascii="宋体" w:hAnsi="宋体" w:eastAsia="宋体" w:cs="宋体"/>
          <w:color w:val="auto"/>
          <w:szCs w:val="21"/>
          <w:highlight w:val="none"/>
        </w:rPr>
        <w:t>规定</w:t>
      </w:r>
      <w:r>
        <w:rPr>
          <w:rFonts w:hint="eastAsia" w:ascii="宋体" w:hAnsi="宋体" w:eastAsia="宋体" w:cs="宋体"/>
          <w:color w:val="auto"/>
          <w:kern w:val="0"/>
          <w:szCs w:val="21"/>
          <w:highlight w:val="none"/>
        </w:rPr>
        <w:t>对供应商重新提交的响应文件进行审查。供应商重新提交的响应文件审查不合格的，不得进入下一轮磋商，也不得要求提交最后报价。</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（1）磋商文件能够详细列明采购需求的技术、服务要求的，磋商结束后，磋商小组应当要求所有继续参加磋商的供应商在规定时间内提交最后报价。</w:t>
      </w:r>
    </w:p>
    <w:p>
      <w:pPr>
        <w:keepNext w:val="0"/>
        <w:keepLines w:val="0"/>
        <w:pageBreakBefore w:val="0"/>
        <w:widowControl/>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磋商文件不能详细列明采购需求的技术、服务要求，需经磋商由供应商提供最终设计方案或解决方案的，磋商结束后，磋商小组应当按照少数服从多数的原则投票推荐3家以上供应商的设计方案或者解决方案，并要求其在规定时间内提交最后报价。</w:t>
      </w:r>
    </w:p>
    <w:p>
      <w:pPr>
        <w:keepNext w:val="0"/>
        <w:keepLines w:val="0"/>
        <w:pageBreakBefore w:val="0"/>
        <w:widowControl/>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30.3</w:t>
      </w:r>
      <w:r>
        <w:rPr>
          <w:rFonts w:hint="eastAsia" w:ascii="宋体" w:hAnsi="宋体" w:eastAsia="宋体" w:cs="宋体"/>
          <w:color w:val="auto"/>
          <w:highlight w:val="none"/>
        </w:rPr>
        <w:t xml:space="preserve"> </w:t>
      </w:r>
      <w:r>
        <w:rPr>
          <w:rFonts w:hint="eastAsia" w:ascii="宋体" w:hAnsi="宋体" w:eastAsia="宋体" w:cs="宋体"/>
          <w:bCs/>
          <w:color w:val="auto"/>
          <w:highlight w:val="none"/>
        </w:rPr>
        <w:t>重</w:t>
      </w:r>
      <w:r>
        <w:rPr>
          <w:rFonts w:hint="eastAsia" w:ascii="宋体" w:hAnsi="宋体" w:eastAsia="宋体" w:cs="宋体"/>
          <w:color w:val="auto"/>
          <w:kern w:val="0"/>
          <w:highlight w:val="none"/>
        </w:rPr>
        <w:t>新提交的响应文件</w:t>
      </w:r>
      <w:r>
        <w:rPr>
          <w:rFonts w:hint="eastAsia" w:ascii="宋体" w:hAnsi="宋体" w:eastAsia="宋体" w:cs="宋体"/>
          <w:color w:val="auto"/>
          <w:highlight w:val="none"/>
        </w:rPr>
        <w:t>或者最后报价应按</w:t>
      </w:r>
      <w:r>
        <w:rPr>
          <w:rFonts w:hint="eastAsia" w:ascii="宋体" w:hAnsi="宋体" w:eastAsia="宋体" w:cs="宋体"/>
          <w:color w:val="auto"/>
          <w:kern w:val="0"/>
          <w:szCs w:val="21"/>
          <w:highlight w:val="none"/>
        </w:rPr>
        <w:t>本章第</w:t>
      </w:r>
      <w:r>
        <w:rPr>
          <w:rFonts w:hint="eastAsia" w:ascii="宋体" w:hAnsi="宋体" w:eastAsia="宋体" w:cs="宋体"/>
          <w:color w:val="auto"/>
          <w:highlight w:val="none"/>
        </w:rPr>
        <w:t>21.3</w:t>
      </w:r>
      <w:r>
        <w:rPr>
          <w:rFonts w:hint="eastAsia" w:ascii="宋体" w:hAnsi="宋体" w:eastAsia="宋体" w:cs="宋体"/>
          <w:color w:val="auto"/>
          <w:kern w:val="0"/>
          <w:szCs w:val="21"/>
          <w:highlight w:val="none"/>
          <w:lang w:val="zh-CN"/>
        </w:rPr>
        <w:t>款</w:t>
      </w:r>
      <w:r>
        <w:rPr>
          <w:rFonts w:hint="eastAsia" w:ascii="宋体" w:hAnsi="宋体" w:eastAsia="宋体" w:cs="宋体"/>
          <w:color w:val="auto"/>
          <w:highlight w:val="none"/>
        </w:rPr>
        <w:t>规定，</w:t>
      </w:r>
      <w:r>
        <w:rPr>
          <w:rFonts w:hint="eastAsia" w:ascii="宋体" w:hAnsi="宋体" w:eastAsia="宋体" w:cs="宋体"/>
          <w:color w:val="auto"/>
          <w:kern w:val="0"/>
          <w:szCs w:val="21"/>
          <w:highlight w:val="none"/>
        </w:rPr>
        <w:t>由其法定代表人或其委托代理人签字或者加盖</w:t>
      </w:r>
      <w:r>
        <w:rPr>
          <w:rFonts w:hint="eastAsia" w:ascii="宋体" w:hAnsi="宋体" w:eastAsia="宋体" w:cs="宋体"/>
          <w:color w:val="auto"/>
          <w:kern w:val="0"/>
          <w:highlight w:val="none"/>
        </w:rPr>
        <w:t>供应商单位</w:t>
      </w:r>
      <w:r>
        <w:rPr>
          <w:rFonts w:hint="eastAsia" w:ascii="宋体" w:hAnsi="宋体" w:eastAsia="宋体" w:cs="宋体"/>
          <w:color w:val="auto"/>
          <w:kern w:val="0"/>
          <w:szCs w:val="21"/>
          <w:highlight w:val="none"/>
        </w:rPr>
        <w:t>章，在规定时间内密封递交给磋商小组</w:t>
      </w:r>
      <w:r>
        <w:rPr>
          <w:rFonts w:hint="eastAsia" w:ascii="宋体" w:hAnsi="宋体" w:eastAsia="宋体" w:cs="宋体"/>
          <w:bCs/>
          <w:color w:val="auto"/>
          <w:szCs w:val="21"/>
          <w:highlight w:val="none"/>
        </w:rPr>
        <w:t>。</w:t>
      </w:r>
    </w:p>
    <w:p>
      <w:pPr>
        <w:keepNext w:val="0"/>
        <w:keepLines w:val="0"/>
        <w:pageBreakBefore w:val="0"/>
        <w:widowControl/>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30.4</w:t>
      </w:r>
      <w:r>
        <w:rPr>
          <w:rFonts w:hint="eastAsia" w:ascii="宋体" w:hAnsi="宋体" w:eastAsia="宋体" w:cs="宋体"/>
          <w:color w:val="auto"/>
          <w:kern w:val="0"/>
          <w:szCs w:val="21"/>
          <w:highlight w:val="none"/>
          <w:lang w:val="zh-CN"/>
        </w:rPr>
        <w:t>供应商的</w:t>
      </w:r>
      <w:r>
        <w:rPr>
          <w:rFonts w:hint="eastAsia" w:ascii="宋体" w:hAnsi="宋体" w:eastAsia="宋体" w:cs="宋体"/>
          <w:bCs/>
          <w:color w:val="auto"/>
          <w:szCs w:val="21"/>
          <w:highlight w:val="none"/>
        </w:rPr>
        <w:t>最</w:t>
      </w:r>
      <w:r>
        <w:rPr>
          <w:rFonts w:hint="eastAsia" w:ascii="宋体" w:hAnsi="宋体" w:eastAsia="宋体" w:cs="宋体"/>
          <w:color w:val="auto"/>
          <w:kern w:val="0"/>
          <w:szCs w:val="21"/>
          <w:highlight w:val="none"/>
          <w:lang w:val="zh-CN"/>
        </w:rPr>
        <w:t>后</w:t>
      </w:r>
      <w:r>
        <w:rPr>
          <w:rFonts w:hint="eastAsia" w:ascii="宋体" w:hAnsi="宋体" w:eastAsia="宋体" w:cs="宋体"/>
          <w:bCs/>
          <w:color w:val="auto"/>
          <w:szCs w:val="21"/>
          <w:highlight w:val="none"/>
        </w:rPr>
        <w:t>报价及</w:t>
      </w:r>
      <w:r>
        <w:rPr>
          <w:rFonts w:hint="eastAsia" w:ascii="宋体" w:hAnsi="宋体" w:eastAsia="宋体" w:cs="宋体"/>
          <w:color w:val="auto"/>
          <w:kern w:val="0"/>
          <w:szCs w:val="21"/>
          <w:highlight w:val="none"/>
        </w:rPr>
        <w:t>政府采购政策规定的价格扣除情况，磋商小组应召集所有参加最后报价的供应商当场开封</w:t>
      </w:r>
      <w:r>
        <w:rPr>
          <w:rFonts w:hint="eastAsia" w:ascii="宋体" w:hAnsi="宋体" w:eastAsia="宋体" w:cs="宋体"/>
          <w:bCs/>
          <w:color w:val="auto"/>
          <w:szCs w:val="21"/>
          <w:highlight w:val="none"/>
        </w:rPr>
        <w:t>公布，并由供应商代表签字确认。</w:t>
      </w:r>
    </w:p>
    <w:p>
      <w:pPr>
        <w:keepNext w:val="0"/>
        <w:keepLines w:val="0"/>
        <w:pageBreakBefore w:val="0"/>
        <w:widowControl/>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30.5提交首次响应文件的供应商，在提交最后报价之前，可以根据磋商情况退出磋商，</w:t>
      </w:r>
      <w:r>
        <w:rPr>
          <w:rFonts w:hint="eastAsia" w:ascii="宋体" w:hAnsi="宋体" w:eastAsia="宋体" w:cs="宋体"/>
          <w:color w:val="auto"/>
          <w:kern w:val="0"/>
          <w:highlight w:val="none"/>
        </w:rPr>
        <w:t>并书面通知采购代理机构或者磋商小组。</w:t>
      </w:r>
      <w:r>
        <w:rPr>
          <w:rFonts w:hint="eastAsia" w:ascii="宋体" w:hAnsi="宋体" w:eastAsia="宋体" w:cs="宋体"/>
          <w:color w:val="auto"/>
          <w:highlight w:val="none"/>
        </w:rPr>
        <w:t>该通知由供应商法定代表人或其委托代理人签字。</w:t>
      </w:r>
      <w:r>
        <w:rPr>
          <w:rFonts w:hint="eastAsia" w:ascii="宋体" w:hAnsi="宋体" w:eastAsia="宋体" w:cs="宋体"/>
          <w:color w:val="auto"/>
          <w:kern w:val="0"/>
          <w:szCs w:val="21"/>
          <w:highlight w:val="none"/>
        </w:rPr>
        <w:t>采购代理机构</w:t>
      </w:r>
      <w:r>
        <w:rPr>
          <w:rFonts w:hint="eastAsia" w:ascii="宋体" w:hAnsi="宋体" w:eastAsia="宋体" w:cs="宋体"/>
          <w:color w:val="auto"/>
          <w:kern w:val="0"/>
          <w:highlight w:val="none"/>
        </w:rPr>
        <w:t>按</w:t>
      </w:r>
      <w:r>
        <w:rPr>
          <w:rFonts w:hint="eastAsia" w:ascii="宋体" w:hAnsi="宋体" w:eastAsia="宋体" w:cs="宋体"/>
          <w:color w:val="auto"/>
          <w:kern w:val="0"/>
          <w:szCs w:val="21"/>
          <w:highlight w:val="none"/>
        </w:rPr>
        <w:t>本章第</w:t>
      </w:r>
      <w:r>
        <w:rPr>
          <w:rFonts w:hint="eastAsia" w:ascii="宋体" w:hAnsi="宋体" w:eastAsia="宋体" w:cs="宋体"/>
          <w:color w:val="auto"/>
          <w:highlight w:val="none"/>
        </w:rPr>
        <w:t>19.4</w:t>
      </w:r>
      <w:r>
        <w:rPr>
          <w:rFonts w:hint="eastAsia" w:ascii="宋体" w:hAnsi="宋体" w:eastAsia="宋体" w:cs="宋体"/>
          <w:color w:val="auto"/>
          <w:kern w:val="0"/>
          <w:szCs w:val="21"/>
          <w:highlight w:val="none"/>
          <w:lang w:val="zh-CN"/>
        </w:rPr>
        <w:t>款</w:t>
      </w:r>
      <w:r>
        <w:rPr>
          <w:rFonts w:hint="eastAsia" w:ascii="宋体" w:hAnsi="宋体" w:eastAsia="宋体" w:cs="宋体"/>
          <w:color w:val="auto"/>
          <w:highlight w:val="none"/>
        </w:rPr>
        <w:t>规定</w:t>
      </w:r>
      <w:r>
        <w:rPr>
          <w:rFonts w:hint="eastAsia" w:ascii="宋体" w:hAnsi="宋体" w:eastAsia="宋体" w:cs="宋体"/>
          <w:color w:val="auto"/>
          <w:kern w:val="0"/>
          <w:szCs w:val="21"/>
          <w:highlight w:val="none"/>
        </w:rPr>
        <w:t>退还退出磋商的供应商的磋商保证金。</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30.6</w:t>
      </w:r>
      <w:r>
        <w:rPr>
          <w:rFonts w:hint="eastAsia" w:ascii="宋体" w:hAnsi="宋体" w:eastAsia="宋体" w:cs="宋体"/>
          <w:color w:val="auto"/>
          <w:kern w:val="0"/>
          <w:szCs w:val="21"/>
          <w:highlight w:val="none"/>
        </w:rPr>
        <w:t>提交首次响应文件的供应商，未按磋商文件规定及磋商小组要求提交最后报价(或者</w:t>
      </w:r>
      <w:r>
        <w:rPr>
          <w:rFonts w:hint="eastAsia" w:ascii="宋体" w:hAnsi="宋体" w:eastAsia="宋体" w:cs="宋体"/>
          <w:bCs/>
          <w:color w:val="auto"/>
          <w:szCs w:val="21"/>
          <w:highlight w:val="none"/>
        </w:rPr>
        <w:t>重</w:t>
      </w:r>
      <w:r>
        <w:rPr>
          <w:rFonts w:hint="eastAsia" w:ascii="宋体" w:hAnsi="宋体" w:eastAsia="宋体" w:cs="宋体"/>
          <w:color w:val="auto"/>
          <w:kern w:val="0"/>
          <w:szCs w:val="21"/>
          <w:highlight w:val="none"/>
        </w:rPr>
        <w:t>新提交的响应文件和最后报价)，且又</w:t>
      </w:r>
      <w:r>
        <w:rPr>
          <w:rFonts w:hint="eastAsia" w:ascii="宋体" w:hAnsi="宋体" w:eastAsia="宋体" w:cs="宋体"/>
          <w:color w:val="auto"/>
          <w:kern w:val="0"/>
          <w:highlight w:val="none"/>
        </w:rPr>
        <w:t>未按</w:t>
      </w:r>
      <w:r>
        <w:rPr>
          <w:rFonts w:hint="eastAsia" w:ascii="宋体" w:hAnsi="宋体" w:eastAsia="宋体" w:cs="宋体"/>
          <w:color w:val="auto"/>
          <w:kern w:val="0"/>
          <w:szCs w:val="21"/>
          <w:highlight w:val="none"/>
        </w:rPr>
        <w:t>本章第</w:t>
      </w:r>
      <w:r>
        <w:rPr>
          <w:rFonts w:hint="eastAsia" w:ascii="宋体" w:hAnsi="宋体" w:eastAsia="宋体" w:cs="宋体"/>
          <w:color w:val="auto"/>
          <w:highlight w:val="none"/>
        </w:rPr>
        <w:t>30.5</w:t>
      </w:r>
      <w:r>
        <w:rPr>
          <w:rFonts w:hint="eastAsia" w:ascii="宋体" w:hAnsi="宋体" w:eastAsia="宋体" w:cs="宋体"/>
          <w:color w:val="auto"/>
          <w:kern w:val="0"/>
          <w:szCs w:val="21"/>
          <w:highlight w:val="none"/>
          <w:lang w:val="zh-CN"/>
        </w:rPr>
        <w:t>款</w:t>
      </w:r>
      <w:r>
        <w:rPr>
          <w:rFonts w:hint="eastAsia" w:ascii="宋体" w:hAnsi="宋体" w:eastAsia="宋体" w:cs="宋体"/>
          <w:color w:val="auto"/>
          <w:highlight w:val="none"/>
        </w:rPr>
        <w:t>规定</w:t>
      </w:r>
      <w:r>
        <w:rPr>
          <w:rFonts w:hint="eastAsia" w:ascii="宋体" w:hAnsi="宋体" w:eastAsia="宋体" w:cs="宋体"/>
          <w:color w:val="auto"/>
          <w:kern w:val="0"/>
          <w:szCs w:val="21"/>
          <w:highlight w:val="none"/>
        </w:rPr>
        <w:t>退出磋商的，供应商的磋商保证金不予退还。</w:t>
      </w:r>
    </w:p>
    <w:p>
      <w:pPr>
        <w:keepNext w:val="0"/>
        <w:keepLines w:val="0"/>
        <w:pageBreakBefore w:val="0"/>
        <w:widowControl/>
        <w:kinsoku/>
        <w:wordWrap/>
        <w:overflowPunct/>
        <w:topLinePunct w:val="0"/>
        <w:autoSpaceDE/>
        <w:bidi w:val="0"/>
        <w:adjustRightInd w:val="0"/>
        <w:snapToGrid w:val="0"/>
        <w:spacing w:line="360" w:lineRule="auto"/>
        <w:ind w:firstLine="48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color w:val="auto"/>
          <w:kern w:val="0"/>
          <w:szCs w:val="21"/>
          <w:highlight w:val="none"/>
        </w:rPr>
        <w:t>31.响应文件评审</w:t>
      </w:r>
    </w:p>
    <w:p>
      <w:pPr>
        <w:keepNext w:val="0"/>
        <w:keepLines w:val="0"/>
        <w:pageBreakBefore w:val="0"/>
        <w:widowControl/>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31.1经磋商确定最终采购需求和提交最后报价的供应商后，由磋商小组采用综合评分法对提交最后报价的供应商的响应文件和最后报价进行综合评价。</w:t>
      </w:r>
    </w:p>
    <w:p>
      <w:pPr>
        <w:keepNext w:val="0"/>
        <w:keepLines w:val="0"/>
        <w:pageBreakBefore w:val="0"/>
        <w:widowControl/>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31.2综合评分法，是指响应文件满足磋商文件全部实质性要求且按评审因素的量化指标评审得分最高的供应商为成交候选供应商的评审方法。本采购项目的评审因素和标准见</w:t>
      </w:r>
      <w:r>
        <w:rPr>
          <w:rFonts w:hint="eastAsia" w:ascii="宋体" w:hAnsi="宋体" w:eastAsia="宋体" w:cs="宋体"/>
          <w:b/>
          <w:bCs/>
          <w:color w:val="auto"/>
          <w:szCs w:val="21"/>
          <w:highlight w:val="none"/>
        </w:rPr>
        <w:t>磋商须知前附表。</w:t>
      </w:r>
    </w:p>
    <w:p>
      <w:pPr>
        <w:keepNext w:val="0"/>
        <w:keepLines w:val="0"/>
        <w:pageBreakBefore w:val="0"/>
        <w:widowControl/>
        <w:kinsoku/>
        <w:wordWrap/>
        <w:overflowPunct/>
        <w:topLinePunct w:val="0"/>
        <w:autoSpaceDE/>
        <w:bidi w:val="0"/>
        <w:adjustRightInd w:val="0"/>
        <w:snapToGrid w:val="0"/>
        <w:spacing w:before="156" w:line="360" w:lineRule="auto"/>
        <w:ind w:firstLine="48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31.3</w:t>
      </w:r>
      <w:r>
        <w:rPr>
          <w:rFonts w:hint="eastAsia" w:ascii="宋体" w:hAnsi="宋体" w:eastAsia="宋体" w:cs="宋体"/>
          <w:color w:val="auto"/>
          <w:szCs w:val="21"/>
          <w:highlight w:val="none"/>
        </w:rPr>
        <w:t>最后报价调整。磋商小组以各供应商最后报价为基础，按照符合政府采购支持中小企业发展的相应条件，对供应商的最后报价进行价格扣除，用扣除后的最后报价计算价格得分，具体价格扣除比例见</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w:t>
      </w:r>
    </w:p>
    <w:p>
      <w:pPr>
        <w:keepNext w:val="0"/>
        <w:keepLines w:val="0"/>
        <w:pageBreakBefore w:val="0"/>
        <w:widowControl/>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31.4综合评分法中的价格分采用低价优先法计算，即满足磋商文件要求且经调整后的最后报价最低的供应商的价格为磋商基准价，其价格分为满分。其他供应商的价格分按照下列公式计算：</w:t>
      </w:r>
    </w:p>
    <w:p>
      <w:pPr>
        <w:keepNext w:val="0"/>
        <w:keepLines w:val="0"/>
        <w:pageBreakBefore w:val="0"/>
        <w:widowControl/>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磋商报价得分=（磋商基准价/最后磋商报价）×价格权值×100</w:t>
      </w:r>
    </w:p>
    <w:p>
      <w:pPr>
        <w:keepNext w:val="0"/>
        <w:keepLines w:val="0"/>
        <w:pageBreakBefore w:val="0"/>
        <w:widowControl/>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项目评审过程中，不得去掉最后报价中的最高报价和最低报价。</w:t>
      </w:r>
    </w:p>
    <w:p>
      <w:pPr>
        <w:keepNext w:val="0"/>
        <w:keepLines w:val="0"/>
        <w:pageBreakBefore w:val="0"/>
        <w:widowControl/>
        <w:kinsoku/>
        <w:wordWrap/>
        <w:overflowPunct/>
        <w:topLinePunct w:val="0"/>
        <w:autoSpaceDE/>
        <w:bidi w:val="0"/>
        <w:adjustRightInd w:val="0"/>
        <w:snapToGrid w:val="0"/>
        <w:spacing w:before="156" w:line="360" w:lineRule="auto"/>
        <w:ind w:firstLine="480" w:firstLineChars="200"/>
        <w:jc w:val="left"/>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31.5</w:t>
      </w:r>
      <w:r>
        <w:rPr>
          <w:rFonts w:hint="eastAsia" w:ascii="宋体" w:hAnsi="宋体" w:eastAsia="宋体" w:cs="宋体"/>
          <w:color w:val="auto"/>
          <w:szCs w:val="21"/>
          <w:highlight w:val="none"/>
        </w:rPr>
        <w:t>涉及政府采购政策优惠对供应商分值进行调整的，</w:t>
      </w:r>
      <w:r>
        <w:rPr>
          <w:rFonts w:hint="eastAsia" w:ascii="宋体" w:hAnsi="宋体" w:eastAsia="宋体" w:cs="宋体"/>
          <w:bCs/>
          <w:color w:val="auto"/>
          <w:szCs w:val="21"/>
          <w:highlight w:val="none"/>
        </w:rPr>
        <w:t>按</w:t>
      </w:r>
      <w:r>
        <w:rPr>
          <w:rFonts w:hint="eastAsia" w:ascii="宋体" w:hAnsi="宋体" w:eastAsia="宋体" w:cs="宋体"/>
          <w:b/>
          <w:color w:val="auto"/>
          <w:szCs w:val="21"/>
          <w:highlight w:val="none"/>
        </w:rPr>
        <w:t>磋商须知前附表</w:t>
      </w:r>
      <w:r>
        <w:rPr>
          <w:rFonts w:hint="eastAsia" w:ascii="宋体" w:hAnsi="宋体" w:eastAsia="宋体" w:cs="宋体"/>
          <w:bCs/>
          <w:color w:val="auto"/>
          <w:szCs w:val="21"/>
          <w:highlight w:val="none"/>
        </w:rPr>
        <w:t>规定</w:t>
      </w:r>
      <w:r>
        <w:rPr>
          <w:rFonts w:hint="eastAsia" w:ascii="宋体" w:hAnsi="宋体" w:eastAsia="宋体" w:cs="宋体"/>
          <w:color w:val="auto"/>
          <w:szCs w:val="21"/>
          <w:highlight w:val="none"/>
        </w:rPr>
        <w:t>调整供应商的技术、商务、价格</w:t>
      </w:r>
      <w:r>
        <w:rPr>
          <w:rFonts w:hint="eastAsia" w:ascii="宋体" w:hAnsi="宋体" w:eastAsia="宋体" w:cs="宋体"/>
          <w:color w:val="auto"/>
          <w:kern w:val="0"/>
          <w:szCs w:val="21"/>
          <w:highlight w:val="none"/>
        </w:rPr>
        <w:t>得分或总得分</w:t>
      </w:r>
      <w:r>
        <w:rPr>
          <w:rFonts w:hint="eastAsia" w:ascii="宋体" w:hAnsi="宋体" w:eastAsia="宋体" w:cs="宋体"/>
          <w:color w:val="auto"/>
          <w:szCs w:val="21"/>
          <w:highlight w:val="none"/>
        </w:rPr>
        <w:t>。</w:t>
      </w:r>
    </w:p>
    <w:p>
      <w:pPr>
        <w:keepNext w:val="0"/>
        <w:keepLines w:val="0"/>
        <w:pageBreakBefore w:val="0"/>
        <w:kinsoku/>
        <w:wordWrap/>
        <w:overflowPunct/>
        <w:topLinePunct w:val="0"/>
        <w:autoSpaceDE/>
        <w:bidi w:val="0"/>
        <w:adjustRightInd w:val="0"/>
        <w:snapToGrid w:val="0"/>
        <w:spacing w:before="156" w:line="360" w:lineRule="auto"/>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31.6涉及多处或部分获得政府采购政策优惠的，其多处或部分享受政府采购优惠政策的计算方法见</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相关规定。</w:t>
      </w:r>
    </w:p>
    <w:p>
      <w:pPr>
        <w:keepNext w:val="0"/>
        <w:keepLines w:val="0"/>
        <w:pageBreakBefore w:val="0"/>
        <w:widowControl/>
        <w:kinsoku/>
        <w:wordWrap/>
        <w:overflowPunct/>
        <w:topLinePunct w:val="0"/>
        <w:autoSpaceDE/>
        <w:bidi w:val="0"/>
        <w:adjustRightInd w:val="0"/>
        <w:snapToGrid w:val="0"/>
        <w:spacing w:before="156" w:line="360" w:lineRule="auto"/>
        <w:ind w:firstLine="48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31.7</w:t>
      </w:r>
      <w:r>
        <w:rPr>
          <w:rFonts w:hint="eastAsia" w:ascii="宋体" w:hAnsi="宋体" w:eastAsia="宋体" w:cs="宋体"/>
          <w:color w:val="auto"/>
          <w:szCs w:val="21"/>
          <w:highlight w:val="none"/>
        </w:rPr>
        <w:t>评审时，磋商小组各成员应当独立对每个供应商的</w:t>
      </w:r>
      <w:r>
        <w:rPr>
          <w:rFonts w:hint="eastAsia" w:ascii="宋体" w:hAnsi="宋体" w:eastAsia="宋体" w:cs="宋体"/>
          <w:bCs/>
          <w:color w:val="auto"/>
          <w:szCs w:val="21"/>
          <w:highlight w:val="none"/>
        </w:rPr>
        <w:t>响应文件</w:t>
      </w:r>
      <w:r>
        <w:rPr>
          <w:rFonts w:hint="eastAsia" w:ascii="宋体" w:hAnsi="宋体" w:eastAsia="宋体" w:cs="宋体"/>
          <w:color w:val="auto"/>
          <w:szCs w:val="21"/>
          <w:highlight w:val="none"/>
        </w:rPr>
        <w:t>进行评价、评分，并按照政府采购优惠政策对最后报价进行价格扣除和技术、商务、价格加分后，汇总各供应商的总得分。</w:t>
      </w:r>
    </w:p>
    <w:p>
      <w:pPr>
        <w:keepNext w:val="0"/>
        <w:keepLines w:val="0"/>
        <w:pageBreakBefore w:val="0"/>
        <w:widowControl/>
        <w:kinsoku/>
        <w:wordWrap/>
        <w:overflowPunct/>
        <w:topLinePunct w:val="0"/>
        <w:autoSpaceDE/>
        <w:bidi w:val="0"/>
        <w:adjustRightInd w:val="0"/>
        <w:snapToGrid w:val="0"/>
        <w:spacing w:line="360" w:lineRule="auto"/>
        <w:ind w:firstLine="482" w:firstLineChars="200"/>
        <w:jc w:val="left"/>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32</w:t>
      </w:r>
      <w:r>
        <w:rPr>
          <w:rFonts w:hint="eastAsia" w:ascii="宋体" w:hAnsi="宋体" w:eastAsia="宋体" w:cs="宋体"/>
          <w:b/>
          <w:color w:val="auto"/>
          <w:kern w:val="0"/>
          <w:szCs w:val="21"/>
          <w:highlight w:val="none"/>
        </w:rPr>
        <w:t>.</w:t>
      </w:r>
      <w:r>
        <w:rPr>
          <w:rFonts w:hint="eastAsia" w:ascii="宋体" w:hAnsi="宋体" w:eastAsia="宋体" w:cs="宋体"/>
          <w:b/>
          <w:bCs/>
          <w:color w:val="auto"/>
          <w:szCs w:val="21"/>
          <w:highlight w:val="none"/>
        </w:rPr>
        <w:t>提出成交供应商</w:t>
      </w:r>
    </w:p>
    <w:p>
      <w:pPr>
        <w:keepNext w:val="0"/>
        <w:keepLines w:val="0"/>
        <w:pageBreakBefore w:val="0"/>
        <w:widowControl/>
        <w:kinsoku/>
        <w:wordWrap/>
        <w:overflowPunct/>
        <w:topLinePunct w:val="0"/>
        <w:autoSpaceDE/>
        <w:bidi w:val="0"/>
        <w:spacing w:line="360" w:lineRule="auto"/>
        <w:ind w:firstLine="48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32.1</w:t>
      </w:r>
      <w:r>
        <w:rPr>
          <w:rFonts w:hint="eastAsia" w:ascii="宋体" w:hAnsi="宋体" w:eastAsia="宋体" w:cs="宋体"/>
          <w:bCs/>
          <w:color w:val="auto"/>
          <w:szCs w:val="21"/>
          <w:highlight w:val="none"/>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符合《政府采购竞争性磋商采购方式管理暂行办法》(财库〔2014〕214号)</w:t>
      </w:r>
      <w:r>
        <w:rPr>
          <w:rFonts w:hint="eastAsia" w:ascii="宋体" w:hAnsi="宋体" w:eastAsia="宋体" w:cs="宋体"/>
          <w:color w:val="auto"/>
          <w:kern w:val="0"/>
          <w:szCs w:val="21"/>
          <w:highlight w:val="none"/>
        </w:rPr>
        <w:t>和《财政部关于政府采购竞争性磋商采购方式管理暂行办法有关问题的补充通知》（财库〔2015〕124号）所列“政府购买服务项目（含政府和社会资本合作项目）、市场竞争不充分的科研项目以及需要扶持的科技成果转化项目”情形的，</w:t>
      </w:r>
      <w:r>
        <w:rPr>
          <w:rFonts w:hint="eastAsia" w:ascii="宋体" w:hAnsi="宋体" w:eastAsia="宋体" w:cs="宋体"/>
          <w:bCs/>
          <w:color w:val="auto"/>
          <w:szCs w:val="21"/>
          <w:highlight w:val="none"/>
        </w:rPr>
        <w:t>可以推荐2家成交候选供应商。</w:t>
      </w:r>
    </w:p>
    <w:p>
      <w:pPr>
        <w:keepNext w:val="0"/>
        <w:keepLines w:val="0"/>
        <w:pageBreakBefore w:val="0"/>
        <w:tabs>
          <w:tab w:val="left" w:pos="0"/>
        </w:tabs>
        <w:kinsoku/>
        <w:wordWrap/>
        <w:overflowPunct/>
        <w:topLinePunct w:val="0"/>
        <w:autoSpaceDE/>
        <w:bidi w:val="0"/>
        <w:adjustRightInd w:val="0"/>
        <w:snapToGrid w:val="0"/>
        <w:spacing w:line="360" w:lineRule="auto"/>
        <w:ind w:firstLine="48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33.确定成交供应商</w:t>
      </w:r>
    </w:p>
    <w:p>
      <w:pPr>
        <w:keepNext w:val="0"/>
        <w:keepLines w:val="0"/>
        <w:pageBreakBefore w:val="0"/>
        <w:widowControl/>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33.1采购代理机构应当在评审结束后2个工作日内将评审报告送采购人确认。</w:t>
      </w:r>
    </w:p>
    <w:p>
      <w:pPr>
        <w:keepNext w:val="0"/>
        <w:keepLines w:val="0"/>
        <w:pageBreakBefore w:val="0"/>
        <w:widowControl/>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33.2采购人应当在收到评审报告后5个工作日内，从评审报告提出的成交候选供应商中，按照排序由高到低的原则确定成交供应商，也可以书面授权磋商小组直接确定成交供应商。</w:t>
      </w:r>
    </w:p>
    <w:p>
      <w:pPr>
        <w:pStyle w:val="13"/>
        <w:keepNext w:val="0"/>
        <w:keepLines w:val="0"/>
        <w:pageBreakBefore w:val="0"/>
        <w:kinsoku/>
        <w:wordWrap/>
        <w:overflowPunct/>
        <w:topLinePunct w:val="0"/>
        <w:autoSpaceDE/>
        <w:bidi w:val="0"/>
        <w:adjustRightInd w:val="0"/>
        <w:snapToGrid w:val="0"/>
        <w:spacing w:line="360" w:lineRule="auto"/>
        <w:ind w:firstLine="482" w:firstLineChars="20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34.磋商终止</w:t>
      </w:r>
    </w:p>
    <w:p>
      <w:pPr>
        <w:keepNext w:val="0"/>
        <w:keepLines w:val="0"/>
        <w:pageBreakBefore w:val="0"/>
        <w:widowControl/>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bCs/>
          <w:color w:val="auto"/>
          <w:szCs w:val="21"/>
          <w:highlight w:val="none"/>
        </w:rPr>
        <w:t>34.1</w:t>
      </w:r>
      <w:r>
        <w:rPr>
          <w:rFonts w:hint="eastAsia" w:ascii="宋体" w:hAnsi="宋体" w:eastAsia="宋体" w:cs="宋体"/>
          <w:color w:val="auto"/>
          <w:kern w:val="0"/>
          <w:szCs w:val="21"/>
          <w:highlight w:val="none"/>
        </w:rPr>
        <w:t>出现下列情形之一的，采购人或者采购代理机构应当终止竞争性磋商采购活动，</w:t>
      </w:r>
      <w:r>
        <w:rPr>
          <w:rFonts w:hint="eastAsia" w:ascii="宋体" w:hAnsi="宋体" w:eastAsia="宋体" w:cs="宋体"/>
          <w:color w:val="auto"/>
          <w:highlight w:val="none"/>
        </w:rPr>
        <w:t>在本章第37.1款指定的媒体上</w:t>
      </w:r>
      <w:r>
        <w:rPr>
          <w:rFonts w:hint="eastAsia" w:ascii="宋体" w:hAnsi="宋体" w:eastAsia="宋体" w:cs="宋体"/>
          <w:color w:val="auto"/>
          <w:kern w:val="0"/>
          <w:szCs w:val="21"/>
          <w:highlight w:val="none"/>
        </w:rPr>
        <w:t xml:space="preserve">发布项目终止公告并说明原因，重新开展采购活动： </w:t>
      </w:r>
    </w:p>
    <w:p>
      <w:pPr>
        <w:keepNext w:val="0"/>
        <w:keepLines w:val="0"/>
        <w:pageBreakBefore w:val="0"/>
        <w:widowControl/>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（1）因情况变化，不再符合规定的竞争性磋商采购方式适用情形的；</w:t>
      </w:r>
    </w:p>
    <w:p>
      <w:pPr>
        <w:keepNext w:val="0"/>
        <w:keepLines w:val="0"/>
        <w:pageBreakBefore w:val="0"/>
        <w:widowControl/>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（2）出现影响采购公正的违法、违规行为的；</w:t>
      </w:r>
    </w:p>
    <w:p>
      <w:pPr>
        <w:keepNext w:val="0"/>
        <w:keepLines w:val="0"/>
        <w:pageBreakBefore w:val="0"/>
        <w:widowControl/>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bCs/>
          <w:color w:val="auto"/>
          <w:szCs w:val="21"/>
          <w:highlight w:val="none"/>
        </w:rPr>
        <w:t>除《政府采购竞争性磋商采购方式管理暂行办法》(财库〔2014〕214号)</w:t>
      </w:r>
      <w:r>
        <w:rPr>
          <w:rFonts w:hint="eastAsia" w:ascii="宋体" w:hAnsi="宋体" w:eastAsia="宋体" w:cs="宋体"/>
          <w:color w:val="auto"/>
          <w:kern w:val="0"/>
          <w:szCs w:val="21"/>
          <w:highlight w:val="none"/>
        </w:rPr>
        <w:t xml:space="preserve"> 和《财政部关于政府采购竞争性磋商采购方式管理暂行办法有关问题的补充通知》（财库〔2015〕124号）所列“政府购买服务项目（含政府和社会资本合作项目）、市场竞争不充分的科研项目以及需要扶持的科技成果转化项目”</w:t>
      </w:r>
      <w:r>
        <w:rPr>
          <w:rFonts w:hint="eastAsia" w:ascii="宋体" w:hAnsi="宋体" w:eastAsia="宋体" w:cs="宋体"/>
          <w:bCs/>
          <w:color w:val="auto"/>
          <w:szCs w:val="21"/>
          <w:highlight w:val="none"/>
        </w:rPr>
        <w:t>情形外，在采购过程中符合要求的供应商或者报价未超过采购</w:t>
      </w:r>
      <w:r>
        <w:rPr>
          <w:rFonts w:hint="eastAsia" w:ascii="宋体" w:hAnsi="宋体" w:eastAsia="宋体" w:cs="宋体"/>
          <w:bCs/>
          <w:color w:val="auto"/>
          <w:szCs w:val="21"/>
          <w:highlight w:val="none"/>
          <w:lang w:eastAsia="zh-CN"/>
        </w:rPr>
        <w:t>项目最高限价</w:t>
      </w:r>
      <w:r>
        <w:rPr>
          <w:rFonts w:hint="eastAsia" w:ascii="宋体" w:hAnsi="宋体" w:eastAsia="宋体" w:cs="宋体"/>
          <w:bCs/>
          <w:color w:val="auto"/>
          <w:szCs w:val="21"/>
          <w:highlight w:val="none"/>
        </w:rPr>
        <w:t>的供应商不足3家的；</w:t>
      </w:r>
    </w:p>
    <w:p>
      <w:pPr>
        <w:keepNext w:val="0"/>
        <w:keepLines w:val="0"/>
        <w:pageBreakBefore w:val="0"/>
        <w:widowControl/>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（4）因重大变故，采购任务取消的。</w:t>
      </w:r>
    </w:p>
    <w:p>
      <w:pPr>
        <w:keepNext w:val="0"/>
        <w:keepLines w:val="0"/>
        <w:pageBreakBefore w:val="0"/>
        <w:widowControl/>
        <w:kinsoku/>
        <w:wordWrap/>
        <w:overflowPunct/>
        <w:topLinePunct w:val="0"/>
        <w:autoSpaceDE/>
        <w:bidi w:val="0"/>
        <w:adjustRightInd w:val="0"/>
        <w:snapToGrid w:val="0"/>
        <w:spacing w:line="360" w:lineRule="auto"/>
        <w:ind w:firstLine="482" w:firstLineChars="200"/>
        <w:jc w:val="left"/>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35．重新评审</w:t>
      </w:r>
    </w:p>
    <w:p>
      <w:pPr>
        <w:keepNext w:val="0"/>
        <w:keepLines w:val="0"/>
        <w:pageBreakBefore w:val="0"/>
        <w:widowControl/>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35.1除资格性检查认定错误、分值汇总计算错误、分项评分超出评分标准范围、客观分评分不一致、经磋商小组一致认定评分畸高、畸低的情形外，采购人或者采购代理机构不得以任何理由组织重新评审。采购人、采购代理机构发现磋商小组未按照磋商文件规定的评审标准进行评审的，应当重新开展采购活动。</w:t>
      </w:r>
    </w:p>
    <w:p>
      <w:pPr>
        <w:keepNext w:val="0"/>
        <w:keepLines w:val="0"/>
        <w:pageBreakBefore w:val="0"/>
        <w:kinsoku/>
        <w:wordWrap/>
        <w:overflowPunct/>
        <w:topLinePunct w:val="0"/>
        <w:autoSpaceDE/>
        <w:bidi w:val="0"/>
        <w:adjustRightInd w:val="0"/>
        <w:snapToGrid w:val="0"/>
        <w:spacing w:line="360" w:lineRule="auto"/>
        <w:ind w:firstLine="48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36.保密及串通行为</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36.1磋商小组成员以及与评审工作有关的人员不得泄露评审情况以及评审过程中获悉的国家秘密、商业秘密。</w:t>
      </w:r>
    </w:p>
    <w:p>
      <w:pPr>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36.2</w:t>
      </w:r>
      <w:r>
        <w:rPr>
          <w:rFonts w:hint="eastAsia" w:ascii="宋体" w:hAnsi="宋体" w:eastAsia="宋体" w:cs="宋体"/>
          <w:color w:val="auto"/>
          <w:kern w:val="0"/>
          <w:szCs w:val="21"/>
          <w:highlight w:val="none"/>
        </w:rPr>
        <w:t>供应商</w:t>
      </w:r>
      <w:r>
        <w:rPr>
          <w:rFonts w:hint="eastAsia" w:ascii="宋体" w:hAnsi="宋体" w:eastAsia="宋体" w:cs="宋体"/>
          <w:color w:val="auto"/>
          <w:szCs w:val="21"/>
          <w:highlight w:val="none"/>
        </w:rPr>
        <w:t>不得与</w:t>
      </w:r>
      <w:r>
        <w:rPr>
          <w:rFonts w:hint="eastAsia" w:ascii="宋体" w:hAnsi="宋体" w:eastAsia="宋体" w:cs="宋体"/>
          <w:color w:val="auto"/>
          <w:kern w:val="0"/>
          <w:szCs w:val="21"/>
          <w:highlight w:val="none"/>
        </w:rPr>
        <w:t>采购人、采购代理机构、其他供应商恶意</w:t>
      </w:r>
      <w:r>
        <w:rPr>
          <w:rFonts w:hint="eastAsia" w:ascii="宋体" w:hAnsi="宋体" w:eastAsia="宋体" w:cs="宋体"/>
          <w:color w:val="auto"/>
          <w:szCs w:val="21"/>
          <w:highlight w:val="none"/>
        </w:rPr>
        <w:t>串通；不得向</w:t>
      </w:r>
      <w:r>
        <w:rPr>
          <w:rFonts w:hint="eastAsia" w:ascii="宋体" w:hAnsi="宋体" w:eastAsia="宋体" w:cs="宋体"/>
          <w:color w:val="auto"/>
          <w:kern w:val="0"/>
          <w:szCs w:val="21"/>
          <w:highlight w:val="none"/>
        </w:rPr>
        <w:t>采购人、采购代理机构</w:t>
      </w:r>
      <w:r>
        <w:rPr>
          <w:rFonts w:hint="eastAsia" w:ascii="宋体" w:hAnsi="宋体" w:eastAsia="宋体" w:cs="宋体"/>
          <w:color w:val="auto"/>
          <w:szCs w:val="21"/>
          <w:highlight w:val="none"/>
        </w:rPr>
        <w:t>或者磋商小组成员行贿或者提供其他不正当利益；不得提供虚假资料谋取成交；不得以任何方式干扰、影响采购工作。</w:t>
      </w:r>
    </w:p>
    <w:p>
      <w:pPr>
        <w:pStyle w:val="21"/>
        <w:keepNext w:val="0"/>
        <w:keepLines w:val="0"/>
        <w:pageBreakBefore w:val="0"/>
        <w:kinsoku/>
        <w:wordWrap/>
        <w:overflowPunct/>
        <w:topLinePunct w:val="0"/>
        <w:autoSpaceDE/>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rPr>
        <w:t>36.3</w:t>
      </w:r>
      <w:r>
        <w:rPr>
          <w:rFonts w:hint="eastAsia" w:ascii="宋体" w:hAnsi="宋体" w:eastAsia="宋体" w:cs="宋体"/>
          <w:color w:val="auto"/>
          <w:sz w:val="21"/>
          <w:szCs w:val="21"/>
          <w:highlight w:val="none"/>
          <w:lang w:val="zh-CN"/>
        </w:rPr>
        <w:t>有下列情形之一的，属于恶意串通，对供应商依照政府采购法第七十七条第一款的规定追究法律责任：</w:t>
      </w:r>
    </w:p>
    <w:p>
      <w:pPr>
        <w:pStyle w:val="21"/>
        <w:keepNext w:val="0"/>
        <w:keepLines w:val="0"/>
        <w:pageBreakBefore w:val="0"/>
        <w:kinsoku/>
        <w:wordWrap/>
        <w:overflowPunct/>
        <w:topLinePunct w:val="0"/>
        <w:autoSpaceDE/>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（一）供应商直接或者间接从采购人或者采购代理机构处获得其他供应商的相关情况并修改其投标文件或者响应文件；</w:t>
      </w:r>
    </w:p>
    <w:p>
      <w:pPr>
        <w:pStyle w:val="21"/>
        <w:keepNext w:val="0"/>
        <w:keepLines w:val="0"/>
        <w:pageBreakBefore w:val="0"/>
        <w:kinsoku/>
        <w:wordWrap/>
        <w:overflowPunct/>
        <w:topLinePunct w:val="0"/>
        <w:autoSpaceDE/>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（二）供应商按照采购人或者采购代理机构的授意撤换、修改投标文件或者响应文件；</w:t>
      </w:r>
    </w:p>
    <w:p>
      <w:pPr>
        <w:pStyle w:val="21"/>
        <w:keepNext w:val="0"/>
        <w:keepLines w:val="0"/>
        <w:pageBreakBefore w:val="0"/>
        <w:kinsoku/>
        <w:wordWrap/>
        <w:overflowPunct/>
        <w:topLinePunct w:val="0"/>
        <w:autoSpaceDE/>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（三）供应商之间协商报价、技术方案等投标文件或者响应文件的实质性内容；</w:t>
      </w:r>
    </w:p>
    <w:p>
      <w:pPr>
        <w:pStyle w:val="21"/>
        <w:keepNext w:val="0"/>
        <w:keepLines w:val="0"/>
        <w:pageBreakBefore w:val="0"/>
        <w:kinsoku/>
        <w:wordWrap/>
        <w:overflowPunct/>
        <w:topLinePunct w:val="0"/>
        <w:autoSpaceDE/>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（四）属于同一集团、协会、商会等组织成员的供应商按照该组织要求协同参加政府采购活动；</w:t>
      </w:r>
    </w:p>
    <w:p>
      <w:pPr>
        <w:pStyle w:val="21"/>
        <w:keepNext w:val="0"/>
        <w:keepLines w:val="0"/>
        <w:pageBreakBefore w:val="0"/>
        <w:kinsoku/>
        <w:wordWrap/>
        <w:overflowPunct/>
        <w:topLinePunct w:val="0"/>
        <w:autoSpaceDE/>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（五）供应商之间事先约定由某一特定供应商中标、成交；</w:t>
      </w:r>
    </w:p>
    <w:p>
      <w:pPr>
        <w:pStyle w:val="21"/>
        <w:keepNext w:val="0"/>
        <w:keepLines w:val="0"/>
        <w:pageBreakBefore w:val="0"/>
        <w:kinsoku/>
        <w:wordWrap/>
        <w:overflowPunct/>
        <w:topLinePunct w:val="0"/>
        <w:autoSpaceDE/>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（六）供应商之间商定部分供应商放弃参加政府采购活动或者放弃中标、成交；</w:t>
      </w:r>
    </w:p>
    <w:p>
      <w:pPr>
        <w:pStyle w:val="21"/>
        <w:keepNext w:val="0"/>
        <w:keepLines w:val="0"/>
        <w:pageBreakBefore w:val="0"/>
        <w:kinsoku/>
        <w:wordWrap/>
        <w:overflowPunct/>
        <w:topLinePunct w:val="0"/>
        <w:autoSpaceDE/>
        <w:bidi w:val="0"/>
        <w:adjustRightInd w:val="0"/>
        <w:snapToGrid w:val="0"/>
        <w:spacing w:before="0" w:beforeAutospacing="0" w:after="0" w:afterAutospacing="0"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（七）供应商与采购人或者采购代理机构之间、供应商相互之间，为谋求特定供应商中标、成交或者排斥其他供应商的其他串通行为。</w:t>
      </w:r>
    </w:p>
    <w:p>
      <w:pPr>
        <w:keepNext w:val="0"/>
        <w:keepLines w:val="0"/>
        <w:pageBreakBefore w:val="0"/>
        <w:kinsoku/>
        <w:wordWrap/>
        <w:overflowPunct/>
        <w:topLinePunct w:val="0"/>
        <w:autoSpaceDE/>
        <w:bidi w:val="0"/>
        <w:adjustRightInd w:val="0"/>
        <w:snapToGrid w:val="0"/>
        <w:spacing w:line="360" w:lineRule="auto"/>
        <w:ind w:firstLine="482" w:firstLineChars="200"/>
        <w:textAlignment w:val="auto"/>
        <w:outlineLvl w:val="2"/>
        <w:rPr>
          <w:rFonts w:hint="eastAsia" w:ascii="宋体" w:hAnsi="宋体" w:eastAsia="宋体" w:cs="宋体"/>
          <w:b/>
          <w:bCs/>
          <w:color w:val="auto"/>
          <w:sz w:val="24"/>
          <w:highlight w:val="none"/>
        </w:rPr>
      </w:pPr>
      <w:bookmarkStart w:id="85" w:name="_Toc6713"/>
      <w:bookmarkStart w:id="86" w:name="_Toc31690"/>
      <w:bookmarkStart w:id="87" w:name="_Toc7195"/>
      <w:bookmarkStart w:id="88" w:name="_Toc30321"/>
      <w:r>
        <w:rPr>
          <w:rFonts w:hint="eastAsia" w:ascii="宋体" w:hAnsi="宋体" w:eastAsia="宋体" w:cs="宋体"/>
          <w:b/>
          <w:bCs/>
          <w:color w:val="auto"/>
          <w:sz w:val="24"/>
          <w:highlight w:val="none"/>
        </w:rPr>
        <w:t>六、成交结果信息公布与授予合同</w:t>
      </w:r>
      <w:bookmarkEnd w:id="85"/>
      <w:bookmarkEnd w:id="86"/>
      <w:bookmarkEnd w:id="87"/>
      <w:bookmarkEnd w:id="88"/>
    </w:p>
    <w:p>
      <w:pPr>
        <w:keepNext w:val="0"/>
        <w:keepLines w:val="0"/>
        <w:pageBreakBefore w:val="0"/>
        <w:kinsoku/>
        <w:wordWrap/>
        <w:overflowPunct/>
        <w:topLinePunct w:val="0"/>
        <w:autoSpaceDE/>
        <w:bidi w:val="0"/>
        <w:adjustRightInd w:val="0"/>
        <w:snapToGrid w:val="0"/>
        <w:spacing w:line="360" w:lineRule="auto"/>
        <w:ind w:firstLine="48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37.成交信息的公布</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37.1成交供应商确定后2个工作日内，成交结果信息将在</w:t>
      </w:r>
      <w:r>
        <w:rPr>
          <w:rFonts w:hint="eastAsia" w:ascii="宋体" w:hAnsi="宋体" w:eastAsia="宋体" w:cs="宋体"/>
          <w:b/>
          <w:color w:val="auto"/>
          <w:highlight w:val="none"/>
        </w:rPr>
        <w:t>磋商须知前附表</w:t>
      </w:r>
      <w:r>
        <w:rPr>
          <w:rFonts w:hint="eastAsia" w:ascii="宋体" w:hAnsi="宋体" w:eastAsia="宋体" w:cs="宋体"/>
          <w:color w:val="auto"/>
          <w:highlight w:val="none"/>
        </w:rPr>
        <w:t>指定的媒体上公布。</w:t>
      </w:r>
    </w:p>
    <w:p>
      <w:pPr>
        <w:keepNext w:val="0"/>
        <w:keepLines w:val="0"/>
        <w:pageBreakBefore w:val="0"/>
        <w:kinsoku/>
        <w:wordWrap/>
        <w:overflowPunct/>
        <w:topLinePunct w:val="0"/>
        <w:autoSpaceDE/>
        <w:bidi w:val="0"/>
        <w:adjustRightInd w:val="0"/>
        <w:snapToGrid w:val="0"/>
        <w:spacing w:line="360" w:lineRule="auto"/>
        <w:ind w:firstLine="48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38.询问及质疑</w:t>
      </w:r>
    </w:p>
    <w:p>
      <w:pPr>
        <w:keepNext w:val="0"/>
        <w:keepLines w:val="0"/>
        <w:pageBreakBefore w:val="0"/>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38.1供应商对政府采购活动事项有疑问的，可以向采购人或采购代理机构提出询问。</w:t>
      </w:r>
    </w:p>
    <w:p>
      <w:pPr>
        <w:keepNext w:val="0"/>
        <w:keepLines w:val="0"/>
        <w:pageBreakBefore w:val="0"/>
        <w:kinsoku/>
        <w:wordWrap/>
        <w:overflowPunct/>
        <w:topLinePunct w:val="0"/>
        <w:autoSpaceDE/>
        <w:bidi w:val="0"/>
        <w:adjustRightInd w:val="0"/>
        <w:snapToGrid w:val="0"/>
        <w:spacing w:line="360" w:lineRule="auto"/>
        <w:ind w:firstLine="48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38.2供应商若认为磋商文件、采购过程和成交结果使自己的权益受到损害，可以按法律、行政法规及湖南省财政厅规范性文件规定向采购人或采购代理机构提出质疑。</w:t>
      </w:r>
    </w:p>
    <w:p>
      <w:pPr>
        <w:keepNext w:val="0"/>
        <w:keepLines w:val="0"/>
        <w:pageBreakBefore w:val="0"/>
        <w:kinsoku/>
        <w:wordWrap/>
        <w:overflowPunct/>
        <w:topLinePunct w:val="0"/>
        <w:autoSpaceDE/>
        <w:bidi w:val="0"/>
        <w:adjustRightInd w:val="0"/>
        <w:snapToGrid w:val="0"/>
        <w:spacing w:line="360" w:lineRule="auto"/>
        <w:ind w:firstLine="48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39.成交通知</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39.1成交供应商确定后，采购人或采购代理机构将以书面形式向成交供应商发出成交通知书。成交通知书对采购人和成交供应商具有同等法律效力。</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39.2 成交通知书是合同文件的组成部分。</w:t>
      </w:r>
    </w:p>
    <w:p>
      <w:pPr>
        <w:keepNext w:val="0"/>
        <w:keepLines w:val="0"/>
        <w:pageBreakBefore w:val="0"/>
        <w:tabs>
          <w:tab w:val="left" w:pos="7560"/>
          <w:tab w:val="left" w:pos="7740"/>
          <w:tab w:val="left" w:pos="7920"/>
        </w:tabs>
        <w:kinsoku/>
        <w:wordWrap/>
        <w:overflowPunct/>
        <w:topLinePunct w:val="0"/>
        <w:autoSpaceDE/>
        <w:autoSpaceDN w:val="0"/>
        <w:bidi w:val="0"/>
        <w:adjustRightInd w:val="0"/>
        <w:snapToGrid w:val="0"/>
        <w:spacing w:line="360" w:lineRule="auto"/>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 xml:space="preserve">39.3 </w:t>
      </w:r>
      <w:r>
        <w:rPr>
          <w:rFonts w:hint="eastAsia" w:ascii="宋体" w:hAnsi="宋体" w:eastAsia="宋体" w:cs="宋体"/>
          <w:color w:val="auto"/>
          <w:szCs w:val="21"/>
          <w:highlight w:val="none"/>
        </w:rPr>
        <w:t>成交供应商在收到采购代理机构的成交通知书后10日内，应按照</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的规定，向采购人提交履约担保。联合体成交的，履约担保由联合体各方或联合体中牵头人的名义提交。</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39.4 成交供应商</w:t>
      </w:r>
      <w:r>
        <w:rPr>
          <w:rFonts w:hint="eastAsia" w:ascii="宋体" w:hAnsi="宋体" w:eastAsia="宋体" w:cs="宋体"/>
          <w:color w:val="auto"/>
          <w:spacing w:val="4"/>
          <w:highlight w:val="none"/>
        </w:rPr>
        <w:t>没有按照本章第39.3</w:t>
      </w:r>
      <w:r>
        <w:rPr>
          <w:rFonts w:hint="eastAsia" w:ascii="宋体" w:hAnsi="宋体" w:eastAsia="宋体" w:cs="宋体"/>
          <w:color w:val="auto"/>
          <w:kern w:val="0"/>
          <w:highlight w:val="none"/>
          <w:lang w:val="zh-CN"/>
        </w:rPr>
        <w:t>款</w:t>
      </w:r>
      <w:r>
        <w:rPr>
          <w:rFonts w:hint="eastAsia" w:ascii="宋体" w:hAnsi="宋体" w:eastAsia="宋体" w:cs="宋体"/>
          <w:color w:val="auto"/>
          <w:spacing w:val="4"/>
          <w:highlight w:val="none"/>
        </w:rPr>
        <w:t>规定</w:t>
      </w:r>
      <w:r>
        <w:rPr>
          <w:rFonts w:hint="eastAsia" w:ascii="宋体" w:hAnsi="宋体" w:eastAsia="宋体" w:cs="宋体"/>
          <w:color w:val="auto"/>
          <w:highlight w:val="none"/>
        </w:rPr>
        <w:t>提交履约担保的</w:t>
      </w:r>
      <w:r>
        <w:rPr>
          <w:rFonts w:hint="eastAsia" w:ascii="宋体" w:hAnsi="宋体" w:eastAsia="宋体" w:cs="宋体"/>
          <w:color w:val="auto"/>
          <w:spacing w:val="4"/>
          <w:highlight w:val="none"/>
        </w:rPr>
        <w:t>，视为放弃</w:t>
      </w:r>
      <w:r>
        <w:rPr>
          <w:rFonts w:hint="eastAsia" w:ascii="宋体" w:hAnsi="宋体" w:eastAsia="宋体" w:cs="宋体"/>
          <w:color w:val="auto"/>
          <w:highlight w:val="none"/>
        </w:rPr>
        <w:t>成交资格</w:t>
      </w:r>
      <w:r>
        <w:rPr>
          <w:rFonts w:hint="eastAsia" w:ascii="宋体" w:hAnsi="宋体" w:eastAsia="宋体" w:cs="宋体"/>
          <w:color w:val="auto"/>
          <w:spacing w:val="4"/>
          <w:highlight w:val="none"/>
        </w:rPr>
        <w:t>，</w:t>
      </w:r>
      <w:r>
        <w:rPr>
          <w:rFonts w:hint="eastAsia" w:ascii="宋体" w:hAnsi="宋体" w:eastAsia="宋体" w:cs="宋体"/>
          <w:color w:val="auto"/>
          <w:spacing w:val="2"/>
          <w:highlight w:val="none"/>
        </w:rPr>
        <w:t>其保证金不予退还。</w:t>
      </w:r>
    </w:p>
    <w:p>
      <w:pPr>
        <w:keepNext w:val="0"/>
        <w:keepLines w:val="0"/>
        <w:pageBreakBefore w:val="0"/>
        <w:kinsoku/>
        <w:wordWrap/>
        <w:overflowPunct/>
        <w:topLinePunct w:val="0"/>
        <w:autoSpaceDE/>
        <w:bidi w:val="0"/>
        <w:adjustRightInd w:val="0"/>
        <w:snapToGrid w:val="0"/>
        <w:spacing w:line="360" w:lineRule="auto"/>
        <w:ind w:firstLine="48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40.签订合同</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40.1成交供应商应当在成交通知书发出之日起30日内与采购人签订政府采购合同。</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40.2磋商文件、成交供应商的响应文件等均为签订政府采购合同的依据。</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40.3 成交供应商应当按照合同约定履行义务。成交供应商不得向他人转让成交项目，也不得将成交项目分包后分别向他人转让。</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40.4 成交供应商有下列情形之一的，责令限期改正，情节严重的，列入不良行为记录名单，在1至3年内禁止参加政府采购活动，并予以通报：</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（一）成交后无正当理由不与采购人签订合同的；</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（二）未按照采购文件确定的事项签订政府采购合同，或者与采购人另行订立背离合同实质性内容的协议的；</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（三）拒绝履行合同义务的；</w:t>
      </w:r>
    </w:p>
    <w:p>
      <w:pPr>
        <w:pStyle w:val="13"/>
        <w:keepNext w:val="0"/>
        <w:keepLines w:val="0"/>
        <w:pageBreakBefore w:val="0"/>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kern w:val="0"/>
          <w:highlight w:val="none"/>
        </w:rPr>
      </w:pPr>
      <w:r>
        <w:rPr>
          <w:rFonts w:hint="eastAsia" w:ascii="宋体" w:hAnsi="宋体" w:eastAsia="宋体" w:cs="宋体"/>
          <w:color w:val="auto"/>
          <w:highlight w:val="none"/>
        </w:rPr>
        <w:t>（四）</w:t>
      </w:r>
      <w:r>
        <w:rPr>
          <w:rFonts w:hint="eastAsia" w:ascii="宋体" w:hAnsi="宋体" w:eastAsia="宋体" w:cs="宋体"/>
          <w:color w:val="auto"/>
          <w:kern w:val="0"/>
          <w:highlight w:val="none"/>
        </w:rPr>
        <w:t>违反法律、规章、规范性文件规定的。</w:t>
      </w:r>
    </w:p>
    <w:p>
      <w:pPr>
        <w:keepNext w:val="0"/>
        <w:keepLines w:val="0"/>
        <w:pageBreakBefore w:val="0"/>
        <w:kinsoku/>
        <w:wordWrap/>
        <w:overflowPunct/>
        <w:topLinePunct w:val="0"/>
        <w:autoSpaceDE/>
        <w:bidi w:val="0"/>
        <w:adjustRightInd w:val="0"/>
        <w:snapToGrid w:val="0"/>
        <w:spacing w:line="360" w:lineRule="auto"/>
        <w:ind w:firstLine="482" w:firstLineChars="200"/>
        <w:textAlignment w:val="auto"/>
        <w:outlineLvl w:val="2"/>
        <w:rPr>
          <w:rFonts w:hint="eastAsia" w:ascii="宋体" w:hAnsi="宋体" w:eastAsia="宋体" w:cs="宋体"/>
          <w:b/>
          <w:bCs/>
          <w:color w:val="auto"/>
          <w:sz w:val="24"/>
          <w:highlight w:val="none"/>
        </w:rPr>
      </w:pPr>
      <w:bookmarkStart w:id="89" w:name="_Toc28361"/>
      <w:bookmarkStart w:id="90" w:name="_Toc8001"/>
      <w:bookmarkStart w:id="91" w:name="_Toc3404"/>
      <w:bookmarkStart w:id="92" w:name="_Toc24068"/>
      <w:r>
        <w:rPr>
          <w:rFonts w:hint="eastAsia" w:ascii="宋体" w:hAnsi="宋体" w:eastAsia="宋体" w:cs="宋体"/>
          <w:b/>
          <w:bCs/>
          <w:color w:val="auto"/>
          <w:sz w:val="24"/>
          <w:highlight w:val="none"/>
        </w:rPr>
        <w:t>七、其他规定</w:t>
      </w:r>
      <w:bookmarkEnd w:id="89"/>
      <w:bookmarkEnd w:id="90"/>
      <w:bookmarkEnd w:id="91"/>
      <w:bookmarkEnd w:id="92"/>
    </w:p>
    <w:p>
      <w:pPr>
        <w:keepNext w:val="0"/>
        <w:keepLines w:val="0"/>
        <w:pageBreakBefore w:val="0"/>
        <w:kinsoku/>
        <w:wordWrap/>
        <w:overflowPunct/>
        <w:topLinePunct w:val="0"/>
        <w:autoSpaceDE/>
        <w:bidi w:val="0"/>
        <w:adjustRightInd w:val="0"/>
        <w:snapToGrid w:val="0"/>
        <w:spacing w:line="360" w:lineRule="auto"/>
        <w:ind w:firstLine="482" w:firstLineChars="200"/>
        <w:jc w:val="left"/>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41.1采购代理服务费</w:t>
      </w:r>
    </w:p>
    <w:p>
      <w:pPr>
        <w:keepNext w:val="0"/>
        <w:keepLines w:val="0"/>
        <w:pageBreakBefore w:val="0"/>
        <w:tabs>
          <w:tab w:val="left" w:pos="420"/>
          <w:tab w:val="left" w:pos="7560"/>
          <w:tab w:val="left" w:pos="7740"/>
          <w:tab w:val="left" w:pos="7920"/>
        </w:tabs>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41.1采购代理机构应按</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规定收取采购代理服务费。</w:t>
      </w:r>
    </w:p>
    <w:p>
      <w:pPr>
        <w:keepNext w:val="0"/>
        <w:keepLines w:val="0"/>
        <w:pageBreakBefore w:val="0"/>
        <w:tabs>
          <w:tab w:val="left" w:pos="420"/>
          <w:tab w:val="left" w:pos="7560"/>
          <w:tab w:val="left" w:pos="7740"/>
          <w:tab w:val="left" w:pos="7920"/>
        </w:tabs>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41.2集中采购机构不得收取采购代理服务费。</w:t>
      </w:r>
    </w:p>
    <w:p>
      <w:pPr>
        <w:keepNext w:val="0"/>
        <w:keepLines w:val="0"/>
        <w:pageBreakBefore w:val="0"/>
        <w:tabs>
          <w:tab w:val="left" w:pos="420"/>
          <w:tab w:val="left" w:pos="7560"/>
          <w:tab w:val="left" w:pos="7740"/>
          <w:tab w:val="left" w:pos="7920"/>
        </w:tabs>
        <w:kinsoku/>
        <w:wordWrap/>
        <w:overflowPunct/>
        <w:topLinePunct w:val="0"/>
        <w:autoSpaceDE/>
        <w:bidi w:val="0"/>
        <w:adjustRightInd w:val="0"/>
        <w:snapToGrid w:val="0"/>
        <w:spacing w:line="360" w:lineRule="auto"/>
        <w:ind w:firstLine="482" w:firstLineChars="200"/>
        <w:textAlignment w:val="auto"/>
        <w:rPr>
          <w:rFonts w:hint="eastAsia" w:ascii="宋体" w:hAnsi="宋体" w:eastAsia="宋体" w:cs="宋体"/>
          <w:b/>
          <w:color w:val="auto"/>
          <w:highlight w:val="none"/>
        </w:rPr>
      </w:pPr>
      <w:r>
        <w:rPr>
          <w:rFonts w:hint="eastAsia" w:ascii="宋体" w:hAnsi="宋体" w:eastAsia="宋体" w:cs="宋体"/>
          <w:b/>
          <w:color w:val="auto"/>
          <w:szCs w:val="21"/>
          <w:highlight w:val="none"/>
        </w:rPr>
        <w:t>42.</w:t>
      </w:r>
      <w:r>
        <w:rPr>
          <w:rFonts w:hint="eastAsia" w:ascii="宋体" w:hAnsi="宋体" w:eastAsia="宋体" w:cs="宋体"/>
          <w:b/>
          <w:color w:val="auto"/>
          <w:highlight w:val="none"/>
        </w:rPr>
        <w:t xml:space="preserve"> 其他规定</w:t>
      </w:r>
    </w:p>
    <w:p>
      <w:pPr>
        <w:keepNext w:val="0"/>
        <w:keepLines w:val="0"/>
        <w:pageBreakBefore w:val="0"/>
        <w:tabs>
          <w:tab w:val="left" w:pos="420"/>
          <w:tab w:val="left" w:pos="7560"/>
          <w:tab w:val="left" w:pos="7740"/>
          <w:tab w:val="left" w:pos="7920"/>
        </w:tabs>
        <w:kinsoku/>
        <w:wordWrap/>
        <w:overflowPunct/>
        <w:topLinePunct w:val="0"/>
        <w:autoSpaceDE/>
        <w:bidi w:val="0"/>
        <w:adjustRightInd w:val="0"/>
        <w:snapToGrid w:val="0"/>
        <w:spacing w:line="360" w:lineRule="auto"/>
        <w:ind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42.1</w:t>
      </w:r>
      <w:r>
        <w:rPr>
          <w:rFonts w:hint="eastAsia" w:ascii="宋体" w:hAnsi="宋体" w:eastAsia="宋体" w:cs="宋体"/>
          <w:color w:val="auto"/>
          <w:szCs w:val="21"/>
          <w:highlight w:val="none"/>
        </w:rPr>
        <w:t>磋商文件</w:t>
      </w:r>
      <w:r>
        <w:rPr>
          <w:rFonts w:hint="eastAsia" w:ascii="宋体" w:hAnsi="宋体" w:eastAsia="宋体" w:cs="宋体"/>
          <w:color w:val="auto"/>
          <w:highlight w:val="none"/>
        </w:rPr>
        <w:t>的其他规定</w:t>
      </w:r>
      <w:r>
        <w:rPr>
          <w:rFonts w:hint="eastAsia" w:ascii="宋体" w:hAnsi="宋体" w:eastAsia="宋体" w:cs="宋体"/>
          <w:color w:val="auto"/>
          <w:szCs w:val="21"/>
          <w:highlight w:val="none"/>
        </w:rPr>
        <w:t>见</w:t>
      </w:r>
      <w:r>
        <w:rPr>
          <w:rFonts w:hint="eastAsia" w:ascii="宋体" w:hAnsi="宋体" w:eastAsia="宋体" w:cs="宋体"/>
          <w:b/>
          <w:color w:val="auto"/>
          <w:szCs w:val="21"/>
          <w:highlight w:val="none"/>
        </w:rPr>
        <w:t>磋商须知前附表</w:t>
      </w:r>
      <w:r>
        <w:rPr>
          <w:rFonts w:hint="eastAsia" w:ascii="宋体" w:hAnsi="宋体" w:eastAsia="宋体" w:cs="宋体"/>
          <w:color w:val="auto"/>
          <w:szCs w:val="21"/>
          <w:highlight w:val="none"/>
        </w:rPr>
        <w:t>。</w:t>
      </w:r>
    </w:p>
    <w:p>
      <w:pPr>
        <w:pStyle w:val="4"/>
        <w:bidi w:val="0"/>
        <w:jc w:val="center"/>
        <w:rPr>
          <w:rStyle w:val="37"/>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2"/>
          <w:szCs w:val="32"/>
          <w:highlight w:val="none"/>
        </w:rPr>
        <w:br w:type="page"/>
      </w:r>
      <w:bookmarkStart w:id="93" w:name="_Toc1530"/>
      <w:bookmarkStart w:id="94" w:name="_Toc24807"/>
      <w:r>
        <w:rPr>
          <w:rStyle w:val="37"/>
          <w:rFonts w:hint="eastAsia" w:ascii="宋体" w:hAnsi="宋体" w:eastAsia="宋体" w:cs="宋体"/>
          <w:b/>
          <w:color w:val="auto"/>
          <w:sz w:val="30"/>
          <w:szCs w:val="30"/>
          <w:highlight w:val="none"/>
        </w:rPr>
        <w:t>第</w:t>
      </w:r>
      <w:r>
        <w:rPr>
          <w:rStyle w:val="37"/>
          <w:rFonts w:hint="eastAsia" w:ascii="宋体" w:hAnsi="宋体" w:cs="宋体"/>
          <w:b/>
          <w:color w:val="auto"/>
          <w:sz w:val="30"/>
          <w:szCs w:val="30"/>
          <w:highlight w:val="none"/>
          <w:lang w:eastAsia="zh-CN"/>
        </w:rPr>
        <w:t>三</w:t>
      </w:r>
      <w:r>
        <w:rPr>
          <w:rStyle w:val="37"/>
          <w:rFonts w:hint="eastAsia" w:ascii="宋体" w:hAnsi="宋体" w:eastAsia="宋体" w:cs="宋体"/>
          <w:b/>
          <w:color w:val="auto"/>
          <w:sz w:val="30"/>
          <w:szCs w:val="30"/>
          <w:highlight w:val="none"/>
        </w:rPr>
        <w:t>章  采购需求</w:t>
      </w:r>
      <w:bookmarkEnd w:id="93"/>
      <w:bookmarkEnd w:id="94"/>
      <w:bookmarkStart w:id="95" w:name="_Toc359511220"/>
      <w:bookmarkStart w:id="96" w:name="_Toc228584395"/>
      <w:bookmarkStart w:id="97" w:name="_Toc283137017"/>
      <w:bookmarkStart w:id="98" w:name="_Toc383606473"/>
      <w:bookmarkStart w:id="99" w:name="_Toc276566064"/>
    </w:p>
    <w:bookmarkEnd w:id="95"/>
    <w:bookmarkEnd w:id="96"/>
    <w:bookmarkEnd w:id="97"/>
    <w:bookmarkEnd w:id="98"/>
    <w:bookmarkEnd w:id="99"/>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eastAsia="宋体"/>
          <w:lang w:eastAsia="zh-CN"/>
        </w:rPr>
      </w:pPr>
      <w:bookmarkStart w:id="100" w:name="_Toc300678508"/>
      <w:r>
        <w:rPr>
          <w:rFonts w:hint="eastAsia" w:cs="Calibri"/>
          <w:b/>
          <w:bCs/>
          <w:color w:val="000000"/>
        </w:rPr>
        <w:t>一、采购项目名称</w:t>
      </w:r>
      <w:r>
        <w:rPr>
          <w:rFonts w:hint="eastAsia" w:cs="Calibri"/>
          <w:color w:val="000000"/>
        </w:rPr>
        <w:t xml:space="preserve"> ：</w:t>
      </w:r>
      <w:r>
        <w:rPr>
          <w:rFonts w:hint="eastAsia" w:ascii="宋体" w:hAnsi="宋体"/>
          <w:szCs w:val="21"/>
          <w:lang w:val="en-US" w:eastAsia="zh-CN"/>
        </w:rPr>
        <w:t>隆回县耕地保护国土空间专项规划和耕地保护一张图项目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cs="Calibri"/>
          <w:color w:val="000000"/>
        </w:rPr>
      </w:pPr>
      <w:r>
        <w:rPr>
          <w:rFonts w:hint="eastAsia" w:cs="Calibri"/>
          <w:b/>
          <w:bCs/>
          <w:color w:val="000000"/>
        </w:rPr>
        <w:t>二、</w:t>
      </w:r>
      <w:bookmarkEnd w:id="100"/>
      <w:r>
        <w:rPr>
          <w:rFonts w:hint="eastAsia" w:cs="Calibri"/>
          <w:b/>
          <w:bCs/>
          <w:color w:val="000000"/>
        </w:rPr>
        <w:t>采购预算</w:t>
      </w:r>
      <w:r>
        <w:rPr>
          <w:rFonts w:hint="eastAsia" w:cs="Calibri"/>
          <w:color w:val="000000"/>
        </w:rPr>
        <w:t>：预算为 </w:t>
      </w:r>
      <w:r>
        <w:rPr>
          <w:rFonts w:hint="eastAsia" w:cs="Calibri"/>
          <w:color w:val="000000"/>
          <w:lang w:val="en-US" w:eastAsia="zh-CN"/>
        </w:rPr>
        <w:t>99</w:t>
      </w:r>
      <w:r>
        <w:rPr>
          <w:rFonts w:hint="eastAsia" w:cs="Calibri"/>
          <w:color w:val="000000"/>
        </w:rPr>
        <w:t>万元</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cs="Calibri"/>
          <w:b/>
          <w:bCs/>
          <w:color w:val="000000"/>
        </w:rPr>
      </w:pPr>
      <w:r>
        <w:rPr>
          <w:rFonts w:hint="eastAsia" w:cs="Calibri"/>
          <w:b/>
          <w:bCs/>
          <w:color w:val="000000"/>
        </w:rPr>
        <w:t>三、项目基本概况：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Times New Roman"/>
          <w:bCs/>
          <w:szCs w:val="21"/>
        </w:rPr>
      </w:pPr>
      <w:r>
        <w:rPr>
          <w:rFonts w:hint="eastAsia" w:ascii="宋体" w:hAnsi="宋体" w:eastAsia="宋体" w:cs="Times New Roman"/>
          <w:bCs/>
          <w:szCs w:val="21"/>
        </w:rPr>
        <w:t>根据《</w:t>
      </w:r>
      <w:r>
        <w:rPr>
          <w:rFonts w:hint="eastAsia" w:ascii="宋体" w:hAnsi="宋体" w:eastAsia="宋体" w:cs="Times New Roman"/>
          <w:bCs/>
          <w:szCs w:val="21"/>
          <w:lang w:eastAsia="zh-CN"/>
        </w:rPr>
        <w:t>湖南省自然资源厅关于开展县级耕地保护国土空间专项规划和耕地保护一张图编制工作的通知</w:t>
      </w:r>
      <w:r>
        <w:rPr>
          <w:rFonts w:hint="eastAsia" w:ascii="宋体" w:hAnsi="宋体" w:eastAsia="宋体" w:cs="Times New Roman"/>
          <w:bCs/>
          <w:szCs w:val="21"/>
        </w:rPr>
        <w:t>》（</w:t>
      </w:r>
      <w:r>
        <w:rPr>
          <w:rFonts w:hint="eastAsia" w:ascii="宋体" w:hAnsi="宋体" w:eastAsia="宋体" w:cs="Times New Roman"/>
          <w:bCs/>
          <w:szCs w:val="21"/>
          <w:lang w:eastAsia="zh-CN"/>
        </w:rPr>
        <w:t>湘自资办发</w:t>
      </w:r>
      <w:r>
        <w:rPr>
          <w:rFonts w:hint="eastAsia" w:ascii="宋体" w:hAnsi="宋体" w:eastAsia="宋体" w:cs="Times New Roman"/>
          <w:bCs/>
          <w:szCs w:val="21"/>
        </w:rPr>
        <w:t>[20</w:t>
      </w:r>
      <w:r>
        <w:rPr>
          <w:rFonts w:hint="eastAsia" w:ascii="宋体" w:hAnsi="宋体" w:eastAsia="宋体" w:cs="Times New Roman"/>
          <w:bCs/>
          <w:szCs w:val="21"/>
          <w:lang w:val="en-US" w:eastAsia="zh-CN"/>
        </w:rPr>
        <w:t>21</w:t>
      </w:r>
      <w:r>
        <w:rPr>
          <w:rFonts w:hint="eastAsia" w:ascii="宋体" w:hAnsi="宋体" w:eastAsia="宋体" w:cs="Times New Roman"/>
          <w:bCs/>
          <w:szCs w:val="21"/>
        </w:rPr>
        <w:t>]</w:t>
      </w:r>
      <w:r>
        <w:rPr>
          <w:rFonts w:hint="eastAsia" w:ascii="宋体" w:hAnsi="宋体" w:eastAsia="宋体" w:cs="Times New Roman"/>
          <w:bCs/>
          <w:szCs w:val="21"/>
          <w:lang w:val="en-US" w:eastAsia="zh-CN"/>
        </w:rPr>
        <w:t>44</w:t>
      </w:r>
      <w:r>
        <w:rPr>
          <w:rFonts w:hint="eastAsia" w:ascii="宋体" w:hAnsi="宋体" w:eastAsia="宋体" w:cs="Times New Roman"/>
          <w:bCs/>
          <w:szCs w:val="21"/>
        </w:rPr>
        <w:t>号）</w:t>
      </w:r>
      <w:r>
        <w:rPr>
          <w:rFonts w:hint="eastAsia" w:ascii="宋体" w:hAnsi="宋体" w:eastAsia="宋体" w:cs="Times New Roman"/>
          <w:bCs/>
          <w:szCs w:val="21"/>
          <w:lang w:eastAsia="zh-CN"/>
        </w:rPr>
        <w:t>号文件要求</w:t>
      </w:r>
      <w:r>
        <w:rPr>
          <w:rFonts w:hint="eastAsia" w:ascii="宋体" w:hAnsi="宋体" w:eastAsia="宋体" w:cs="Times New Roman"/>
          <w:bCs/>
          <w:szCs w:val="21"/>
        </w:rPr>
        <w:t>，</w:t>
      </w:r>
      <w:r>
        <w:rPr>
          <w:rFonts w:hint="eastAsia" w:ascii="宋体" w:hAnsi="宋体" w:eastAsia="宋体" w:cs="Times New Roman"/>
          <w:bCs/>
          <w:szCs w:val="21"/>
          <w:lang w:val="en-US" w:eastAsia="zh-CN"/>
        </w:rPr>
        <w:t xml:space="preserve">2021年要完成县级耕地保护国土空间专项规划和耕地保护一张图编制，着重解决耕地、耕地占补平衡、耕地后备资源开发利用和永久基本农田保护与布局、永久基本农田储备区等重大问题。        </w:t>
      </w:r>
    </w:p>
    <w:p>
      <w:pPr>
        <w:keepNext w:val="0"/>
        <w:keepLines w:val="0"/>
        <w:pageBreakBefore w:val="0"/>
        <w:widowControl w:val="0"/>
        <w:numPr>
          <w:ilvl w:val="0"/>
          <w:numId w:val="2"/>
        </w:numPr>
        <w:kinsoku/>
        <w:wordWrap/>
        <w:overflowPunct/>
        <w:topLinePunct w:val="0"/>
        <w:autoSpaceDE/>
        <w:autoSpaceDN/>
        <w:bidi w:val="0"/>
        <w:adjustRightInd w:val="0"/>
        <w:snapToGrid w:val="0"/>
        <w:spacing w:line="440" w:lineRule="exact"/>
        <w:textAlignment w:val="auto"/>
        <w:rPr>
          <w:rFonts w:hint="eastAsia" w:cs="Calibri"/>
          <w:b/>
          <w:bCs/>
          <w:color w:val="000000"/>
        </w:rPr>
      </w:pPr>
      <w:r>
        <w:rPr>
          <w:rFonts w:hint="eastAsia" w:cs="Calibri"/>
          <w:b/>
          <w:bCs/>
          <w:color w:val="000000"/>
          <w:lang w:eastAsia="zh-CN"/>
        </w:rPr>
        <w:t>服务内容</w:t>
      </w:r>
      <w:r>
        <w:rPr>
          <w:rFonts w:hint="eastAsia" w:cs="Calibri"/>
          <w:b/>
          <w:bCs/>
          <w:color w:val="000000"/>
        </w:rPr>
        <w:t>：</w:t>
      </w:r>
    </w:p>
    <w:p>
      <w:pPr>
        <w:pStyle w:val="2"/>
        <w:keepNext w:val="0"/>
        <w:keepLines w:val="0"/>
        <w:pageBreakBefore w:val="0"/>
        <w:widowControl w:val="0"/>
        <w:numPr>
          <w:ilvl w:val="0"/>
          <w:numId w:val="0"/>
        </w:numPr>
        <w:kinsoku/>
        <w:wordWrap/>
        <w:overflowPunct/>
        <w:topLinePunct w:val="0"/>
        <w:autoSpaceDE/>
        <w:autoSpaceDN/>
        <w:bidi w:val="0"/>
        <w:spacing w:line="440" w:lineRule="exact"/>
        <w:ind w:firstLine="482" w:firstLineChars="200"/>
        <w:textAlignment w:val="auto"/>
        <w:rPr>
          <w:rFonts w:hint="eastAsia"/>
          <w:b/>
          <w:bCs/>
          <w:lang w:val="en-US" w:eastAsia="zh-CN"/>
        </w:rPr>
      </w:pPr>
      <w:r>
        <w:rPr>
          <w:rFonts w:hint="eastAsia"/>
          <w:b/>
          <w:bCs/>
          <w:lang w:val="en-US" w:eastAsia="zh-CN"/>
        </w:rPr>
        <w:t>1、耕地保护国土空间专项规划：</w:t>
      </w:r>
    </w:p>
    <w:p>
      <w:pPr>
        <w:pStyle w:val="2"/>
        <w:keepNext w:val="0"/>
        <w:keepLines w:val="0"/>
        <w:pageBreakBefore w:val="0"/>
        <w:widowControl w:val="0"/>
        <w:numPr>
          <w:ilvl w:val="0"/>
          <w:numId w:val="0"/>
        </w:numPr>
        <w:kinsoku/>
        <w:wordWrap/>
        <w:overflowPunct/>
        <w:topLinePunct w:val="0"/>
        <w:autoSpaceDE/>
        <w:autoSpaceDN/>
        <w:bidi w:val="0"/>
        <w:spacing w:line="440" w:lineRule="exact"/>
        <w:ind w:firstLine="480" w:firstLineChars="200"/>
        <w:textAlignment w:val="auto"/>
        <w:rPr>
          <w:rFonts w:hint="eastAsia"/>
          <w:b w:val="0"/>
          <w:bCs w:val="0"/>
          <w:lang w:val="en-US" w:eastAsia="zh-CN"/>
        </w:rPr>
      </w:pPr>
      <w:r>
        <w:rPr>
          <w:rFonts w:hint="eastAsia"/>
          <w:b w:val="0"/>
          <w:bCs w:val="0"/>
          <w:lang w:val="en-US" w:eastAsia="zh-CN"/>
        </w:rPr>
        <w:t>在同级国土空间总体规划的约束和指导下，确定本行政区耕地保护任务，重点统筹协调好耕地保护与建设占用耕地数量及空间布局的关系、耕地后备资源利用与林地保护的关系，从源头上确保耕地保护总目标落地，落实补充耕地规模与具体点位；</w:t>
      </w:r>
    </w:p>
    <w:p>
      <w:pPr>
        <w:pStyle w:val="2"/>
        <w:keepNext w:val="0"/>
        <w:keepLines w:val="0"/>
        <w:pageBreakBefore w:val="0"/>
        <w:widowControl w:val="0"/>
        <w:numPr>
          <w:ilvl w:val="0"/>
          <w:numId w:val="0"/>
        </w:numPr>
        <w:kinsoku/>
        <w:wordWrap/>
        <w:overflowPunct/>
        <w:topLinePunct w:val="0"/>
        <w:autoSpaceDE/>
        <w:autoSpaceDN/>
        <w:bidi w:val="0"/>
        <w:spacing w:line="440" w:lineRule="exact"/>
        <w:ind w:firstLine="482" w:firstLineChars="200"/>
        <w:textAlignment w:val="auto"/>
        <w:rPr>
          <w:rFonts w:hint="eastAsia"/>
          <w:b/>
          <w:bCs/>
          <w:lang w:val="en-US" w:eastAsia="zh-CN"/>
        </w:rPr>
      </w:pPr>
      <w:r>
        <w:rPr>
          <w:rFonts w:hint="eastAsia"/>
          <w:b/>
          <w:bCs/>
          <w:lang w:val="en-US" w:eastAsia="zh-CN"/>
        </w:rPr>
        <w:t>2、耕地保护“一张图”：</w:t>
      </w:r>
    </w:p>
    <w:p>
      <w:pPr>
        <w:pStyle w:val="2"/>
        <w:keepNext w:val="0"/>
        <w:keepLines w:val="0"/>
        <w:pageBreakBefore w:val="0"/>
        <w:widowControl w:val="0"/>
        <w:numPr>
          <w:ilvl w:val="0"/>
          <w:numId w:val="0"/>
        </w:numPr>
        <w:kinsoku/>
        <w:wordWrap/>
        <w:overflowPunct/>
        <w:topLinePunct w:val="0"/>
        <w:autoSpaceDE/>
        <w:autoSpaceDN/>
        <w:bidi w:val="0"/>
        <w:spacing w:line="440" w:lineRule="exact"/>
        <w:ind w:firstLine="420"/>
        <w:textAlignment w:val="auto"/>
        <w:rPr>
          <w:rFonts w:hint="eastAsia"/>
          <w:b w:val="0"/>
          <w:bCs w:val="0"/>
          <w:lang w:val="en-US" w:eastAsia="zh-CN"/>
        </w:rPr>
      </w:pPr>
      <w:r>
        <w:rPr>
          <w:rFonts w:hint="eastAsia"/>
          <w:b w:val="0"/>
          <w:bCs w:val="0"/>
          <w:lang w:val="en-US" w:eastAsia="zh-CN"/>
        </w:rPr>
        <w:t>基于“三调”数据，按照预下达的耕地保护目标，合理确定耕地、耕地后备资源、永久基本农田、永久基本农田储备区的总体布局，建立耕地保护“一张图”；</w:t>
      </w:r>
    </w:p>
    <w:p>
      <w:pPr>
        <w:pStyle w:val="2"/>
        <w:keepNext w:val="0"/>
        <w:keepLines w:val="0"/>
        <w:pageBreakBefore w:val="0"/>
        <w:widowControl w:val="0"/>
        <w:numPr>
          <w:ilvl w:val="0"/>
          <w:numId w:val="0"/>
        </w:numPr>
        <w:kinsoku/>
        <w:wordWrap/>
        <w:overflowPunct/>
        <w:topLinePunct w:val="0"/>
        <w:autoSpaceDE/>
        <w:autoSpaceDN/>
        <w:bidi w:val="0"/>
        <w:spacing w:line="440" w:lineRule="exact"/>
        <w:ind w:firstLine="482" w:firstLineChars="200"/>
        <w:textAlignment w:val="auto"/>
        <w:rPr>
          <w:rFonts w:hint="eastAsia"/>
          <w:b/>
          <w:bCs/>
          <w:lang w:val="en-US" w:eastAsia="zh-CN"/>
        </w:rPr>
      </w:pPr>
      <w:r>
        <w:rPr>
          <w:rFonts w:hint="eastAsia"/>
          <w:b/>
          <w:bCs/>
          <w:lang w:val="en-US" w:eastAsia="zh-CN"/>
        </w:rPr>
        <w:t>3、永久基本农田分村公示图：</w:t>
      </w:r>
    </w:p>
    <w:p>
      <w:pPr>
        <w:pStyle w:val="2"/>
        <w:keepNext w:val="0"/>
        <w:keepLines w:val="0"/>
        <w:pageBreakBefore w:val="0"/>
        <w:widowControl w:val="0"/>
        <w:numPr>
          <w:ilvl w:val="0"/>
          <w:numId w:val="0"/>
        </w:numPr>
        <w:kinsoku/>
        <w:wordWrap/>
        <w:overflowPunct/>
        <w:topLinePunct w:val="0"/>
        <w:autoSpaceDE/>
        <w:autoSpaceDN/>
        <w:bidi w:val="0"/>
        <w:spacing w:line="440" w:lineRule="exact"/>
        <w:ind w:leftChars="200"/>
        <w:textAlignment w:val="auto"/>
        <w:rPr>
          <w:rFonts w:hint="eastAsia"/>
          <w:b w:val="0"/>
          <w:bCs w:val="0"/>
          <w:lang w:val="en-US" w:eastAsia="zh-CN"/>
        </w:rPr>
      </w:pPr>
      <w:r>
        <w:rPr>
          <w:rFonts w:hint="default"/>
          <w:b w:val="0"/>
          <w:bCs w:val="0"/>
          <w:lang w:val="en-US" w:eastAsia="zh-CN"/>
        </w:rPr>
        <w:t>所涉及的每个行政村需编制一张永久基本农田分布图，并且到所在村委会处公示</w:t>
      </w:r>
      <w:r>
        <w:rPr>
          <w:rFonts w:hint="eastAsia"/>
          <w:b w:val="0"/>
          <w:bCs w:val="0"/>
          <w:lang w:val="en-US" w:eastAsia="zh-CN"/>
        </w:rPr>
        <w:t>；</w:t>
      </w:r>
    </w:p>
    <w:p>
      <w:pPr>
        <w:pStyle w:val="2"/>
        <w:keepNext w:val="0"/>
        <w:keepLines w:val="0"/>
        <w:pageBreakBefore w:val="0"/>
        <w:widowControl w:val="0"/>
        <w:numPr>
          <w:ilvl w:val="0"/>
          <w:numId w:val="0"/>
        </w:numPr>
        <w:kinsoku/>
        <w:wordWrap/>
        <w:overflowPunct/>
        <w:topLinePunct w:val="0"/>
        <w:autoSpaceDE/>
        <w:autoSpaceDN/>
        <w:bidi w:val="0"/>
        <w:spacing w:line="440" w:lineRule="exact"/>
        <w:ind w:firstLine="482" w:firstLineChars="200"/>
        <w:textAlignment w:val="auto"/>
        <w:rPr>
          <w:rFonts w:hint="eastAsia"/>
          <w:b/>
          <w:bCs/>
          <w:lang w:val="en-US" w:eastAsia="zh-CN"/>
        </w:rPr>
      </w:pPr>
      <w:r>
        <w:rPr>
          <w:rFonts w:hint="eastAsia"/>
          <w:b/>
          <w:bCs/>
          <w:lang w:val="en-US" w:eastAsia="zh-CN"/>
        </w:rPr>
        <w:t>4、补录往年补充耕地项目：</w:t>
      </w:r>
    </w:p>
    <w:p>
      <w:pPr>
        <w:pStyle w:val="2"/>
        <w:keepNext w:val="0"/>
        <w:keepLines w:val="0"/>
        <w:pageBreakBefore w:val="0"/>
        <w:widowControl w:val="0"/>
        <w:numPr>
          <w:ilvl w:val="0"/>
          <w:numId w:val="0"/>
        </w:numPr>
        <w:kinsoku/>
        <w:wordWrap/>
        <w:overflowPunct/>
        <w:topLinePunct w:val="0"/>
        <w:autoSpaceDE/>
        <w:autoSpaceDN/>
        <w:bidi w:val="0"/>
        <w:spacing w:line="440" w:lineRule="exact"/>
        <w:ind w:firstLine="480" w:firstLineChars="200"/>
        <w:textAlignment w:val="auto"/>
        <w:rPr>
          <w:rFonts w:hint="default"/>
          <w:b w:val="0"/>
          <w:bCs w:val="0"/>
          <w:lang w:val="en-US" w:eastAsia="zh-CN"/>
        </w:rPr>
      </w:pPr>
      <w:r>
        <w:rPr>
          <w:rFonts w:hint="default"/>
          <w:b w:val="0"/>
          <w:bCs w:val="0"/>
          <w:lang w:val="en-US" w:eastAsia="zh-CN"/>
        </w:rPr>
        <w:t>将已经通过指标确认的15个项目，从原“农村土地整治监测监管系统”录入到“耕地占补平衡动态监测监管系统”。并进行外业核查拍照工作，同时配合湖南省自然资源厅耕保处审卷工作。</w:t>
      </w:r>
    </w:p>
    <w:p>
      <w:pPr>
        <w:pStyle w:val="2"/>
        <w:keepNext w:val="0"/>
        <w:keepLines w:val="0"/>
        <w:pageBreakBefore w:val="0"/>
        <w:widowControl w:val="0"/>
        <w:numPr>
          <w:ilvl w:val="0"/>
          <w:numId w:val="0"/>
        </w:numPr>
        <w:kinsoku/>
        <w:wordWrap/>
        <w:overflowPunct/>
        <w:topLinePunct w:val="0"/>
        <w:autoSpaceDE/>
        <w:autoSpaceDN/>
        <w:bidi w:val="0"/>
        <w:spacing w:line="440" w:lineRule="exact"/>
        <w:textAlignment w:val="auto"/>
        <w:rPr>
          <w:rFonts w:hint="eastAsia"/>
          <w:b/>
          <w:bCs/>
          <w:lang w:val="en-US" w:eastAsia="zh-CN"/>
        </w:rPr>
      </w:pPr>
      <w:r>
        <w:rPr>
          <w:rFonts w:hint="eastAsia"/>
          <w:b/>
          <w:bCs/>
          <w:lang w:val="en-US" w:eastAsia="zh-CN"/>
        </w:rPr>
        <w:t>五、项目要求及验收：</w:t>
      </w:r>
    </w:p>
    <w:p>
      <w:pPr>
        <w:pStyle w:val="2"/>
        <w:keepNext w:val="0"/>
        <w:keepLines w:val="0"/>
        <w:pageBreakBefore w:val="0"/>
        <w:widowControl w:val="0"/>
        <w:numPr>
          <w:ilvl w:val="0"/>
          <w:numId w:val="0"/>
        </w:numPr>
        <w:kinsoku/>
        <w:wordWrap/>
        <w:overflowPunct/>
        <w:topLinePunct w:val="0"/>
        <w:autoSpaceDE/>
        <w:autoSpaceDN/>
        <w:bidi w:val="0"/>
        <w:spacing w:line="440" w:lineRule="exact"/>
        <w:ind w:firstLine="480" w:firstLineChars="200"/>
        <w:textAlignment w:val="auto"/>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1、耕地保护专项规划和一张图的编制要在国土空间总体规划的约束和指导下，根据国家和省相关规定优化调整。</w:t>
      </w:r>
    </w:p>
    <w:p>
      <w:pPr>
        <w:pStyle w:val="2"/>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default" w:eastAsia="宋体"/>
          <w:lang w:val="en-US" w:eastAsia="zh-CN"/>
        </w:rPr>
      </w:pPr>
      <w:r>
        <w:rPr>
          <w:rFonts w:hint="eastAsia" w:eastAsia="宋体"/>
          <w:lang w:val="en-US" w:eastAsia="zh-CN"/>
        </w:rPr>
        <w:t>2、县级耕地保护国土空间专项规划由同级人民政府批准，规划发布实施后涉及调整、修改的应报原审批机关批准。规划编制和规划调整、修改涉及永久基本农田调整的内容，应先报经自然资源部同意。</w:t>
      </w:r>
    </w:p>
    <w:p>
      <w:pPr>
        <w:pStyle w:val="2"/>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default" w:eastAsia="宋体"/>
          <w:lang w:val="en-US" w:eastAsia="zh-CN"/>
        </w:rPr>
      </w:pPr>
      <w:r>
        <w:rPr>
          <w:rFonts w:hint="eastAsia" w:eastAsia="宋体"/>
          <w:lang w:val="en-US" w:eastAsia="zh-CN"/>
        </w:rPr>
        <w:t>3、完成时间：</w:t>
      </w:r>
      <w:r>
        <w:rPr>
          <w:rFonts w:hint="eastAsia"/>
          <w:lang w:val="en-US" w:eastAsia="zh-CN"/>
        </w:rPr>
        <w:t>签订合同后三十个日历日完成项目编制成果。</w:t>
      </w:r>
    </w:p>
    <w:p>
      <w:pPr>
        <w:pStyle w:val="2"/>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lang w:val="en-US" w:eastAsia="zh-CN"/>
        </w:rPr>
      </w:pPr>
      <w:r>
        <w:rPr>
          <w:rFonts w:hint="eastAsia"/>
          <w:lang w:val="en-US" w:eastAsia="zh-CN"/>
        </w:rPr>
        <w:t>4、成交供应商应</w:t>
      </w:r>
      <w:r>
        <w:rPr>
          <w:rFonts w:hint="default" w:eastAsia="宋体"/>
          <w:lang w:val="en-US" w:eastAsia="zh-CN"/>
        </w:rPr>
        <w:t>确保</w:t>
      </w:r>
      <w:r>
        <w:rPr>
          <w:rFonts w:hint="eastAsia" w:eastAsia="宋体"/>
          <w:lang w:val="en-US" w:eastAsia="zh-CN"/>
        </w:rPr>
        <w:t>项目编制</w:t>
      </w:r>
      <w:r>
        <w:rPr>
          <w:rFonts w:hint="default" w:eastAsia="宋体"/>
          <w:lang w:val="en-US" w:eastAsia="zh-CN"/>
        </w:rPr>
        <w:t>成果达到国家法律法规的具体要求</w:t>
      </w:r>
      <w:r>
        <w:rPr>
          <w:rFonts w:hint="eastAsia"/>
          <w:lang w:val="en-US" w:eastAsia="zh-CN"/>
        </w:rPr>
        <w:t>并通过验收合格。</w:t>
      </w:r>
    </w:p>
    <w:p>
      <w:pPr>
        <w:pStyle w:val="3"/>
        <w:ind w:left="0" w:leftChars="0" w:firstLine="0" w:firstLineChars="0"/>
        <w:rPr>
          <w:rFonts w:hint="eastAsia" w:ascii="Times New Roman" w:hAnsi="Times New Roman" w:eastAsia="宋体" w:cs="Times New Roman"/>
          <w:color w:val="0000FF"/>
          <w:kern w:val="2"/>
          <w:sz w:val="24"/>
          <w:szCs w:val="24"/>
          <w:lang w:val="en-US" w:eastAsia="zh-CN" w:bidi="ar-SA"/>
        </w:rPr>
      </w:pPr>
      <w:r>
        <w:rPr>
          <w:rFonts w:hint="eastAsia" w:ascii="Times New Roman" w:hAnsi="Times New Roman" w:eastAsia="宋体" w:cs="Times New Roman"/>
          <w:b/>
          <w:bCs/>
          <w:kern w:val="2"/>
          <w:sz w:val="24"/>
          <w:szCs w:val="24"/>
          <w:lang w:val="en-US" w:eastAsia="zh-CN" w:bidi="ar-SA"/>
        </w:rPr>
        <w:t>六、付款方式：</w:t>
      </w:r>
      <w:r>
        <w:rPr>
          <w:rFonts w:hint="eastAsia" w:cs="Times New Roman"/>
          <w:color w:val="auto"/>
          <w:kern w:val="2"/>
          <w:sz w:val="24"/>
          <w:szCs w:val="24"/>
          <w:lang w:val="en-US" w:eastAsia="zh-CN" w:bidi="ar-SA"/>
        </w:rPr>
        <w:t>项目完成并通过验收合格后，支付全部合同款。</w:t>
      </w:r>
    </w:p>
    <w:p>
      <w:pPr>
        <w:keepNext w:val="0"/>
        <w:keepLines w:val="0"/>
        <w:pageBreakBefore w:val="0"/>
        <w:widowControl w:val="0"/>
        <w:numPr>
          <w:ilvl w:val="0"/>
          <w:numId w:val="0"/>
        </w:numPr>
        <w:kinsoku/>
        <w:wordWrap/>
        <w:overflowPunct/>
        <w:topLinePunct w:val="0"/>
        <w:autoSpaceDE/>
        <w:autoSpaceDN/>
        <w:bidi w:val="0"/>
        <w:spacing w:line="440" w:lineRule="exact"/>
        <w:textAlignment w:val="auto"/>
        <w:rPr>
          <w:rFonts w:hint="eastAsia" w:cs="Calibri"/>
          <w:b/>
          <w:color w:val="000000"/>
        </w:rPr>
      </w:pPr>
      <w:r>
        <w:rPr>
          <w:rFonts w:hint="eastAsia" w:cs="Calibri"/>
          <w:b/>
          <w:color w:val="000000"/>
          <w:lang w:val="en-US" w:eastAsia="zh-CN"/>
        </w:rPr>
        <w:t>七、</w:t>
      </w:r>
      <w:r>
        <w:rPr>
          <w:rFonts w:hint="eastAsia" w:cs="Calibri"/>
          <w:b/>
          <w:color w:val="000000"/>
        </w:rPr>
        <w:t>安全与保密：</w:t>
      </w:r>
    </w:p>
    <w:p>
      <w:pPr>
        <w:keepNext w:val="0"/>
        <w:keepLines w:val="0"/>
        <w:pageBreakBefore w:val="0"/>
        <w:widowControl w:val="0"/>
        <w:kinsoku/>
        <w:wordWrap/>
        <w:overflowPunct/>
        <w:topLinePunct w:val="0"/>
        <w:autoSpaceDE/>
        <w:autoSpaceDN/>
        <w:bidi w:val="0"/>
        <w:spacing w:line="440" w:lineRule="exact"/>
        <w:ind w:firstLine="240" w:firstLineChars="100"/>
        <w:textAlignment w:val="auto"/>
      </w:pPr>
      <w:r>
        <w:rPr>
          <w:rFonts w:hint="eastAsia"/>
          <w:lang w:eastAsia="zh-CN"/>
        </w:rPr>
        <w:t>项目</w:t>
      </w:r>
      <w:r>
        <w:rPr>
          <w:rFonts w:hint="eastAsia"/>
        </w:rPr>
        <w:t>编制工作中涉及到的涉密和敏感图文资料、电子数据，编制单位应严格执行保密的相关规定，不得以任何方式向任何第三人披露、泄露或许可第三人使用。</w:t>
      </w:r>
    </w:p>
    <w:p>
      <w:pPr>
        <w:pStyle w:val="13"/>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outlineLvl w:val="0"/>
        <w:rPr>
          <w:rFonts w:hint="eastAsia" w:ascii="黑体" w:hAnsi="华文中宋" w:eastAsia="黑体"/>
          <w:b/>
          <w:sz w:val="32"/>
          <w:szCs w:val="32"/>
        </w:rPr>
      </w:pPr>
    </w:p>
    <w:p>
      <w:pPr>
        <w:pStyle w:val="11"/>
        <w:ind w:left="0" w:leftChars="0" w:firstLine="0" w:firstLineChars="0"/>
        <w:rPr>
          <w:rFonts w:hint="default"/>
          <w:lang w:val="en-US" w:eastAsia="zh-CN"/>
        </w:rPr>
      </w:pPr>
    </w:p>
    <w:p>
      <w:pPr>
        <w:pStyle w:val="11"/>
        <w:ind w:left="0" w:leftChars="0" w:firstLine="0" w:firstLineChars="0"/>
        <w:rPr>
          <w:rFonts w:hint="eastAsia" w:ascii="宋体" w:hAnsi="宋体" w:eastAsia="宋体" w:cs="Times New Roman"/>
          <w:b/>
          <w:color w:val="000000"/>
          <w:kern w:val="2"/>
          <w:sz w:val="28"/>
          <w:szCs w:val="22"/>
          <w:highlight w:val="none"/>
          <w:lang w:val="en-US" w:eastAsia="zh-CN" w:bidi="ar-SA"/>
        </w:rPr>
      </w:pPr>
    </w:p>
    <w:p>
      <w:pPr>
        <w:pStyle w:val="11"/>
        <w:ind w:left="0" w:leftChars="0" w:firstLine="0" w:firstLineChars="0"/>
        <w:rPr>
          <w:rFonts w:hint="eastAsia" w:ascii="宋体" w:hAnsi="宋体" w:eastAsia="宋体" w:cs="Times New Roman"/>
          <w:b/>
          <w:color w:val="000000"/>
          <w:kern w:val="2"/>
          <w:sz w:val="28"/>
          <w:szCs w:val="22"/>
          <w:highlight w:val="none"/>
          <w:lang w:val="en-US" w:eastAsia="zh-CN" w:bidi="ar-SA"/>
        </w:rPr>
      </w:pPr>
    </w:p>
    <w:p>
      <w:pPr>
        <w:spacing w:line="360" w:lineRule="auto"/>
        <w:ind w:firstLine="560" w:firstLineChars="200"/>
        <w:rPr>
          <w:rFonts w:asciiTheme="minorEastAsia" w:hAnsiTheme="minorEastAsia" w:eastAsiaTheme="minorEastAsia"/>
          <w:color w:val="auto"/>
          <w:sz w:val="28"/>
          <w:szCs w:val="28"/>
        </w:rPr>
      </w:pPr>
    </w:p>
    <w:p>
      <w:pPr>
        <w:pStyle w:val="11"/>
        <w:rPr>
          <w:rFonts w:hint="default"/>
          <w:color w:val="auto"/>
          <w:lang w:val="en-US" w:eastAsia="zh-CN"/>
        </w:rPr>
      </w:pPr>
    </w:p>
    <w:p>
      <w:pPr>
        <w:keepNext w:val="0"/>
        <w:keepLines w:val="0"/>
        <w:pageBreakBefore w:val="0"/>
        <w:kinsoku/>
        <w:wordWrap/>
        <w:overflowPunct/>
        <w:topLinePunct w:val="0"/>
        <w:autoSpaceDE/>
        <w:bidi w:val="0"/>
        <w:adjustRightInd w:val="0"/>
        <w:snapToGrid w:val="0"/>
        <w:spacing w:before="156" w:line="360" w:lineRule="auto"/>
        <w:jc w:val="center"/>
        <w:textAlignment w:val="auto"/>
        <w:outlineLvl w:val="0"/>
        <w:rPr>
          <w:rStyle w:val="37"/>
          <w:rFonts w:hint="eastAsia" w:ascii="宋体" w:hAnsi="宋体" w:eastAsia="宋体" w:cs="宋体"/>
          <w:color w:val="auto"/>
          <w:sz w:val="30"/>
          <w:szCs w:val="30"/>
          <w:highlight w:val="none"/>
        </w:rPr>
      </w:pPr>
      <w:bookmarkStart w:id="101" w:name="_Toc28806"/>
      <w:bookmarkStart w:id="102" w:name="_Toc25992"/>
    </w:p>
    <w:p>
      <w:pPr>
        <w:keepNext w:val="0"/>
        <w:keepLines w:val="0"/>
        <w:pageBreakBefore w:val="0"/>
        <w:kinsoku/>
        <w:wordWrap/>
        <w:overflowPunct/>
        <w:topLinePunct w:val="0"/>
        <w:autoSpaceDE/>
        <w:bidi w:val="0"/>
        <w:adjustRightInd w:val="0"/>
        <w:snapToGrid w:val="0"/>
        <w:spacing w:before="156" w:line="360" w:lineRule="auto"/>
        <w:jc w:val="center"/>
        <w:textAlignment w:val="auto"/>
        <w:outlineLvl w:val="0"/>
        <w:rPr>
          <w:rStyle w:val="37"/>
          <w:rFonts w:hint="eastAsia" w:ascii="宋体" w:hAnsi="宋体" w:eastAsia="宋体" w:cs="宋体"/>
          <w:color w:val="auto"/>
          <w:sz w:val="30"/>
          <w:szCs w:val="30"/>
          <w:highlight w:val="none"/>
        </w:rPr>
      </w:pPr>
    </w:p>
    <w:p>
      <w:pPr>
        <w:keepNext w:val="0"/>
        <w:keepLines w:val="0"/>
        <w:pageBreakBefore w:val="0"/>
        <w:kinsoku/>
        <w:wordWrap/>
        <w:overflowPunct/>
        <w:topLinePunct w:val="0"/>
        <w:autoSpaceDE/>
        <w:bidi w:val="0"/>
        <w:adjustRightInd w:val="0"/>
        <w:snapToGrid w:val="0"/>
        <w:spacing w:before="156" w:line="360" w:lineRule="auto"/>
        <w:jc w:val="center"/>
        <w:textAlignment w:val="auto"/>
        <w:outlineLvl w:val="0"/>
        <w:rPr>
          <w:rStyle w:val="37"/>
          <w:rFonts w:hint="eastAsia" w:ascii="宋体" w:hAnsi="宋体" w:eastAsia="宋体" w:cs="宋体"/>
          <w:color w:val="auto"/>
          <w:sz w:val="30"/>
          <w:szCs w:val="30"/>
          <w:highlight w:val="none"/>
        </w:rPr>
      </w:pPr>
    </w:p>
    <w:p>
      <w:pPr>
        <w:keepNext w:val="0"/>
        <w:keepLines w:val="0"/>
        <w:pageBreakBefore w:val="0"/>
        <w:kinsoku/>
        <w:wordWrap/>
        <w:overflowPunct/>
        <w:topLinePunct w:val="0"/>
        <w:autoSpaceDE/>
        <w:bidi w:val="0"/>
        <w:adjustRightInd w:val="0"/>
        <w:snapToGrid w:val="0"/>
        <w:spacing w:before="156" w:line="360" w:lineRule="auto"/>
        <w:jc w:val="center"/>
        <w:textAlignment w:val="auto"/>
        <w:outlineLvl w:val="0"/>
        <w:rPr>
          <w:rStyle w:val="37"/>
          <w:rFonts w:hint="eastAsia" w:ascii="宋体" w:hAnsi="宋体" w:eastAsia="宋体" w:cs="宋体"/>
          <w:color w:val="auto"/>
          <w:sz w:val="30"/>
          <w:szCs w:val="30"/>
          <w:highlight w:val="none"/>
        </w:rPr>
      </w:pPr>
    </w:p>
    <w:p>
      <w:pPr>
        <w:keepNext w:val="0"/>
        <w:keepLines w:val="0"/>
        <w:pageBreakBefore w:val="0"/>
        <w:kinsoku/>
        <w:wordWrap/>
        <w:overflowPunct/>
        <w:topLinePunct w:val="0"/>
        <w:autoSpaceDE/>
        <w:bidi w:val="0"/>
        <w:adjustRightInd w:val="0"/>
        <w:snapToGrid w:val="0"/>
        <w:spacing w:before="156" w:line="360" w:lineRule="auto"/>
        <w:jc w:val="center"/>
        <w:textAlignment w:val="auto"/>
        <w:outlineLvl w:val="0"/>
        <w:rPr>
          <w:rStyle w:val="37"/>
          <w:rFonts w:hint="eastAsia" w:ascii="宋体" w:hAnsi="宋体" w:eastAsia="宋体" w:cs="宋体"/>
          <w:color w:val="auto"/>
          <w:sz w:val="30"/>
          <w:szCs w:val="30"/>
          <w:highlight w:val="none"/>
        </w:rPr>
      </w:pPr>
    </w:p>
    <w:p>
      <w:pPr>
        <w:keepNext w:val="0"/>
        <w:keepLines w:val="0"/>
        <w:pageBreakBefore w:val="0"/>
        <w:kinsoku/>
        <w:wordWrap/>
        <w:overflowPunct/>
        <w:topLinePunct w:val="0"/>
        <w:autoSpaceDE/>
        <w:bidi w:val="0"/>
        <w:adjustRightInd w:val="0"/>
        <w:snapToGrid w:val="0"/>
        <w:spacing w:before="156" w:line="360" w:lineRule="auto"/>
        <w:jc w:val="center"/>
        <w:textAlignment w:val="auto"/>
        <w:outlineLvl w:val="0"/>
        <w:rPr>
          <w:rStyle w:val="37"/>
          <w:rFonts w:hint="eastAsia" w:ascii="宋体" w:hAnsi="宋体" w:eastAsia="宋体" w:cs="宋体"/>
          <w:color w:val="auto"/>
          <w:sz w:val="30"/>
          <w:szCs w:val="30"/>
          <w:highlight w:val="none"/>
        </w:rPr>
      </w:pPr>
    </w:p>
    <w:p>
      <w:pPr>
        <w:keepNext w:val="0"/>
        <w:keepLines w:val="0"/>
        <w:pageBreakBefore w:val="0"/>
        <w:kinsoku/>
        <w:wordWrap/>
        <w:overflowPunct/>
        <w:topLinePunct w:val="0"/>
        <w:autoSpaceDE/>
        <w:bidi w:val="0"/>
        <w:adjustRightInd w:val="0"/>
        <w:snapToGrid w:val="0"/>
        <w:spacing w:before="156" w:line="360" w:lineRule="auto"/>
        <w:jc w:val="center"/>
        <w:textAlignment w:val="auto"/>
        <w:outlineLvl w:val="0"/>
        <w:rPr>
          <w:rStyle w:val="37"/>
          <w:rFonts w:hint="eastAsia" w:ascii="宋体" w:hAnsi="宋体" w:eastAsia="宋体" w:cs="宋体"/>
          <w:color w:val="auto"/>
          <w:sz w:val="30"/>
          <w:szCs w:val="30"/>
          <w:highlight w:val="none"/>
        </w:rPr>
      </w:pPr>
    </w:p>
    <w:p>
      <w:pPr>
        <w:keepNext w:val="0"/>
        <w:keepLines w:val="0"/>
        <w:pageBreakBefore w:val="0"/>
        <w:kinsoku/>
        <w:wordWrap/>
        <w:overflowPunct/>
        <w:topLinePunct w:val="0"/>
        <w:autoSpaceDE/>
        <w:bidi w:val="0"/>
        <w:adjustRightInd w:val="0"/>
        <w:snapToGrid w:val="0"/>
        <w:spacing w:before="156" w:line="360" w:lineRule="auto"/>
        <w:jc w:val="center"/>
        <w:textAlignment w:val="auto"/>
        <w:outlineLvl w:val="0"/>
        <w:rPr>
          <w:rStyle w:val="37"/>
          <w:rFonts w:hint="eastAsia" w:ascii="宋体" w:hAnsi="宋体" w:eastAsia="宋体" w:cs="宋体"/>
          <w:color w:val="auto"/>
          <w:sz w:val="30"/>
          <w:szCs w:val="30"/>
          <w:highlight w:val="none"/>
        </w:rPr>
      </w:pPr>
    </w:p>
    <w:p>
      <w:pPr>
        <w:keepNext w:val="0"/>
        <w:keepLines w:val="0"/>
        <w:pageBreakBefore w:val="0"/>
        <w:kinsoku/>
        <w:wordWrap/>
        <w:overflowPunct/>
        <w:topLinePunct w:val="0"/>
        <w:autoSpaceDE/>
        <w:bidi w:val="0"/>
        <w:adjustRightInd w:val="0"/>
        <w:snapToGrid w:val="0"/>
        <w:spacing w:before="156" w:line="360" w:lineRule="auto"/>
        <w:jc w:val="center"/>
        <w:textAlignment w:val="auto"/>
        <w:outlineLvl w:val="0"/>
        <w:rPr>
          <w:rStyle w:val="37"/>
          <w:rFonts w:hint="eastAsia" w:ascii="宋体" w:hAnsi="宋体" w:eastAsia="宋体" w:cs="宋体"/>
          <w:color w:val="auto"/>
          <w:sz w:val="30"/>
          <w:szCs w:val="30"/>
          <w:highlight w:val="none"/>
        </w:rPr>
      </w:pPr>
    </w:p>
    <w:p>
      <w:pPr>
        <w:keepNext w:val="0"/>
        <w:keepLines w:val="0"/>
        <w:pageBreakBefore w:val="0"/>
        <w:kinsoku/>
        <w:wordWrap/>
        <w:overflowPunct/>
        <w:topLinePunct w:val="0"/>
        <w:autoSpaceDE/>
        <w:bidi w:val="0"/>
        <w:adjustRightInd w:val="0"/>
        <w:snapToGrid w:val="0"/>
        <w:spacing w:before="156" w:line="360" w:lineRule="auto"/>
        <w:jc w:val="center"/>
        <w:textAlignment w:val="auto"/>
        <w:outlineLvl w:val="0"/>
        <w:rPr>
          <w:rStyle w:val="37"/>
          <w:rFonts w:hint="eastAsia" w:ascii="宋体" w:hAnsi="宋体" w:eastAsia="宋体" w:cs="宋体"/>
          <w:color w:val="auto"/>
          <w:sz w:val="30"/>
          <w:szCs w:val="30"/>
          <w:highlight w:val="none"/>
          <w:lang w:eastAsia="zh-CN"/>
        </w:rPr>
      </w:pPr>
      <w:r>
        <w:rPr>
          <w:rStyle w:val="37"/>
          <w:rFonts w:hint="eastAsia" w:ascii="宋体" w:hAnsi="宋体" w:eastAsia="宋体" w:cs="宋体"/>
          <w:color w:val="auto"/>
          <w:sz w:val="30"/>
          <w:szCs w:val="30"/>
          <w:highlight w:val="none"/>
        </w:rPr>
        <w:t>第</w:t>
      </w:r>
      <w:r>
        <w:rPr>
          <w:rStyle w:val="37"/>
          <w:rFonts w:hint="eastAsia" w:ascii="宋体" w:hAnsi="宋体" w:cs="宋体"/>
          <w:color w:val="auto"/>
          <w:sz w:val="30"/>
          <w:szCs w:val="30"/>
          <w:highlight w:val="none"/>
          <w:lang w:eastAsia="zh-CN"/>
        </w:rPr>
        <w:t>四</w:t>
      </w:r>
      <w:r>
        <w:rPr>
          <w:rStyle w:val="37"/>
          <w:rFonts w:hint="eastAsia" w:ascii="宋体" w:hAnsi="宋体" w:eastAsia="宋体" w:cs="宋体"/>
          <w:color w:val="auto"/>
          <w:sz w:val="30"/>
          <w:szCs w:val="30"/>
          <w:highlight w:val="none"/>
        </w:rPr>
        <w:t>章  合同草案条款</w:t>
      </w:r>
      <w:bookmarkEnd w:id="101"/>
      <w:bookmarkEnd w:id="102"/>
    </w:p>
    <w:p>
      <w:pPr>
        <w:tabs>
          <w:tab w:val="left" w:pos="8820"/>
          <w:tab w:val="left" w:pos="9345"/>
          <w:tab w:val="left" w:pos="9765"/>
        </w:tabs>
        <w:adjustRightInd w:val="0"/>
        <w:snapToGrid w:val="0"/>
        <w:spacing w:before="156" w:line="360" w:lineRule="auto"/>
        <w:jc w:val="center"/>
        <w:outlineLvl w:val="1"/>
        <w:rPr>
          <w:rFonts w:hint="eastAsia" w:ascii="宋体" w:hAnsi="宋体" w:eastAsia="宋体" w:cs="宋体"/>
          <w:b/>
          <w:color w:val="auto"/>
          <w:sz w:val="28"/>
          <w:szCs w:val="28"/>
          <w:highlight w:val="none"/>
        </w:rPr>
      </w:pPr>
      <w:bookmarkStart w:id="103" w:name="_Toc1557"/>
      <w:r>
        <w:rPr>
          <w:rFonts w:hint="eastAsia" w:ascii="宋体" w:hAnsi="宋体" w:eastAsia="宋体" w:cs="宋体"/>
          <w:b/>
          <w:color w:val="auto"/>
          <w:sz w:val="28"/>
          <w:szCs w:val="28"/>
          <w:highlight w:val="none"/>
        </w:rPr>
        <w:t>一、政府采购合同协议书</w:t>
      </w:r>
      <w:bookmarkEnd w:id="103"/>
    </w:p>
    <w:p>
      <w:pPr>
        <w:spacing w:line="360" w:lineRule="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采购合同编号：</w:t>
      </w:r>
      <w:r>
        <w:rPr>
          <w:rFonts w:hint="eastAsia" w:ascii="宋体" w:hAnsi="宋体" w:eastAsia="宋体" w:cs="宋体"/>
          <w:color w:val="auto"/>
          <w:szCs w:val="21"/>
          <w:highlight w:val="none"/>
          <w:u w:val="single"/>
        </w:rPr>
        <w:t xml:space="preserve">                 </w:t>
      </w:r>
    </w:p>
    <w:p>
      <w:pPr>
        <w:adjustRightInd w:val="0"/>
        <w:snapToGrid w:val="0"/>
        <w:spacing w:before="156" w:line="360" w:lineRule="auto"/>
        <w:jc w:val="center"/>
        <w:rPr>
          <w:rFonts w:hint="eastAsia" w:ascii="宋体" w:hAnsi="宋体" w:eastAsia="宋体" w:cs="宋体"/>
          <w:b/>
          <w:color w:val="auto"/>
          <w:szCs w:val="21"/>
          <w:highlight w:val="none"/>
        </w:rPr>
      </w:pPr>
    </w:p>
    <w:p>
      <w:pPr>
        <w:adjustRightInd w:val="0"/>
        <w:snapToGrid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采购人（全称）：</w:t>
      </w:r>
      <w:r>
        <w:rPr>
          <w:rFonts w:hint="eastAsia" w:ascii="宋体" w:hAnsi="宋体" w:eastAsia="宋体" w:cs="宋体"/>
          <w:color w:val="auto"/>
          <w:szCs w:val="21"/>
          <w:highlight w:val="none"/>
          <w:u w:val="single"/>
          <w:lang w:val="en-US" w:eastAsia="zh-CN"/>
        </w:rPr>
        <w:t xml:space="preserve"> </w:t>
      </w:r>
      <w:r>
        <w:rPr>
          <w:rFonts w:hint="eastAsia" w:ascii="宋体" w:hAnsi="宋体" w:cs="宋体"/>
          <w:color w:val="auto"/>
          <w:szCs w:val="21"/>
          <w:highlight w:val="none"/>
          <w:u w:val="single"/>
          <w:lang w:eastAsia="zh-CN"/>
        </w:rPr>
        <w:t>隆回县自然资源局</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甲方</w:t>
      </w:r>
      <w:r>
        <w:rPr>
          <w:rFonts w:hint="eastAsia" w:ascii="宋体" w:hAnsi="宋体" w:eastAsia="宋体" w:cs="宋体"/>
          <w:color w:val="auto"/>
          <w:szCs w:val="21"/>
          <w:highlight w:val="none"/>
        </w:rPr>
        <w:t>）</w:t>
      </w:r>
    </w:p>
    <w:p>
      <w:pPr>
        <w:adjustRightInd w:val="0"/>
        <w:snapToGrid w:val="0"/>
        <w:spacing w:line="360" w:lineRule="auto"/>
        <w:ind w:firstLine="48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供应商（全称）：</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 xml:space="preserve">                 </w:t>
      </w:r>
      <w:r>
        <w:rPr>
          <w:rFonts w:hint="eastAsia" w:ascii="宋体" w:hAnsi="宋体" w:eastAsia="宋体" w:cs="宋体"/>
          <w:color w:val="auto"/>
          <w:szCs w:val="21"/>
          <w:highlight w:val="none"/>
        </w:rPr>
        <w:t>（乙方）</w:t>
      </w:r>
    </w:p>
    <w:p>
      <w:pPr>
        <w:pStyle w:val="11"/>
        <w:adjustRightInd w:val="0"/>
        <w:snapToGrid w:val="0"/>
        <w:spacing w:after="0" w:line="360" w:lineRule="auto"/>
        <w:ind w:left="0" w:leftChars="0" w:firstLine="480" w:firstLineChars="200"/>
        <w:rPr>
          <w:rFonts w:hint="eastAsia" w:ascii="宋体" w:hAnsi="宋体" w:eastAsia="宋体" w:cs="宋体"/>
          <w:color w:val="auto"/>
          <w:szCs w:val="21"/>
          <w:highlight w:val="none"/>
        </w:rPr>
      </w:pPr>
    </w:p>
    <w:p>
      <w:pPr>
        <w:pStyle w:val="11"/>
        <w:adjustRightInd w:val="0"/>
        <w:snapToGrid w:val="0"/>
        <w:spacing w:after="0" w:line="360" w:lineRule="auto"/>
        <w:ind w:left="0" w:leftChars="0" w:firstLine="480" w:firstLineChars="200"/>
        <w:rPr>
          <w:rFonts w:hint="eastAsia" w:ascii="宋体" w:hAnsi="宋体"/>
          <w:color w:val="auto"/>
          <w:szCs w:val="21"/>
          <w:highlight w:val="none"/>
        </w:rPr>
      </w:pPr>
      <w:r>
        <w:rPr>
          <w:rFonts w:hint="eastAsia" w:ascii="宋体" w:hAnsi="宋体"/>
          <w:color w:val="auto"/>
          <w:szCs w:val="21"/>
          <w:highlight w:val="none"/>
        </w:rPr>
        <w:t>为了保护甲、乙双方合法权益，根据《中华人民共和国合同法》、《中华人民共和国政府采购法》及其他有关法律、法规、规章，双方签订本合同协议书。</w:t>
      </w:r>
    </w:p>
    <w:p>
      <w:pPr>
        <w:adjustRightInd w:val="0"/>
        <w:snapToGrid w:val="0"/>
        <w:spacing w:line="360" w:lineRule="auto"/>
        <w:ind w:firstLine="482" w:firstLineChars="200"/>
        <w:outlineLvl w:val="2"/>
        <w:rPr>
          <w:rFonts w:hint="eastAsia" w:ascii="宋体" w:hAnsi="宋体"/>
          <w:b/>
          <w:color w:val="auto"/>
          <w:szCs w:val="21"/>
          <w:highlight w:val="none"/>
        </w:rPr>
      </w:pPr>
      <w:bookmarkStart w:id="104" w:name="_Toc2225"/>
      <w:r>
        <w:rPr>
          <w:rFonts w:hint="eastAsia" w:ascii="宋体" w:hAnsi="宋体"/>
          <w:b/>
          <w:color w:val="auto"/>
          <w:szCs w:val="21"/>
          <w:highlight w:val="none"/>
        </w:rPr>
        <w:t>1.项目信息</w:t>
      </w:r>
      <w:bookmarkEnd w:id="104"/>
    </w:p>
    <w:p>
      <w:pPr>
        <w:pStyle w:val="11"/>
        <w:adjustRightInd w:val="0"/>
        <w:snapToGrid w:val="0"/>
        <w:spacing w:after="0" w:line="360" w:lineRule="auto"/>
        <w:rPr>
          <w:rFonts w:hint="eastAsia" w:ascii="宋体" w:hAnsi="宋体" w:eastAsia="宋体"/>
          <w:color w:val="auto"/>
          <w:szCs w:val="21"/>
          <w:highlight w:val="none"/>
          <w:lang w:eastAsia="zh-CN"/>
        </w:rPr>
      </w:pPr>
      <w:r>
        <w:rPr>
          <w:rFonts w:hint="eastAsia" w:ascii="宋体" w:hAnsi="宋体"/>
          <w:color w:val="auto"/>
          <w:szCs w:val="21"/>
          <w:highlight w:val="none"/>
        </w:rPr>
        <w:t>（1）采购项目名称：</w:t>
      </w:r>
      <w:r>
        <w:rPr>
          <w:rFonts w:hint="eastAsia" w:ascii="宋体" w:hAnsi="宋体"/>
          <w:color w:val="auto"/>
          <w:szCs w:val="21"/>
          <w:highlight w:val="none"/>
          <w:u w:val="single"/>
          <w:lang w:eastAsia="zh-CN"/>
        </w:rPr>
        <w:t>隆回县耕地保护国土空间专项规划和耕地保护一张图项目</w:t>
      </w:r>
    </w:p>
    <w:p>
      <w:pPr>
        <w:pStyle w:val="11"/>
        <w:adjustRightInd w:val="0"/>
        <w:snapToGrid w:val="0"/>
        <w:spacing w:after="0" w:line="360" w:lineRule="auto"/>
        <w:rPr>
          <w:rFonts w:hint="default" w:ascii="宋体" w:hAnsi="宋体" w:eastAsia="宋体"/>
          <w:color w:val="auto"/>
          <w:szCs w:val="21"/>
          <w:highlight w:val="none"/>
          <w:lang w:val="en-US" w:eastAsia="zh-CN"/>
        </w:rPr>
      </w:pPr>
      <w:r>
        <w:rPr>
          <w:rFonts w:hint="eastAsia" w:ascii="宋体" w:hAnsi="宋体"/>
          <w:color w:val="auto"/>
          <w:szCs w:val="21"/>
          <w:highlight w:val="none"/>
        </w:rPr>
        <w:t>（2）采购计划编号：</w:t>
      </w:r>
      <w:r>
        <w:rPr>
          <w:rFonts w:hint="eastAsia" w:ascii="宋体" w:hAnsi="宋体"/>
          <w:color w:val="auto"/>
          <w:szCs w:val="21"/>
          <w:highlight w:val="none"/>
          <w:u w:val="single"/>
        </w:rPr>
        <w:t>隆回财采计[202</w:t>
      </w:r>
      <w:r>
        <w:rPr>
          <w:rFonts w:hint="eastAsia" w:ascii="宋体" w:hAnsi="宋体"/>
          <w:color w:val="auto"/>
          <w:szCs w:val="21"/>
          <w:highlight w:val="none"/>
          <w:u w:val="single"/>
          <w:lang w:val="en-US" w:eastAsia="zh-CN"/>
        </w:rPr>
        <w:t>1</w:t>
      </w:r>
      <w:r>
        <w:rPr>
          <w:rFonts w:hint="eastAsia" w:ascii="宋体" w:hAnsi="宋体"/>
          <w:color w:val="auto"/>
          <w:szCs w:val="21"/>
          <w:highlight w:val="none"/>
          <w:u w:val="single"/>
        </w:rPr>
        <w:t>]</w:t>
      </w:r>
      <w:r>
        <w:rPr>
          <w:rFonts w:hint="eastAsia" w:ascii="宋体" w:hAnsi="宋体"/>
          <w:color w:val="auto"/>
          <w:szCs w:val="21"/>
          <w:highlight w:val="none"/>
          <w:u w:val="single"/>
          <w:lang w:val="en-US" w:eastAsia="zh-CN"/>
        </w:rPr>
        <w:t xml:space="preserve">     </w:t>
      </w:r>
    </w:p>
    <w:p>
      <w:pPr>
        <w:adjustRightInd w:val="0"/>
        <w:snapToGri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rPr>
        <w:t>（3）项目内容：</w:t>
      </w:r>
      <w:r>
        <w:rPr>
          <w:rFonts w:hint="eastAsia" w:ascii="宋体" w:hAnsi="宋体"/>
          <w:color w:val="auto"/>
          <w:szCs w:val="21"/>
          <w:highlight w:val="none"/>
          <w:u w:val="single"/>
        </w:rPr>
        <w:t xml:space="preserve">                             </w:t>
      </w:r>
    </w:p>
    <w:p>
      <w:pPr>
        <w:adjustRightInd w:val="0"/>
        <w:snapToGrid w:val="0"/>
        <w:spacing w:line="360" w:lineRule="auto"/>
        <w:ind w:firstLine="960" w:firstLineChars="400"/>
        <w:rPr>
          <w:rFonts w:hint="eastAsia" w:ascii="宋体" w:hAnsi="宋体"/>
          <w:color w:val="auto"/>
          <w:szCs w:val="21"/>
          <w:highlight w:val="none"/>
        </w:rPr>
      </w:pPr>
      <w:r>
        <w:rPr>
          <w:rFonts w:hint="eastAsia" w:ascii="宋体" w:hAnsi="宋体"/>
          <w:color w:val="auto"/>
          <w:szCs w:val="21"/>
          <w:highlight w:val="none"/>
        </w:rPr>
        <w:t>（工程项目）承包范围：</w:t>
      </w:r>
      <w:r>
        <w:rPr>
          <w:rFonts w:hint="eastAsia" w:ascii="宋体" w:hAnsi="宋体"/>
          <w:color w:val="auto"/>
          <w:szCs w:val="21"/>
          <w:highlight w:val="none"/>
          <w:u w:val="single"/>
        </w:rPr>
        <w:t xml:space="preserve">        /         </w:t>
      </w:r>
      <w:r>
        <w:rPr>
          <w:rFonts w:hint="eastAsia" w:ascii="宋体" w:hAnsi="宋体"/>
          <w:color w:val="auto"/>
          <w:szCs w:val="21"/>
          <w:highlight w:val="none"/>
        </w:rPr>
        <w:t>项目经理：</w:t>
      </w:r>
      <w:r>
        <w:rPr>
          <w:rFonts w:hint="eastAsia" w:ascii="宋体" w:hAnsi="宋体"/>
          <w:color w:val="auto"/>
          <w:szCs w:val="21"/>
          <w:highlight w:val="none"/>
          <w:u w:val="single"/>
        </w:rPr>
        <w:t xml:space="preserve">      /        </w:t>
      </w:r>
      <w:r>
        <w:rPr>
          <w:rFonts w:hint="eastAsia" w:ascii="宋体" w:hAnsi="宋体"/>
          <w:color w:val="auto"/>
          <w:szCs w:val="21"/>
          <w:highlight w:val="none"/>
        </w:rPr>
        <w:t xml:space="preserve"> 。</w:t>
      </w:r>
    </w:p>
    <w:p>
      <w:pPr>
        <w:adjustRightInd w:val="0"/>
        <w:snapToGrid w:val="0"/>
        <w:spacing w:line="360" w:lineRule="auto"/>
        <w:ind w:firstLine="472" w:firstLineChars="196"/>
        <w:outlineLvl w:val="2"/>
        <w:rPr>
          <w:rFonts w:hint="eastAsia" w:ascii="宋体" w:hAnsi="宋体"/>
          <w:b/>
          <w:color w:val="auto"/>
          <w:szCs w:val="21"/>
          <w:highlight w:val="none"/>
        </w:rPr>
      </w:pPr>
      <w:bookmarkStart w:id="105" w:name="_Toc5556"/>
      <w:r>
        <w:rPr>
          <w:rFonts w:hint="eastAsia" w:ascii="宋体" w:hAnsi="宋体"/>
          <w:b/>
          <w:color w:val="auto"/>
          <w:szCs w:val="21"/>
          <w:highlight w:val="none"/>
        </w:rPr>
        <w:t>2.合同金额</w:t>
      </w:r>
      <w:bookmarkEnd w:id="105"/>
    </w:p>
    <w:p>
      <w:pPr>
        <w:adjustRightInd w:val="0"/>
        <w:snapToGri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rPr>
        <w:t>（1）合同金额小写：</w:t>
      </w:r>
      <w:r>
        <w:rPr>
          <w:rFonts w:hint="eastAsia" w:ascii="宋体" w:hAnsi="宋体"/>
          <w:color w:val="auto"/>
          <w:szCs w:val="21"/>
          <w:highlight w:val="none"/>
          <w:u w:val="single"/>
        </w:rPr>
        <w:t xml:space="preserve">                      </w:t>
      </w:r>
    </w:p>
    <w:p>
      <w:pPr>
        <w:adjustRightInd w:val="0"/>
        <w:snapToGrid w:val="0"/>
        <w:spacing w:line="360" w:lineRule="auto"/>
        <w:ind w:firstLine="1440" w:firstLineChars="600"/>
        <w:rPr>
          <w:rFonts w:hint="eastAsia" w:ascii="宋体" w:hAnsi="宋体"/>
          <w:b/>
          <w:color w:val="auto"/>
          <w:szCs w:val="21"/>
          <w:highlight w:val="none"/>
        </w:rPr>
      </w:pPr>
      <w:r>
        <w:rPr>
          <w:rFonts w:hint="eastAsia" w:ascii="宋体" w:hAnsi="宋体"/>
          <w:color w:val="auto"/>
          <w:szCs w:val="21"/>
          <w:highlight w:val="none"/>
        </w:rPr>
        <w:t>大写：</w:t>
      </w:r>
      <w:r>
        <w:rPr>
          <w:rFonts w:hint="eastAsia" w:ascii="宋体" w:hAnsi="宋体"/>
          <w:color w:val="auto"/>
          <w:szCs w:val="21"/>
          <w:highlight w:val="none"/>
          <w:u w:val="single"/>
        </w:rPr>
        <w:t xml:space="preserve">                      </w:t>
      </w:r>
    </w:p>
    <w:p>
      <w:pPr>
        <w:adjustRightInd w:val="0"/>
        <w:snapToGri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rPr>
        <w:t>（2）具体标的见附件。</w:t>
      </w:r>
    </w:p>
    <w:p>
      <w:pPr>
        <w:adjustRightInd w:val="0"/>
        <w:snapToGri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rPr>
        <w:t>（3）合同价格形式：</w:t>
      </w:r>
      <w:r>
        <w:rPr>
          <w:rFonts w:hint="eastAsia" w:ascii="宋体" w:hAnsi="宋体"/>
          <w:color w:val="auto"/>
          <w:szCs w:val="21"/>
          <w:highlight w:val="none"/>
          <w:u w:val="single"/>
        </w:rPr>
        <w:t xml:space="preserve"> 固定总价合同     </w:t>
      </w:r>
      <w:r>
        <w:rPr>
          <w:rFonts w:hint="eastAsia" w:ascii="宋体" w:hAnsi="宋体"/>
          <w:color w:val="auto"/>
          <w:szCs w:val="21"/>
          <w:highlight w:val="none"/>
        </w:rPr>
        <w:t xml:space="preserve"> 。</w:t>
      </w:r>
    </w:p>
    <w:p>
      <w:pPr>
        <w:adjustRightInd w:val="0"/>
        <w:snapToGrid w:val="0"/>
        <w:spacing w:line="360" w:lineRule="auto"/>
        <w:ind w:firstLine="482" w:firstLineChars="200"/>
        <w:outlineLvl w:val="2"/>
        <w:rPr>
          <w:rFonts w:hint="eastAsia" w:ascii="宋体" w:hAnsi="宋体"/>
          <w:color w:val="auto"/>
          <w:szCs w:val="21"/>
          <w:highlight w:val="none"/>
          <w:u w:val="single"/>
        </w:rPr>
      </w:pPr>
      <w:bookmarkStart w:id="106" w:name="_Toc21523"/>
      <w:r>
        <w:rPr>
          <w:rFonts w:hint="eastAsia" w:ascii="宋体" w:hAnsi="宋体"/>
          <w:b/>
          <w:color w:val="auto"/>
          <w:szCs w:val="21"/>
          <w:highlight w:val="none"/>
        </w:rPr>
        <w:t>3.履行合同的时间、地点及方式</w:t>
      </w:r>
      <w:bookmarkEnd w:id="106"/>
      <w:r>
        <w:rPr>
          <w:rFonts w:hint="eastAsia" w:ascii="宋体" w:hAnsi="宋体"/>
          <w:color w:val="auto"/>
          <w:szCs w:val="21"/>
          <w:highlight w:val="none"/>
          <w:u w:val="single"/>
        </w:rPr>
        <w:t xml:space="preserve"> </w:t>
      </w:r>
    </w:p>
    <w:p>
      <w:pPr>
        <w:adjustRightInd w:val="0"/>
        <w:snapToGrid w:val="0"/>
        <w:spacing w:line="360" w:lineRule="auto"/>
        <w:ind w:firstLine="720" w:firstLineChars="300"/>
        <w:rPr>
          <w:rFonts w:hint="eastAsia" w:ascii="宋体" w:hAnsi="宋体"/>
          <w:color w:val="auto"/>
          <w:szCs w:val="21"/>
          <w:highlight w:val="none"/>
        </w:rPr>
      </w:pPr>
      <w:r>
        <w:rPr>
          <w:rFonts w:hint="eastAsia" w:ascii="宋体" w:hAnsi="宋体"/>
          <w:color w:val="auto"/>
          <w:szCs w:val="21"/>
          <w:highlight w:val="none"/>
        </w:rPr>
        <w:t>起始日期：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日，完成日期：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日。总日历天数：</w:t>
      </w:r>
      <w:r>
        <w:rPr>
          <w:rFonts w:hint="eastAsia" w:ascii="宋体" w:hAnsi="宋体"/>
          <w:color w:val="auto"/>
          <w:szCs w:val="21"/>
          <w:highlight w:val="none"/>
          <w:u w:val="single"/>
        </w:rPr>
        <w:t xml:space="preserve">     </w:t>
      </w:r>
      <w:r>
        <w:rPr>
          <w:rFonts w:hint="eastAsia" w:ascii="宋体" w:hAnsi="宋体"/>
          <w:color w:val="auto"/>
          <w:szCs w:val="21"/>
          <w:highlight w:val="none"/>
        </w:rPr>
        <w:t>天。</w:t>
      </w:r>
    </w:p>
    <w:p>
      <w:pPr>
        <w:adjustRightInd w:val="0"/>
        <w:snapToGrid w:val="0"/>
        <w:spacing w:line="360" w:lineRule="auto"/>
        <w:ind w:firstLine="720" w:firstLineChars="300"/>
        <w:rPr>
          <w:rFonts w:hint="eastAsia" w:ascii="宋体" w:hAnsi="宋体"/>
          <w:color w:val="auto"/>
          <w:szCs w:val="21"/>
          <w:highlight w:val="none"/>
          <w:u w:val="single"/>
        </w:rPr>
      </w:pPr>
      <w:r>
        <w:rPr>
          <w:rFonts w:hint="eastAsia" w:ascii="宋体" w:hAnsi="宋体"/>
          <w:color w:val="auto"/>
          <w:szCs w:val="21"/>
          <w:highlight w:val="none"/>
        </w:rPr>
        <w:t>地点</w:t>
      </w:r>
      <w:r>
        <w:rPr>
          <w:rFonts w:hint="eastAsia" w:ascii="宋体" w:hAnsi="宋体"/>
          <w:b/>
          <w:color w:val="auto"/>
          <w:szCs w:val="21"/>
          <w:highlight w:val="none"/>
        </w:rPr>
        <w:t>：</w:t>
      </w:r>
      <w:r>
        <w:rPr>
          <w:rFonts w:hint="eastAsia" w:ascii="宋体" w:hAnsi="宋体"/>
          <w:color w:val="auto"/>
          <w:szCs w:val="21"/>
          <w:highlight w:val="none"/>
          <w:u w:val="single"/>
        </w:rPr>
        <w:t xml:space="preserve">                             </w:t>
      </w:r>
    </w:p>
    <w:p>
      <w:pPr>
        <w:adjustRightInd w:val="0"/>
        <w:snapToGrid w:val="0"/>
        <w:spacing w:line="360" w:lineRule="auto"/>
        <w:ind w:firstLine="720" w:firstLineChars="300"/>
        <w:rPr>
          <w:rFonts w:hint="eastAsia" w:ascii="宋体" w:hAnsi="宋体"/>
          <w:color w:val="auto"/>
          <w:szCs w:val="21"/>
          <w:highlight w:val="none"/>
        </w:rPr>
      </w:pPr>
      <w:r>
        <w:rPr>
          <w:rFonts w:hint="eastAsia" w:ascii="宋体" w:hAnsi="宋体"/>
          <w:color w:val="auto"/>
          <w:szCs w:val="21"/>
          <w:highlight w:val="none"/>
        </w:rPr>
        <w:t>方式：</w:t>
      </w:r>
      <w:r>
        <w:rPr>
          <w:rFonts w:hint="eastAsia" w:ascii="宋体" w:hAnsi="宋体"/>
          <w:color w:val="auto"/>
          <w:szCs w:val="21"/>
          <w:highlight w:val="none"/>
          <w:u w:val="single"/>
        </w:rPr>
        <w:t xml:space="preserve">                             </w:t>
      </w:r>
    </w:p>
    <w:p>
      <w:pPr>
        <w:adjustRightInd w:val="0"/>
        <w:snapToGrid w:val="0"/>
        <w:spacing w:line="360" w:lineRule="auto"/>
        <w:ind w:firstLine="482" w:firstLineChars="200"/>
        <w:outlineLvl w:val="2"/>
        <w:rPr>
          <w:rFonts w:hint="eastAsia" w:ascii="宋体" w:hAnsi="宋体"/>
          <w:b/>
          <w:color w:val="auto"/>
          <w:szCs w:val="21"/>
          <w:highlight w:val="none"/>
        </w:rPr>
      </w:pPr>
      <w:bookmarkStart w:id="107" w:name="_Toc15600"/>
      <w:r>
        <w:rPr>
          <w:rFonts w:hint="eastAsia" w:ascii="宋体" w:hAnsi="宋体"/>
          <w:b/>
          <w:color w:val="auto"/>
          <w:szCs w:val="21"/>
          <w:highlight w:val="none"/>
        </w:rPr>
        <w:t>4.付款：</w:t>
      </w:r>
      <w:bookmarkEnd w:id="107"/>
    </w:p>
    <w:p>
      <w:pPr>
        <w:adjustRightInd w:val="0"/>
        <w:snapToGrid w:val="0"/>
        <w:spacing w:line="360" w:lineRule="auto"/>
        <w:ind w:firstLine="720" w:firstLineChars="300"/>
        <w:rPr>
          <w:rFonts w:hint="eastAsia" w:ascii="宋体" w:hAnsi="宋体"/>
          <w:bCs/>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adjustRightInd w:val="0"/>
        <w:snapToGrid w:val="0"/>
        <w:spacing w:line="360" w:lineRule="auto"/>
        <w:ind w:firstLine="720" w:firstLineChars="300"/>
        <w:rPr>
          <w:rFonts w:hint="eastAsia" w:ascii="宋体" w:hAnsi="宋体"/>
          <w:color w:val="auto"/>
          <w:szCs w:val="21"/>
          <w:highlight w:val="none"/>
        </w:rPr>
      </w:pPr>
      <w:r>
        <w:rPr>
          <w:rFonts w:hint="eastAsia" w:ascii="宋体" w:hAnsi="宋体"/>
          <w:bCs/>
          <w:color w:val="auto"/>
          <w:szCs w:val="21"/>
          <w:highlight w:val="none"/>
        </w:rPr>
        <w:t>2、根据采购文件的约定</w:t>
      </w:r>
      <w:r>
        <w:rPr>
          <w:rFonts w:hint="eastAsia" w:ascii="宋体" w:hAnsi="宋体"/>
          <w:bCs/>
          <w:color w:val="auto"/>
          <w:szCs w:val="21"/>
          <w:highlight w:val="none"/>
          <w:lang w:eastAsia="zh-CN"/>
        </w:rPr>
        <w:t>需要提交</w:t>
      </w:r>
      <w:r>
        <w:rPr>
          <w:rFonts w:hint="eastAsia" w:ascii="宋体" w:hAnsi="宋体"/>
          <w:bCs/>
          <w:color w:val="auto"/>
          <w:szCs w:val="21"/>
          <w:highlight w:val="none"/>
        </w:rPr>
        <w:t>预付款</w:t>
      </w:r>
      <w:r>
        <w:rPr>
          <w:rFonts w:hint="eastAsia" w:ascii="宋体" w:hAnsi="宋体"/>
          <w:bCs/>
          <w:color w:val="auto"/>
          <w:szCs w:val="21"/>
          <w:highlight w:val="none"/>
          <w:lang w:eastAsia="zh-CN"/>
        </w:rPr>
        <w:t>的</w:t>
      </w:r>
      <w:r>
        <w:rPr>
          <w:rFonts w:hint="eastAsia" w:ascii="宋体" w:hAnsi="宋体"/>
          <w:bCs/>
          <w:color w:val="auto"/>
          <w:szCs w:val="21"/>
          <w:highlight w:val="none"/>
        </w:rPr>
        <w:t>，在合同签订前提交同金额</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rPr>
        <w:t>%的履约担保。</w:t>
      </w:r>
    </w:p>
    <w:p>
      <w:pPr>
        <w:adjustRightInd w:val="0"/>
        <w:snapToGrid w:val="0"/>
        <w:spacing w:line="360" w:lineRule="auto"/>
        <w:ind w:firstLine="482" w:firstLineChars="200"/>
        <w:outlineLvl w:val="2"/>
        <w:rPr>
          <w:rFonts w:hint="eastAsia" w:ascii="宋体" w:hAnsi="宋体"/>
          <w:b/>
          <w:color w:val="auto"/>
          <w:szCs w:val="21"/>
          <w:highlight w:val="none"/>
        </w:rPr>
      </w:pPr>
      <w:bookmarkStart w:id="108" w:name="_Toc23003"/>
      <w:r>
        <w:rPr>
          <w:rFonts w:hint="eastAsia" w:ascii="宋体" w:hAnsi="宋体"/>
          <w:b/>
          <w:color w:val="auto"/>
          <w:szCs w:val="21"/>
          <w:highlight w:val="none"/>
        </w:rPr>
        <w:t>5.解决合同纠纷方式</w:t>
      </w:r>
      <w:bookmarkEnd w:id="108"/>
    </w:p>
    <w:p>
      <w:pPr>
        <w:adjustRightInd w:val="0"/>
        <w:snapToGri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rPr>
        <w:t>首先通过双方协商解决，协商解决不成，则通过以下途径之一解决纠纷：</w:t>
      </w:r>
    </w:p>
    <w:p>
      <w:pPr>
        <w:adjustRightInd w:val="0"/>
        <w:snapToGrid w:val="0"/>
        <w:spacing w:line="360" w:lineRule="auto"/>
        <w:ind w:firstLine="960" w:firstLineChars="400"/>
        <w:rPr>
          <w:rFonts w:hint="eastAsia" w:ascii="宋体" w:hAnsi="宋体"/>
          <w:color w:val="auto"/>
          <w:szCs w:val="21"/>
          <w:highlight w:val="none"/>
        </w:rPr>
      </w:pPr>
      <w:r>
        <w:rPr>
          <w:rFonts w:hint="eastAsia" w:ascii="宋体" w:hAnsi="宋体"/>
          <w:color w:val="auto"/>
          <w:szCs w:val="21"/>
          <w:highlight w:val="none"/>
        </w:rPr>
        <w:t xml:space="preserve">□ 提请仲裁       </w:t>
      </w:r>
      <w:r>
        <w:rPr>
          <w:rFonts w:hint="eastAsia" w:ascii="宋体" w:hAnsi="宋体"/>
          <w:color w:val="auto"/>
          <w:szCs w:val="21"/>
          <w:highlight w:val="none"/>
        </w:rPr>
        <w:sym w:font="Wingdings 2" w:char="0052"/>
      </w:r>
      <w:r>
        <w:rPr>
          <w:rFonts w:hint="eastAsia" w:ascii="宋体" w:hAnsi="宋体"/>
          <w:color w:val="auto"/>
          <w:szCs w:val="21"/>
          <w:highlight w:val="none"/>
        </w:rPr>
        <w:t xml:space="preserve"> 向人民法院提起诉讼</w:t>
      </w:r>
    </w:p>
    <w:p>
      <w:pPr>
        <w:adjustRightInd w:val="0"/>
        <w:snapToGrid w:val="0"/>
        <w:spacing w:line="360" w:lineRule="auto"/>
        <w:ind w:firstLine="482" w:firstLineChars="200"/>
        <w:outlineLvl w:val="2"/>
        <w:rPr>
          <w:rFonts w:hint="eastAsia" w:ascii="宋体" w:hAnsi="宋体"/>
          <w:b/>
          <w:color w:val="auto"/>
          <w:szCs w:val="21"/>
          <w:highlight w:val="none"/>
        </w:rPr>
      </w:pPr>
      <w:bookmarkStart w:id="109" w:name="_Toc29252"/>
      <w:r>
        <w:rPr>
          <w:rFonts w:hint="eastAsia" w:ascii="宋体" w:hAnsi="宋体"/>
          <w:b/>
          <w:color w:val="auto"/>
          <w:szCs w:val="21"/>
          <w:highlight w:val="none"/>
        </w:rPr>
        <w:t>6.组成合同的文件</w:t>
      </w:r>
      <w:bookmarkEnd w:id="109"/>
    </w:p>
    <w:p>
      <w:pPr>
        <w:adjustRightInd w:val="0"/>
        <w:snapToGri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rPr>
        <w:t>本协议书与下列文件一起构成合同文件，如下述文件之间有任何抵触、矛盾或歧义，应按以下顺序解释：</w:t>
      </w:r>
    </w:p>
    <w:p>
      <w:pPr>
        <w:adjustRightInd w:val="0"/>
        <w:snapToGri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rPr>
        <w:t>（1）在采购或合同履行过程中乙方作出的承诺以及双方协商达成的变更或补充协议</w:t>
      </w:r>
    </w:p>
    <w:p>
      <w:pPr>
        <w:adjustRightInd w:val="0"/>
        <w:snapToGri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rPr>
        <w:t>（2）成交通知书</w:t>
      </w:r>
    </w:p>
    <w:p>
      <w:pPr>
        <w:adjustRightInd w:val="0"/>
        <w:snapToGri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rPr>
        <w:t>（3）响应文件</w:t>
      </w:r>
    </w:p>
    <w:p>
      <w:pPr>
        <w:adjustRightInd w:val="0"/>
        <w:snapToGri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rPr>
        <w:t>（4）政府采购合同格式条款及其附件</w:t>
      </w:r>
    </w:p>
    <w:p>
      <w:pPr>
        <w:adjustRightInd w:val="0"/>
        <w:snapToGri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rPr>
        <w:t>（5）专用合同条款</w:t>
      </w:r>
    </w:p>
    <w:p>
      <w:pPr>
        <w:adjustRightInd w:val="0"/>
        <w:snapToGri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rPr>
        <w:t>（6）通用合同条款（如果有）</w:t>
      </w:r>
    </w:p>
    <w:p>
      <w:pPr>
        <w:adjustRightInd w:val="0"/>
        <w:snapToGri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rPr>
        <w:t>（7）标准、规范及有关技术文件，图纸，已标价工程量清单或预算书（如果有）</w:t>
      </w:r>
    </w:p>
    <w:p>
      <w:pPr>
        <w:adjustRightInd w:val="0"/>
        <w:snapToGri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rPr>
        <w:t>（8）其他合同文件。</w:t>
      </w:r>
    </w:p>
    <w:p>
      <w:pPr>
        <w:adjustRightInd w:val="0"/>
        <w:snapToGrid w:val="0"/>
        <w:spacing w:line="360" w:lineRule="auto"/>
        <w:ind w:firstLine="354" w:firstLineChars="147"/>
        <w:outlineLvl w:val="2"/>
        <w:rPr>
          <w:rFonts w:hint="eastAsia" w:ascii="宋体" w:hAnsi="宋体"/>
          <w:b/>
          <w:color w:val="auto"/>
          <w:szCs w:val="21"/>
          <w:highlight w:val="none"/>
        </w:rPr>
      </w:pPr>
      <w:bookmarkStart w:id="110" w:name="_Toc14969"/>
      <w:r>
        <w:rPr>
          <w:rFonts w:hint="eastAsia" w:ascii="宋体" w:hAnsi="宋体"/>
          <w:b/>
          <w:color w:val="auto"/>
          <w:szCs w:val="21"/>
          <w:highlight w:val="none"/>
        </w:rPr>
        <w:t>7.合同生效</w:t>
      </w:r>
      <w:bookmarkEnd w:id="110"/>
    </w:p>
    <w:p>
      <w:pPr>
        <w:adjustRightInd w:val="0"/>
        <w:snapToGri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rPr>
        <w:t>本合同自</w:t>
      </w:r>
      <w:r>
        <w:rPr>
          <w:rFonts w:hint="eastAsia" w:ascii="宋体" w:hAnsi="宋体"/>
          <w:color w:val="auto"/>
          <w:szCs w:val="21"/>
          <w:highlight w:val="none"/>
          <w:u w:val="single"/>
        </w:rPr>
        <w:t xml:space="preserve">                               </w:t>
      </w:r>
      <w:r>
        <w:rPr>
          <w:rFonts w:hint="eastAsia" w:ascii="宋体" w:hAnsi="宋体"/>
          <w:color w:val="auto"/>
          <w:szCs w:val="21"/>
          <w:highlight w:val="none"/>
        </w:rPr>
        <w:t>生效。</w:t>
      </w:r>
    </w:p>
    <w:p>
      <w:pPr>
        <w:adjustRightInd w:val="0"/>
        <w:snapToGrid w:val="0"/>
        <w:spacing w:line="360" w:lineRule="auto"/>
        <w:ind w:firstLine="354" w:firstLineChars="147"/>
        <w:outlineLvl w:val="2"/>
        <w:rPr>
          <w:rFonts w:hint="eastAsia" w:ascii="宋体" w:hAnsi="宋体"/>
          <w:b/>
          <w:color w:val="auto"/>
          <w:szCs w:val="21"/>
          <w:highlight w:val="none"/>
        </w:rPr>
      </w:pPr>
      <w:bookmarkStart w:id="111" w:name="_Toc20668"/>
      <w:r>
        <w:rPr>
          <w:rFonts w:hint="eastAsia" w:ascii="宋体" w:hAnsi="宋体"/>
          <w:b/>
          <w:color w:val="auto"/>
          <w:szCs w:val="21"/>
          <w:highlight w:val="none"/>
        </w:rPr>
        <w:t>8.合同份数</w:t>
      </w:r>
      <w:bookmarkEnd w:id="111"/>
    </w:p>
    <w:p>
      <w:pPr>
        <w:adjustRightInd w:val="0"/>
        <w:snapToGri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rPr>
        <w:t>本合同一式</w:t>
      </w:r>
      <w:r>
        <w:rPr>
          <w:rFonts w:hint="eastAsia" w:ascii="宋体" w:hAnsi="宋体"/>
          <w:color w:val="auto"/>
          <w:szCs w:val="21"/>
          <w:highlight w:val="none"/>
          <w:u w:val="single"/>
        </w:rPr>
        <w:t xml:space="preserve">    </w:t>
      </w:r>
      <w:r>
        <w:rPr>
          <w:rFonts w:hint="eastAsia" w:ascii="宋体" w:hAnsi="宋体"/>
          <w:color w:val="auto"/>
          <w:szCs w:val="21"/>
          <w:highlight w:val="none"/>
        </w:rPr>
        <w:t>份，采购人执</w:t>
      </w:r>
      <w:r>
        <w:rPr>
          <w:rFonts w:hint="eastAsia" w:ascii="宋体" w:hAnsi="宋体"/>
          <w:color w:val="auto"/>
          <w:szCs w:val="21"/>
          <w:highlight w:val="none"/>
          <w:u w:val="single"/>
        </w:rPr>
        <w:t xml:space="preserve">   </w:t>
      </w:r>
      <w:r>
        <w:rPr>
          <w:rFonts w:hint="eastAsia" w:ascii="宋体" w:hAnsi="宋体"/>
          <w:color w:val="auto"/>
          <w:szCs w:val="21"/>
          <w:highlight w:val="none"/>
        </w:rPr>
        <w:t>份，供应商执</w:t>
      </w:r>
      <w:r>
        <w:rPr>
          <w:rFonts w:hint="eastAsia" w:ascii="宋体" w:hAnsi="宋体"/>
          <w:color w:val="auto"/>
          <w:szCs w:val="21"/>
          <w:highlight w:val="none"/>
          <w:u w:val="single"/>
        </w:rPr>
        <w:t xml:space="preserve">   </w:t>
      </w:r>
      <w:r>
        <w:rPr>
          <w:rFonts w:hint="eastAsia" w:ascii="宋体" w:hAnsi="宋体"/>
          <w:color w:val="auto"/>
          <w:szCs w:val="21"/>
          <w:highlight w:val="none"/>
        </w:rPr>
        <w:t>份，均具有同等法律效力。</w:t>
      </w:r>
    </w:p>
    <w:p>
      <w:pPr>
        <w:adjustRightInd w:val="0"/>
        <w:snapToGrid w:val="0"/>
        <w:spacing w:line="360" w:lineRule="auto"/>
        <w:rPr>
          <w:rFonts w:hint="eastAsia" w:ascii="宋体" w:hAnsi="宋体"/>
          <w:color w:val="auto"/>
          <w:szCs w:val="21"/>
          <w:highlight w:val="none"/>
        </w:rPr>
      </w:pPr>
    </w:p>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合同订立时间：</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合同订立地点：</w:t>
      </w:r>
      <w:r>
        <w:rPr>
          <w:rFonts w:hint="eastAsia" w:ascii="宋体" w:hAnsi="宋体"/>
          <w:color w:val="auto"/>
          <w:szCs w:val="21"/>
          <w:highlight w:val="none"/>
          <w:u w:val="single"/>
        </w:rPr>
        <w:t xml:space="preserve">                           </w:t>
      </w:r>
    </w:p>
    <w:p>
      <w:pPr>
        <w:adjustRightInd w:val="0"/>
        <w:snapToGri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rPr>
        <w:t xml:space="preserve">    </w:t>
      </w:r>
    </w:p>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甲      方：（公章）                     乙      方：（公章）</w:t>
      </w:r>
    </w:p>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法定代表人：</w:t>
      </w:r>
      <w:r>
        <w:rPr>
          <w:rFonts w:hint="eastAsia" w:ascii="宋体" w:hAnsi="宋体"/>
          <w:color w:val="auto"/>
          <w:szCs w:val="21"/>
          <w:highlight w:val="none"/>
          <w:u w:val="single"/>
        </w:rPr>
        <w:t xml:space="preserve">                   </w:t>
      </w:r>
    </w:p>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委托代理人：</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委托代理人：</w:t>
      </w:r>
      <w:r>
        <w:rPr>
          <w:rFonts w:hint="eastAsia" w:ascii="宋体" w:hAnsi="宋体"/>
          <w:color w:val="auto"/>
          <w:szCs w:val="21"/>
          <w:highlight w:val="none"/>
          <w:u w:val="single"/>
        </w:rPr>
        <w:t xml:space="preserve">                   </w:t>
      </w:r>
    </w:p>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电      话：</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电      话：</w:t>
      </w:r>
      <w:r>
        <w:rPr>
          <w:rFonts w:hint="eastAsia" w:ascii="宋体" w:hAnsi="宋体"/>
          <w:color w:val="auto"/>
          <w:szCs w:val="21"/>
          <w:highlight w:val="none"/>
          <w:u w:val="single"/>
        </w:rPr>
        <w:t xml:space="preserve">                   </w:t>
      </w:r>
    </w:p>
    <w:p>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传      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传      真：</w:t>
      </w:r>
      <w:r>
        <w:rPr>
          <w:rFonts w:hint="eastAsia" w:ascii="宋体" w:hAnsi="宋体"/>
          <w:color w:val="auto"/>
          <w:szCs w:val="21"/>
          <w:highlight w:val="none"/>
          <w:u w:val="single"/>
        </w:rPr>
        <w:t xml:space="preserve">                   </w:t>
      </w:r>
    </w:p>
    <w:p>
      <w:pPr>
        <w:adjustRightInd w:val="0"/>
        <w:snapToGrid w:val="0"/>
        <w:spacing w:line="360" w:lineRule="auto"/>
        <w:ind w:firstLine="480" w:firstLineChars="200"/>
        <w:rPr>
          <w:rFonts w:hint="eastAsia" w:ascii="宋体" w:hAnsi="宋体"/>
          <w:color w:val="auto"/>
          <w:szCs w:val="21"/>
          <w:highlight w:val="none"/>
        </w:rPr>
      </w:pPr>
      <w:r>
        <w:rPr>
          <w:rFonts w:hint="eastAsia" w:ascii="宋体" w:hAnsi="宋体"/>
          <w:color w:val="auto"/>
          <w:szCs w:val="21"/>
          <w:highlight w:val="none"/>
        </w:rPr>
        <w:t xml:space="preserve">                                    开 户 银 行：</w:t>
      </w:r>
      <w:r>
        <w:rPr>
          <w:rFonts w:hint="eastAsia" w:ascii="宋体" w:hAnsi="宋体"/>
          <w:color w:val="auto"/>
          <w:szCs w:val="21"/>
          <w:highlight w:val="none"/>
          <w:u w:val="single"/>
        </w:rPr>
        <w:t xml:space="preserve">                   </w:t>
      </w:r>
    </w:p>
    <w:p>
      <w:pPr>
        <w:adjustRightInd w:val="0"/>
        <w:snapToGrid w:val="0"/>
        <w:spacing w:line="360" w:lineRule="auto"/>
        <w:jc w:val="center"/>
        <w:outlineLvl w:val="2"/>
        <w:rPr>
          <w:rFonts w:hint="eastAsia" w:ascii="宋体" w:hAnsi="宋体"/>
          <w:b/>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w:t>
      </w:r>
      <w:bookmarkStart w:id="112" w:name="_Toc6074"/>
      <w:r>
        <w:rPr>
          <w:rFonts w:hint="eastAsia" w:ascii="宋体" w:hAnsi="宋体"/>
          <w:color w:val="auto"/>
          <w:szCs w:val="21"/>
          <w:highlight w:val="none"/>
        </w:rPr>
        <w:t>帐       号：</w:t>
      </w:r>
      <w:bookmarkEnd w:id="112"/>
      <w:r>
        <w:rPr>
          <w:rFonts w:hint="eastAsia" w:ascii="宋体" w:hAnsi="宋体"/>
          <w:color w:val="auto"/>
          <w:szCs w:val="21"/>
          <w:highlight w:val="none"/>
          <w:u w:val="single"/>
        </w:rPr>
        <w:t xml:space="preserve">                 </w:t>
      </w:r>
    </w:p>
    <w:p>
      <w:pPr>
        <w:tabs>
          <w:tab w:val="left" w:pos="8820"/>
          <w:tab w:val="left" w:pos="9345"/>
          <w:tab w:val="left" w:pos="9765"/>
        </w:tabs>
        <w:adjustRightInd w:val="0"/>
        <w:snapToGrid w:val="0"/>
        <w:spacing w:before="156" w:line="360" w:lineRule="auto"/>
        <w:jc w:val="center"/>
        <w:rPr>
          <w:rFonts w:hint="eastAsia" w:ascii="宋体" w:hAnsi="宋体" w:eastAsia="宋体" w:cs="宋体"/>
          <w:b/>
          <w:color w:val="auto"/>
          <w:sz w:val="28"/>
          <w:szCs w:val="28"/>
          <w:highlight w:val="none"/>
        </w:rPr>
        <w:sectPr>
          <w:pgSz w:w="11906" w:h="16838"/>
          <w:pgMar w:top="1304" w:right="1587" w:bottom="1304" w:left="1587" w:header="720" w:footer="720" w:gutter="0"/>
          <w:pgBorders>
            <w:top w:val="none" w:sz="0" w:space="0"/>
            <w:left w:val="none" w:sz="0" w:space="0"/>
            <w:bottom w:val="none" w:sz="0" w:space="0"/>
            <w:right w:val="none" w:sz="0" w:space="0"/>
          </w:pgBorders>
          <w:pgNumType w:fmt="decimal"/>
          <w:cols w:space="720" w:num="1"/>
          <w:titlePg/>
          <w:docGrid w:linePitch="312" w:charSpace="0"/>
        </w:sectPr>
      </w:pPr>
    </w:p>
    <w:p>
      <w:pPr>
        <w:numPr>
          <w:ilvl w:val="0"/>
          <w:numId w:val="3"/>
        </w:numPr>
        <w:tabs>
          <w:tab w:val="left" w:pos="8820"/>
          <w:tab w:val="left" w:pos="9345"/>
          <w:tab w:val="left" w:pos="9765"/>
        </w:tabs>
        <w:adjustRightInd w:val="0"/>
        <w:snapToGrid w:val="0"/>
        <w:spacing w:before="156" w:line="360" w:lineRule="auto"/>
        <w:jc w:val="center"/>
        <w:outlineLvl w:val="1"/>
        <w:rPr>
          <w:rFonts w:hint="eastAsia" w:ascii="宋体" w:hAnsi="宋体" w:eastAsia="宋体" w:cs="宋体"/>
          <w:b/>
          <w:color w:val="auto"/>
          <w:sz w:val="28"/>
          <w:szCs w:val="28"/>
          <w:highlight w:val="none"/>
        </w:rPr>
      </w:pPr>
      <w:bookmarkStart w:id="113" w:name="_Toc25114"/>
      <w:r>
        <w:rPr>
          <w:rFonts w:hint="eastAsia" w:ascii="宋体" w:hAnsi="宋体" w:eastAsia="宋体" w:cs="宋体"/>
          <w:b/>
          <w:color w:val="auto"/>
          <w:sz w:val="28"/>
          <w:szCs w:val="28"/>
          <w:highlight w:val="none"/>
        </w:rPr>
        <w:t>政府采购合同</w:t>
      </w:r>
      <w:bookmarkEnd w:id="113"/>
    </w:p>
    <w:p>
      <w:pPr>
        <w:pStyle w:val="8"/>
        <w:jc w:val="center"/>
        <w:rPr>
          <w:rFonts w:hint="eastAsia"/>
          <w:color w:val="auto"/>
          <w:highlight w:val="none"/>
        </w:rPr>
        <w:sectPr>
          <w:pgSz w:w="11906" w:h="16838"/>
          <w:pgMar w:top="1304" w:right="1587" w:bottom="1304" w:left="1587" w:header="720" w:footer="72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olor w:val="auto"/>
          <w:highlight w:val="none"/>
          <w:lang w:eastAsia="zh-CN"/>
        </w:rPr>
        <w:t>（其他未定事宜由甲乙双方共同协商确定）</w:t>
      </w:r>
    </w:p>
    <w:p>
      <w:pPr>
        <w:pStyle w:val="5"/>
        <w:numPr>
          <w:ilvl w:val="1"/>
          <w:numId w:val="0"/>
        </w:numPr>
        <w:tabs>
          <w:tab w:val="left" w:pos="0"/>
        </w:tabs>
        <w:ind w:leftChars="0"/>
        <w:jc w:val="center"/>
        <w:outlineLvl w:val="0"/>
        <w:rPr>
          <w:rFonts w:hint="eastAsia" w:ascii="宋体" w:hAnsi="宋体" w:eastAsia="宋体" w:cs="宋体"/>
          <w:color w:val="auto"/>
          <w:sz w:val="30"/>
          <w:szCs w:val="30"/>
          <w:highlight w:val="none"/>
        </w:rPr>
      </w:pPr>
      <w:bookmarkStart w:id="114" w:name="_Toc27650"/>
      <w:bookmarkStart w:id="115" w:name="_Toc19628646"/>
      <w:bookmarkStart w:id="116" w:name="_Toc34637788"/>
      <w:bookmarkStart w:id="117" w:name="_Toc11999"/>
      <w:r>
        <w:rPr>
          <w:rFonts w:hint="eastAsia" w:ascii="宋体" w:hAnsi="宋体" w:eastAsia="宋体" w:cs="宋体"/>
          <w:color w:val="auto"/>
          <w:sz w:val="30"/>
          <w:szCs w:val="30"/>
          <w:highlight w:val="none"/>
        </w:rPr>
        <w:t>第五章 响应文件组成</w:t>
      </w:r>
      <w:bookmarkEnd w:id="114"/>
      <w:bookmarkEnd w:id="115"/>
      <w:bookmarkEnd w:id="116"/>
      <w:bookmarkEnd w:id="117"/>
    </w:p>
    <w:p>
      <w:pPr>
        <w:widowControl/>
        <w:tabs>
          <w:tab w:val="left" w:pos="753"/>
        </w:tabs>
        <w:adjustRightInd w:val="0"/>
        <w:snapToGrid w:val="0"/>
        <w:spacing w:before="156" w:beforeLines="50" w:line="360" w:lineRule="auto"/>
        <w:ind w:firstLine="480" w:firstLineChars="200"/>
        <w:jc w:val="center"/>
        <w:outlineLvl w:val="0"/>
        <w:rPr>
          <w:rFonts w:ascii="宋体" w:hAnsi="宋体"/>
          <w:color w:val="auto"/>
          <w:sz w:val="24"/>
          <w:highlight w:val="none"/>
        </w:rPr>
      </w:pPr>
      <w:bookmarkStart w:id="118" w:name="_Toc26390"/>
      <w:r>
        <w:rPr>
          <w:rFonts w:hint="eastAsia" w:ascii="宋体" w:hAnsi="宋体"/>
          <w:color w:val="auto"/>
          <w:sz w:val="24"/>
          <w:highlight w:val="none"/>
        </w:rPr>
        <w:t>目</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录</w:t>
      </w:r>
      <w:bookmarkEnd w:id="118"/>
    </w:p>
    <w:p>
      <w:pPr>
        <w:adjustRightInd w:val="0"/>
        <w:snapToGrid w:val="0"/>
        <w:spacing w:before="156" w:beforeLines="50" w:line="360" w:lineRule="auto"/>
        <w:rPr>
          <w:rFonts w:ascii="宋体"/>
          <w:color w:val="auto"/>
          <w:highlight w:val="none"/>
        </w:rPr>
      </w:pPr>
      <w:r>
        <w:rPr>
          <w:rFonts w:hint="eastAsia" w:ascii="宋体"/>
          <w:color w:val="auto"/>
          <w:highlight w:val="none"/>
        </w:rPr>
        <w:t>供应商的响应文件应包含以下部分：</w:t>
      </w:r>
    </w:p>
    <w:p>
      <w:pPr>
        <w:widowControl/>
        <w:tabs>
          <w:tab w:val="left" w:pos="753"/>
        </w:tabs>
        <w:adjustRightInd w:val="0"/>
        <w:snapToGrid w:val="0"/>
        <w:spacing w:before="156" w:beforeLines="50" w:line="360" w:lineRule="auto"/>
        <w:ind w:firstLine="480" w:firstLineChars="200"/>
        <w:outlineLvl w:val="0"/>
        <w:rPr>
          <w:rFonts w:ascii="宋体" w:hAnsi="宋体"/>
          <w:color w:val="auto"/>
          <w:szCs w:val="21"/>
          <w:highlight w:val="none"/>
        </w:rPr>
      </w:pPr>
      <w:bookmarkStart w:id="119" w:name="_Toc15433"/>
      <w:r>
        <w:rPr>
          <w:rFonts w:hint="eastAsia" w:ascii="宋体" w:hAnsi="宋体"/>
          <w:color w:val="auto"/>
          <w:szCs w:val="21"/>
          <w:highlight w:val="none"/>
        </w:rPr>
        <w:t>一、</w:t>
      </w:r>
      <w:r>
        <w:rPr>
          <w:rFonts w:hint="eastAsia" w:ascii="宋体" w:hAnsi="宋体"/>
          <w:color w:val="auto"/>
          <w:szCs w:val="21"/>
          <w:highlight w:val="none"/>
          <w:lang w:eastAsia="zh-CN"/>
        </w:rPr>
        <w:t>磋商</w:t>
      </w:r>
      <w:r>
        <w:rPr>
          <w:rFonts w:hint="eastAsia" w:ascii="宋体" w:hAnsi="宋体"/>
          <w:color w:val="auto"/>
          <w:szCs w:val="21"/>
          <w:highlight w:val="none"/>
        </w:rPr>
        <w:t>响应声明(格式)</w:t>
      </w:r>
      <w:bookmarkEnd w:id="119"/>
    </w:p>
    <w:p>
      <w:pPr>
        <w:widowControl/>
        <w:tabs>
          <w:tab w:val="left" w:pos="753"/>
        </w:tabs>
        <w:adjustRightInd w:val="0"/>
        <w:snapToGrid w:val="0"/>
        <w:spacing w:before="156" w:beforeLines="50" w:line="360" w:lineRule="auto"/>
        <w:ind w:firstLine="480" w:firstLineChars="200"/>
        <w:outlineLvl w:val="0"/>
        <w:rPr>
          <w:rFonts w:ascii="宋体" w:hAnsi="宋体"/>
          <w:color w:val="auto"/>
          <w:szCs w:val="21"/>
          <w:highlight w:val="none"/>
        </w:rPr>
      </w:pPr>
      <w:bookmarkStart w:id="120" w:name="_Toc30421"/>
      <w:r>
        <w:rPr>
          <w:rFonts w:hint="eastAsia" w:ascii="宋体" w:hAnsi="宋体"/>
          <w:color w:val="auto"/>
          <w:szCs w:val="21"/>
          <w:highlight w:val="none"/>
        </w:rPr>
        <w:t>二、法定代表人（单位负责人）身份证明(格式)</w:t>
      </w:r>
      <w:bookmarkEnd w:id="120"/>
    </w:p>
    <w:p>
      <w:pPr>
        <w:widowControl/>
        <w:tabs>
          <w:tab w:val="left" w:pos="753"/>
        </w:tabs>
        <w:adjustRightInd w:val="0"/>
        <w:snapToGrid w:val="0"/>
        <w:spacing w:before="156" w:beforeLines="50" w:line="360" w:lineRule="auto"/>
        <w:ind w:firstLine="480" w:firstLineChars="200"/>
        <w:outlineLvl w:val="0"/>
        <w:rPr>
          <w:rFonts w:ascii="宋体" w:hAnsi="宋体"/>
          <w:color w:val="auto"/>
          <w:szCs w:val="21"/>
          <w:highlight w:val="none"/>
        </w:rPr>
      </w:pPr>
      <w:bookmarkStart w:id="121" w:name="_Toc15796"/>
      <w:r>
        <w:rPr>
          <w:rFonts w:hint="eastAsia" w:ascii="宋体" w:hAnsi="宋体"/>
          <w:color w:val="auto"/>
          <w:szCs w:val="21"/>
          <w:highlight w:val="none"/>
        </w:rPr>
        <w:t>三、授权委托书(格式)</w:t>
      </w:r>
      <w:bookmarkEnd w:id="121"/>
    </w:p>
    <w:p>
      <w:pPr>
        <w:widowControl/>
        <w:tabs>
          <w:tab w:val="left" w:pos="753"/>
        </w:tabs>
        <w:adjustRightInd w:val="0"/>
        <w:snapToGrid w:val="0"/>
        <w:spacing w:before="156" w:beforeLines="50" w:line="360" w:lineRule="auto"/>
        <w:ind w:firstLine="480" w:firstLineChars="200"/>
        <w:outlineLvl w:val="0"/>
        <w:rPr>
          <w:rFonts w:hint="eastAsia" w:ascii="宋体" w:eastAsia="宋体"/>
          <w:color w:val="auto"/>
          <w:szCs w:val="21"/>
          <w:highlight w:val="none"/>
          <w:lang w:val="en-US" w:eastAsia="zh-CN"/>
        </w:rPr>
      </w:pPr>
      <w:bookmarkStart w:id="122" w:name="_Toc22207"/>
      <w:r>
        <w:rPr>
          <w:rFonts w:hint="eastAsia" w:ascii="宋体" w:hAnsi="宋体"/>
          <w:color w:val="auto"/>
          <w:szCs w:val="21"/>
          <w:highlight w:val="none"/>
        </w:rPr>
        <w:t>四、保证金</w:t>
      </w:r>
      <w:bookmarkEnd w:id="122"/>
    </w:p>
    <w:p>
      <w:pPr>
        <w:widowControl/>
        <w:tabs>
          <w:tab w:val="left" w:pos="753"/>
        </w:tabs>
        <w:adjustRightInd w:val="0"/>
        <w:snapToGrid w:val="0"/>
        <w:spacing w:before="156" w:beforeLines="50" w:line="360" w:lineRule="auto"/>
        <w:ind w:firstLine="480" w:firstLineChars="200"/>
        <w:outlineLvl w:val="0"/>
        <w:rPr>
          <w:rFonts w:ascii="宋体" w:hAnsi="宋体"/>
          <w:color w:val="auto"/>
          <w:szCs w:val="21"/>
          <w:highlight w:val="none"/>
        </w:rPr>
      </w:pPr>
      <w:bookmarkStart w:id="123" w:name="_Toc3862"/>
      <w:r>
        <w:rPr>
          <w:rFonts w:hint="eastAsia" w:ascii="宋体" w:hAnsi="宋体"/>
          <w:color w:val="auto"/>
          <w:szCs w:val="21"/>
          <w:highlight w:val="none"/>
        </w:rPr>
        <w:t>五、报价表及报价文件(格式)</w:t>
      </w:r>
      <w:bookmarkEnd w:id="123"/>
    </w:p>
    <w:p>
      <w:pPr>
        <w:widowControl/>
        <w:tabs>
          <w:tab w:val="left" w:pos="753"/>
        </w:tabs>
        <w:adjustRightInd w:val="0"/>
        <w:snapToGrid w:val="0"/>
        <w:spacing w:before="156" w:beforeLines="50" w:line="360" w:lineRule="auto"/>
        <w:ind w:firstLine="480" w:firstLineChars="200"/>
        <w:outlineLvl w:val="0"/>
        <w:rPr>
          <w:rFonts w:ascii="宋体" w:hAnsi="宋体"/>
          <w:color w:val="auto"/>
          <w:szCs w:val="21"/>
          <w:highlight w:val="none"/>
        </w:rPr>
      </w:pPr>
      <w:bookmarkStart w:id="124" w:name="_Toc13917"/>
      <w:r>
        <w:rPr>
          <w:rFonts w:hint="eastAsia" w:ascii="宋体" w:hAnsi="宋体"/>
          <w:color w:val="auto"/>
          <w:szCs w:val="21"/>
          <w:highlight w:val="none"/>
        </w:rPr>
        <w:t>六、采购需求响应</w:t>
      </w:r>
      <w:bookmarkEnd w:id="124"/>
    </w:p>
    <w:p>
      <w:pPr>
        <w:widowControl/>
        <w:tabs>
          <w:tab w:val="left" w:pos="753"/>
        </w:tabs>
        <w:adjustRightInd w:val="0"/>
        <w:snapToGrid w:val="0"/>
        <w:spacing w:before="156" w:beforeLines="50" w:line="360" w:lineRule="auto"/>
        <w:ind w:firstLine="480" w:firstLineChars="200"/>
        <w:outlineLvl w:val="0"/>
        <w:rPr>
          <w:rFonts w:ascii="宋体" w:hAnsi="宋体"/>
          <w:color w:val="auto"/>
          <w:szCs w:val="21"/>
          <w:highlight w:val="none"/>
        </w:rPr>
      </w:pPr>
      <w:bookmarkStart w:id="125" w:name="_Toc32662"/>
      <w:r>
        <w:rPr>
          <w:rFonts w:hint="eastAsia" w:ascii="宋体" w:hAnsi="宋体"/>
          <w:color w:val="auto"/>
          <w:szCs w:val="21"/>
          <w:highlight w:val="none"/>
        </w:rPr>
        <w:t>七、合同条款偏离表</w:t>
      </w:r>
      <w:bookmarkEnd w:id="125"/>
    </w:p>
    <w:p>
      <w:pPr>
        <w:widowControl/>
        <w:tabs>
          <w:tab w:val="left" w:pos="753"/>
        </w:tabs>
        <w:adjustRightInd w:val="0"/>
        <w:snapToGrid w:val="0"/>
        <w:spacing w:before="156" w:beforeLines="50" w:line="360" w:lineRule="auto"/>
        <w:ind w:firstLine="480" w:firstLineChars="200"/>
        <w:outlineLvl w:val="0"/>
        <w:rPr>
          <w:rFonts w:ascii="宋体" w:hAnsi="宋体"/>
          <w:color w:val="auto"/>
          <w:szCs w:val="21"/>
          <w:highlight w:val="none"/>
        </w:rPr>
      </w:pPr>
      <w:bookmarkStart w:id="126" w:name="_Toc5871"/>
      <w:r>
        <w:rPr>
          <w:rFonts w:hint="eastAsia" w:ascii="宋体" w:hAnsi="宋体"/>
          <w:color w:val="auto"/>
          <w:szCs w:val="21"/>
          <w:highlight w:val="none"/>
        </w:rPr>
        <w:t>八、采购需求偏离表</w:t>
      </w:r>
      <w:bookmarkEnd w:id="126"/>
    </w:p>
    <w:p>
      <w:pPr>
        <w:widowControl/>
        <w:tabs>
          <w:tab w:val="left" w:pos="753"/>
        </w:tabs>
        <w:adjustRightInd w:val="0"/>
        <w:snapToGrid w:val="0"/>
        <w:spacing w:before="156" w:beforeLines="50" w:line="360" w:lineRule="auto"/>
        <w:ind w:firstLine="480" w:firstLineChars="200"/>
        <w:outlineLvl w:val="0"/>
        <w:rPr>
          <w:rFonts w:ascii="宋体" w:hAnsi="宋体"/>
          <w:color w:val="auto"/>
          <w:szCs w:val="21"/>
          <w:highlight w:val="none"/>
        </w:rPr>
      </w:pPr>
      <w:bookmarkStart w:id="127" w:name="_Toc10053"/>
      <w:r>
        <w:rPr>
          <w:rFonts w:hint="eastAsia" w:ascii="宋体" w:hAnsi="宋体"/>
          <w:color w:val="auto"/>
          <w:szCs w:val="21"/>
          <w:highlight w:val="none"/>
        </w:rPr>
        <w:t>九、享受政府采购政策优惠的证明资料</w:t>
      </w:r>
      <w:bookmarkEnd w:id="127"/>
    </w:p>
    <w:p>
      <w:pPr>
        <w:widowControl/>
        <w:tabs>
          <w:tab w:val="left" w:pos="753"/>
        </w:tabs>
        <w:adjustRightInd w:val="0"/>
        <w:snapToGrid w:val="0"/>
        <w:spacing w:before="156" w:beforeLines="50" w:line="360" w:lineRule="auto"/>
        <w:ind w:firstLine="480" w:firstLineChars="200"/>
        <w:outlineLvl w:val="0"/>
        <w:rPr>
          <w:rFonts w:ascii="宋体" w:hAnsi="宋体"/>
          <w:color w:val="auto"/>
          <w:szCs w:val="21"/>
          <w:highlight w:val="none"/>
        </w:rPr>
      </w:pPr>
      <w:bookmarkStart w:id="128" w:name="_Toc9425"/>
      <w:r>
        <w:rPr>
          <w:rFonts w:hint="eastAsia" w:ascii="宋体" w:hAnsi="宋体"/>
          <w:color w:val="auto"/>
          <w:szCs w:val="21"/>
          <w:highlight w:val="none"/>
        </w:rPr>
        <w:t>十、</w:t>
      </w:r>
      <w:r>
        <w:rPr>
          <w:rFonts w:hint="eastAsia" w:ascii="宋体" w:hAnsi="宋体"/>
          <w:color w:val="auto"/>
          <w:kern w:val="32"/>
          <w:szCs w:val="21"/>
          <w:highlight w:val="none"/>
        </w:rPr>
        <w:t>关于资格的声明(格式)</w:t>
      </w:r>
      <w:bookmarkEnd w:id="128"/>
    </w:p>
    <w:p>
      <w:pPr>
        <w:widowControl/>
        <w:tabs>
          <w:tab w:val="left" w:pos="753"/>
        </w:tabs>
        <w:adjustRightInd w:val="0"/>
        <w:snapToGrid w:val="0"/>
        <w:spacing w:before="156" w:beforeLines="50" w:line="360" w:lineRule="auto"/>
        <w:ind w:firstLine="480" w:firstLineChars="200"/>
        <w:outlineLvl w:val="0"/>
        <w:rPr>
          <w:rFonts w:ascii="宋体" w:hAnsi="宋体"/>
          <w:color w:val="auto"/>
          <w:kern w:val="32"/>
          <w:szCs w:val="21"/>
          <w:highlight w:val="none"/>
        </w:rPr>
      </w:pPr>
      <w:bookmarkStart w:id="129" w:name="_Toc19315"/>
      <w:r>
        <w:rPr>
          <w:rFonts w:hint="eastAsia" w:ascii="宋体" w:hAnsi="宋体"/>
          <w:color w:val="auto"/>
          <w:kern w:val="32"/>
          <w:szCs w:val="21"/>
          <w:highlight w:val="none"/>
        </w:rPr>
        <w:t>十一、</w:t>
      </w:r>
      <w:r>
        <w:rPr>
          <w:rFonts w:hint="eastAsia" w:ascii="宋体" w:hAnsi="宋体"/>
          <w:color w:val="auto"/>
          <w:szCs w:val="21"/>
          <w:highlight w:val="none"/>
        </w:rPr>
        <w:t>响应标的符合</w:t>
      </w:r>
      <w:r>
        <w:rPr>
          <w:rFonts w:hint="eastAsia" w:ascii="宋体" w:hAnsi="宋体"/>
          <w:color w:val="auto"/>
          <w:szCs w:val="21"/>
          <w:highlight w:val="none"/>
          <w:lang w:eastAsia="zh-CN"/>
        </w:rPr>
        <w:t>磋商</w:t>
      </w:r>
      <w:r>
        <w:rPr>
          <w:rFonts w:hint="eastAsia" w:ascii="宋体" w:hAnsi="宋体"/>
          <w:color w:val="auto"/>
          <w:szCs w:val="21"/>
          <w:highlight w:val="none"/>
        </w:rPr>
        <w:t>文件规定的证明文件</w:t>
      </w:r>
      <w:bookmarkEnd w:id="129"/>
    </w:p>
    <w:p>
      <w:pPr>
        <w:widowControl/>
        <w:tabs>
          <w:tab w:val="left" w:pos="753"/>
        </w:tabs>
        <w:adjustRightInd w:val="0"/>
        <w:snapToGrid w:val="0"/>
        <w:spacing w:before="156" w:beforeLines="50" w:line="360" w:lineRule="auto"/>
        <w:ind w:firstLine="480" w:firstLineChars="200"/>
        <w:outlineLvl w:val="0"/>
        <w:rPr>
          <w:rFonts w:ascii="宋体" w:hAnsi="宋体"/>
          <w:color w:val="auto"/>
          <w:szCs w:val="21"/>
          <w:highlight w:val="none"/>
        </w:rPr>
      </w:pPr>
      <w:bookmarkStart w:id="130" w:name="_Toc14572"/>
      <w:r>
        <w:rPr>
          <w:rFonts w:hint="eastAsia" w:ascii="宋体" w:hAnsi="宋体"/>
          <w:color w:val="auto"/>
          <w:szCs w:val="21"/>
          <w:highlight w:val="none"/>
        </w:rPr>
        <w:t>十二、代理服务费承诺书</w:t>
      </w:r>
      <w:bookmarkEnd w:id="130"/>
    </w:p>
    <w:p>
      <w:pPr>
        <w:widowControl/>
        <w:tabs>
          <w:tab w:val="left" w:pos="753"/>
        </w:tabs>
        <w:adjustRightInd w:val="0"/>
        <w:snapToGrid w:val="0"/>
        <w:spacing w:before="156" w:beforeLines="50" w:line="360" w:lineRule="auto"/>
        <w:ind w:firstLine="480" w:firstLineChars="200"/>
        <w:outlineLvl w:val="0"/>
        <w:rPr>
          <w:rFonts w:ascii="宋体" w:hAnsi="宋体"/>
          <w:color w:val="auto"/>
          <w:szCs w:val="21"/>
          <w:highlight w:val="none"/>
        </w:rPr>
      </w:pPr>
      <w:bookmarkStart w:id="131" w:name="_Toc20183"/>
      <w:r>
        <w:rPr>
          <w:rFonts w:hint="eastAsia" w:ascii="宋体" w:hAnsi="宋体"/>
          <w:color w:val="auto"/>
          <w:szCs w:val="21"/>
          <w:highlight w:val="none"/>
        </w:rPr>
        <w:t>十三、最终报价</w:t>
      </w:r>
      <w:bookmarkEnd w:id="131"/>
    </w:p>
    <w:p>
      <w:pPr>
        <w:tabs>
          <w:tab w:val="left" w:pos="2590"/>
        </w:tabs>
        <w:adjustRightInd w:val="0"/>
        <w:snapToGrid w:val="0"/>
        <w:spacing w:line="360" w:lineRule="auto"/>
        <w:ind w:firstLine="482" w:firstLineChars="200"/>
        <w:rPr>
          <w:rFonts w:hint="eastAsia" w:ascii="宋体" w:hAnsi="宋体" w:eastAsia="宋体" w:cs="宋体"/>
          <w:b/>
          <w:bCs/>
          <w:color w:val="auto"/>
          <w:szCs w:val="21"/>
          <w:highlight w:val="none"/>
        </w:rPr>
      </w:pPr>
    </w:p>
    <w:p>
      <w:pPr>
        <w:adjustRightInd w:val="0"/>
        <w:snapToGrid w:val="0"/>
        <w:spacing w:line="360" w:lineRule="auto"/>
        <w:jc w:val="center"/>
        <w:rPr>
          <w:rFonts w:ascii="黑体" w:eastAsia="黑体"/>
          <w:color w:val="auto"/>
          <w:sz w:val="32"/>
          <w:szCs w:val="32"/>
          <w:highlight w:val="none"/>
        </w:rPr>
      </w:pPr>
      <w:r>
        <w:rPr>
          <w:rFonts w:hint="eastAsia" w:ascii="宋体" w:hAnsi="宋体" w:eastAsia="宋体" w:cs="宋体"/>
          <w:b/>
          <w:bCs/>
          <w:color w:val="auto"/>
          <w:szCs w:val="21"/>
          <w:highlight w:val="none"/>
        </w:rPr>
        <w:br w:type="page"/>
      </w:r>
    </w:p>
    <w:p>
      <w:pPr>
        <w:pStyle w:val="13"/>
        <w:adjustRightInd w:val="0"/>
        <w:snapToGrid w:val="0"/>
        <w:spacing w:line="360" w:lineRule="auto"/>
        <w:jc w:val="center"/>
        <w:outlineLvl w:val="0"/>
        <w:rPr>
          <w:rFonts w:hAnsi="宋体"/>
          <w:b/>
          <w:bCs/>
          <w:color w:val="auto"/>
          <w:sz w:val="72"/>
          <w:szCs w:val="72"/>
          <w:highlight w:val="none"/>
        </w:rPr>
      </w:pPr>
      <w:bookmarkStart w:id="132" w:name="_Toc10945"/>
      <w:r>
        <w:rPr>
          <w:rFonts w:hint="eastAsia" w:hAnsi="宋体"/>
          <w:b/>
          <w:bCs/>
          <w:color w:val="auto"/>
          <w:sz w:val="72"/>
          <w:szCs w:val="72"/>
          <w:highlight w:val="none"/>
        </w:rPr>
        <w:t>政府采购</w:t>
      </w:r>
      <w:bookmarkEnd w:id="132"/>
    </w:p>
    <w:p>
      <w:pPr>
        <w:adjustRightInd w:val="0"/>
        <w:snapToGrid w:val="0"/>
        <w:spacing w:line="360" w:lineRule="auto"/>
        <w:jc w:val="center"/>
        <w:outlineLvl w:val="0"/>
        <w:rPr>
          <w:rFonts w:ascii="宋体" w:hAnsi="宋体"/>
          <w:b/>
          <w:bCs/>
          <w:color w:val="auto"/>
          <w:sz w:val="84"/>
          <w:szCs w:val="84"/>
          <w:highlight w:val="none"/>
        </w:rPr>
      </w:pPr>
      <w:bookmarkStart w:id="133" w:name="_Toc21486"/>
      <w:r>
        <w:rPr>
          <w:rFonts w:hint="eastAsia" w:ascii="宋体" w:hAnsi="宋体"/>
          <w:b/>
          <w:bCs/>
          <w:color w:val="auto"/>
          <w:sz w:val="84"/>
          <w:szCs w:val="84"/>
          <w:highlight w:val="none"/>
        </w:rPr>
        <w:t>响 应 文 件</w:t>
      </w:r>
      <w:bookmarkEnd w:id="133"/>
    </w:p>
    <w:p>
      <w:pPr>
        <w:adjustRightInd w:val="0"/>
        <w:snapToGrid w:val="0"/>
        <w:spacing w:line="360" w:lineRule="auto"/>
        <w:rPr>
          <w:rFonts w:ascii="黑体" w:hAnsi="黑体" w:eastAsia="黑体"/>
          <w:b/>
          <w:color w:val="auto"/>
          <w:sz w:val="32"/>
          <w:szCs w:val="32"/>
          <w:highlight w:val="none"/>
        </w:rPr>
      </w:pPr>
    </w:p>
    <w:p>
      <w:pPr>
        <w:adjustRightInd w:val="0"/>
        <w:snapToGrid w:val="0"/>
        <w:spacing w:line="360" w:lineRule="auto"/>
        <w:rPr>
          <w:rFonts w:ascii="宋体" w:hAnsi="宋体"/>
          <w:b/>
          <w:color w:val="auto"/>
          <w:sz w:val="30"/>
          <w:szCs w:val="30"/>
          <w:highlight w:val="none"/>
        </w:rPr>
      </w:pPr>
      <w:r>
        <w:rPr>
          <w:rFonts w:hint="eastAsia" w:ascii="宋体" w:hAnsi="宋体"/>
          <w:b/>
          <w:color w:val="auto"/>
          <w:sz w:val="32"/>
          <w:szCs w:val="32"/>
          <w:highlight w:val="none"/>
        </w:rPr>
        <w:t xml:space="preserve">                     </w:t>
      </w:r>
    </w:p>
    <w:p>
      <w:pPr>
        <w:pStyle w:val="13"/>
        <w:adjustRightInd w:val="0"/>
        <w:snapToGrid w:val="0"/>
        <w:spacing w:line="360" w:lineRule="auto"/>
        <w:ind w:firstLine="1988" w:firstLineChars="660"/>
        <w:outlineLvl w:val="0"/>
        <w:rPr>
          <w:rFonts w:hAnsi="宋体"/>
          <w:b/>
          <w:bCs/>
          <w:color w:val="auto"/>
          <w:sz w:val="30"/>
          <w:szCs w:val="30"/>
          <w:highlight w:val="none"/>
          <w:u w:val="single"/>
        </w:rPr>
      </w:pPr>
      <w:bookmarkStart w:id="134" w:name="_Toc8154"/>
      <w:r>
        <w:rPr>
          <w:rFonts w:hint="eastAsia" w:hAnsi="宋体"/>
          <w:b/>
          <w:bCs/>
          <w:color w:val="auto"/>
          <w:sz w:val="30"/>
          <w:szCs w:val="30"/>
          <w:highlight w:val="none"/>
        </w:rPr>
        <w:t>采购项目名称:</w:t>
      </w:r>
      <w:bookmarkEnd w:id="134"/>
      <w:r>
        <w:rPr>
          <w:rFonts w:hint="eastAsia" w:hAnsi="宋体"/>
          <w:b/>
          <w:bCs/>
          <w:color w:val="auto"/>
          <w:sz w:val="30"/>
          <w:szCs w:val="30"/>
          <w:highlight w:val="none"/>
          <w:u w:val="single"/>
        </w:rPr>
        <w:t xml:space="preserve">                     </w:t>
      </w:r>
      <w:r>
        <w:rPr>
          <w:rFonts w:hint="eastAsia" w:hAnsi="宋体"/>
          <w:b/>
          <w:bCs/>
          <w:color w:val="auto"/>
          <w:sz w:val="30"/>
          <w:szCs w:val="30"/>
          <w:highlight w:val="none"/>
          <w:u w:val="single"/>
          <w:lang w:val="en-US" w:eastAsia="zh-CN"/>
        </w:rPr>
        <w:t xml:space="preserve"> </w:t>
      </w:r>
      <w:r>
        <w:rPr>
          <w:rFonts w:hint="eastAsia" w:hAnsi="宋体"/>
          <w:b/>
          <w:bCs/>
          <w:color w:val="auto"/>
          <w:sz w:val="30"/>
          <w:szCs w:val="30"/>
          <w:highlight w:val="none"/>
          <w:u w:val="single"/>
        </w:rPr>
        <w:t xml:space="preserve">  </w:t>
      </w:r>
    </w:p>
    <w:p>
      <w:pPr>
        <w:pStyle w:val="13"/>
        <w:adjustRightInd w:val="0"/>
        <w:snapToGrid w:val="0"/>
        <w:spacing w:line="360" w:lineRule="auto"/>
        <w:ind w:firstLine="1988" w:firstLineChars="660"/>
        <w:outlineLvl w:val="0"/>
        <w:rPr>
          <w:rFonts w:hAnsi="宋体"/>
          <w:b/>
          <w:bCs/>
          <w:color w:val="auto"/>
          <w:sz w:val="30"/>
          <w:szCs w:val="30"/>
          <w:highlight w:val="none"/>
        </w:rPr>
      </w:pPr>
      <w:bookmarkStart w:id="135" w:name="_Toc11053"/>
      <w:r>
        <w:rPr>
          <w:rFonts w:hint="eastAsia" w:hAnsi="宋体"/>
          <w:b/>
          <w:bCs/>
          <w:color w:val="auto"/>
          <w:sz w:val="30"/>
          <w:szCs w:val="30"/>
          <w:highlight w:val="none"/>
        </w:rPr>
        <w:t>采   购   人：</w:t>
      </w:r>
      <w:bookmarkEnd w:id="135"/>
      <w:r>
        <w:rPr>
          <w:rFonts w:hint="eastAsia" w:hAnsi="宋体"/>
          <w:b/>
          <w:bCs/>
          <w:color w:val="auto"/>
          <w:sz w:val="30"/>
          <w:szCs w:val="30"/>
          <w:highlight w:val="none"/>
          <w:u w:val="single"/>
        </w:rPr>
        <w:t xml:space="preserve">                       </w:t>
      </w:r>
    </w:p>
    <w:p>
      <w:pPr>
        <w:pStyle w:val="13"/>
        <w:adjustRightInd w:val="0"/>
        <w:snapToGrid w:val="0"/>
        <w:spacing w:line="360" w:lineRule="auto"/>
        <w:ind w:firstLine="1988" w:firstLineChars="660"/>
        <w:outlineLvl w:val="0"/>
        <w:rPr>
          <w:rFonts w:hAnsi="宋体"/>
          <w:b/>
          <w:bCs/>
          <w:color w:val="auto"/>
          <w:sz w:val="30"/>
          <w:szCs w:val="30"/>
          <w:highlight w:val="none"/>
          <w:u w:val="single"/>
        </w:rPr>
      </w:pPr>
      <w:bookmarkStart w:id="136" w:name="_Toc11166"/>
      <w:r>
        <w:rPr>
          <w:rFonts w:hint="eastAsia" w:hAnsi="宋体"/>
          <w:b/>
          <w:bCs/>
          <w:color w:val="auto"/>
          <w:sz w:val="30"/>
          <w:szCs w:val="30"/>
          <w:highlight w:val="none"/>
        </w:rPr>
        <w:t>政府采购编号:</w:t>
      </w:r>
      <w:bookmarkEnd w:id="136"/>
      <w:r>
        <w:rPr>
          <w:rFonts w:hint="eastAsia" w:hAnsi="宋体"/>
          <w:b/>
          <w:bCs/>
          <w:color w:val="auto"/>
          <w:sz w:val="30"/>
          <w:szCs w:val="30"/>
          <w:highlight w:val="none"/>
          <w:u w:val="single"/>
        </w:rPr>
        <w:t xml:space="preserve">                </w:t>
      </w:r>
      <w:r>
        <w:rPr>
          <w:rFonts w:hint="eastAsia" w:hAnsi="宋体"/>
          <w:b/>
          <w:bCs/>
          <w:color w:val="auto"/>
          <w:sz w:val="30"/>
          <w:szCs w:val="30"/>
          <w:highlight w:val="none"/>
          <w:u w:val="single"/>
          <w:lang w:val="en-US" w:eastAsia="zh-CN"/>
        </w:rPr>
        <w:t xml:space="preserve"> </w:t>
      </w:r>
      <w:r>
        <w:rPr>
          <w:rFonts w:hint="eastAsia" w:hAnsi="宋体"/>
          <w:b/>
          <w:bCs/>
          <w:color w:val="auto"/>
          <w:sz w:val="30"/>
          <w:szCs w:val="30"/>
          <w:highlight w:val="none"/>
          <w:u w:val="single"/>
        </w:rPr>
        <w:t xml:space="preserve">   </w:t>
      </w:r>
      <w:r>
        <w:rPr>
          <w:rFonts w:hint="eastAsia" w:hAnsi="宋体"/>
          <w:b/>
          <w:bCs/>
          <w:color w:val="auto"/>
          <w:sz w:val="30"/>
          <w:szCs w:val="30"/>
          <w:highlight w:val="none"/>
          <w:u w:val="single"/>
          <w:lang w:val="en-US" w:eastAsia="zh-CN"/>
        </w:rPr>
        <w:t xml:space="preserve">  </w:t>
      </w:r>
      <w:r>
        <w:rPr>
          <w:rFonts w:hint="eastAsia" w:hAnsi="宋体"/>
          <w:b/>
          <w:bCs/>
          <w:color w:val="auto"/>
          <w:sz w:val="30"/>
          <w:szCs w:val="30"/>
          <w:highlight w:val="none"/>
          <w:u w:val="single"/>
        </w:rPr>
        <w:t xml:space="preserve">  </w:t>
      </w:r>
    </w:p>
    <w:p>
      <w:pPr>
        <w:pStyle w:val="13"/>
        <w:adjustRightInd w:val="0"/>
        <w:snapToGrid w:val="0"/>
        <w:spacing w:line="360" w:lineRule="auto"/>
        <w:ind w:firstLine="1988" w:firstLineChars="660"/>
        <w:outlineLvl w:val="0"/>
        <w:rPr>
          <w:rFonts w:hAnsi="宋体"/>
          <w:b/>
          <w:bCs/>
          <w:color w:val="auto"/>
          <w:sz w:val="30"/>
          <w:szCs w:val="30"/>
          <w:highlight w:val="none"/>
          <w:u w:val="single"/>
        </w:rPr>
      </w:pPr>
      <w:bookmarkStart w:id="137" w:name="_Toc13316"/>
      <w:r>
        <w:rPr>
          <w:rFonts w:hint="eastAsia" w:hAnsi="宋体"/>
          <w:b/>
          <w:bCs/>
          <w:color w:val="auto"/>
          <w:sz w:val="30"/>
          <w:szCs w:val="30"/>
          <w:highlight w:val="none"/>
        </w:rPr>
        <w:t>采购代理编号:</w:t>
      </w:r>
      <w:bookmarkEnd w:id="137"/>
      <w:r>
        <w:rPr>
          <w:rFonts w:hint="eastAsia" w:hAnsi="宋体"/>
          <w:b/>
          <w:bCs/>
          <w:color w:val="auto"/>
          <w:sz w:val="30"/>
          <w:szCs w:val="30"/>
          <w:highlight w:val="none"/>
          <w:u w:val="single"/>
        </w:rPr>
        <w:t xml:space="preserve">                      </w:t>
      </w:r>
      <w:r>
        <w:rPr>
          <w:rFonts w:hint="eastAsia" w:hAnsi="宋体"/>
          <w:b/>
          <w:bCs/>
          <w:color w:val="auto"/>
          <w:sz w:val="30"/>
          <w:szCs w:val="30"/>
          <w:highlight w:val="none"/>
          <w:u w:val="single"/>
          <w:lang w:val="en-US" w:eastAsia="zh-CN"/>
        </w:rPr>
        <w:t xml:space="preserve"> </w:t>
      </w:r>
      <w:r>
        <w:rPr>
          <w:rFonts w:hint="eastAsia" w:hAnsi="宋体"/>
          <w:b/>
          <w:bCs/>
          <w:color w:val="auto"/>
          <w:sz w:val="30"/>
          <w:szCs w:val="30"/>
          <w:highlight w:val="none"/>
          <w:u w:val="single"/>
        </w:rPr>
        <w:t xml:space="preserve"> </w:t>
      </w:r>
    </w:p>
    <w:p>
      <w:pPr>
        <w:pStyle w:val="13"/>
        <w:adjustRightInd w:val="0"/>
        <w:snapToGrid w:val="0"/>
        <w:spacing w:line="360" w:lineRule="auto"/>
        <w:ind w:firstLine="1988" w:firstLineChars="660"/>
        <w:outlineLvl w:val="0"/>
        <w:rPr>
          <w:rFonts w:hAnsi="宋体"/>
          <w:b/>
          <w:bCs/>
          <w:color w:val="auto"/>
          <w:sz w:val="30"/>
          <w:szCs w:val="30"/>
          <w:highlight w:val="none"/>
          <w:u w:val="single"/>
        </w:rPr>
      </w:pPr>
      <w:bookmarkStart w:id="138" w:name="_Toc27349"/>
      <w:r>
        <w:rPr>
          <w:rFonts w:hint="eastAsia" w:hAnsi="宋体"/>
          <w:b/>
          <w:bCs/>
          <w:color w:val="auto"/>
          <w:sz w:val="30"/>
          <w:szCs w:val="30"/>
          <w:highlight w:val="none"/>
        </w:rPr>
        <w:t>采购代理机构：</w:t>
      </w:r>
      <w:bookmarkEnd w:id="138"/>
      <w:r>
        <w:rPr>
          <w:rFonts w:hint="eastAsia" w:hAnsi="宋体"/>
          <w:b/>
          <w:bCs/>
          <w:color w:val="auto"/>
          <w:sz w:val="30"/>
          <w:szCs w:val="30"/>
          <w:highlight w:val="none"/>
          <w:u w:val="single"/>
        </w:rPr>
        <w:t xml:space="preserve">                     </w:t>
      </w:r>
      <w:r>
        <w:rPr>
          <w:rFonts w:hint="eastAsia" w:hAnsi="宋体"/>
          <w:b/>
          <w:bCs/>
          <w:color w:val="auto"/>
          <w:sz w:val="30"/>
          <w:szCs w:val="30"/>
          <w:highlight w:val="none"/>
          <w:u w:val="single"/>
          <w:lang w:val="en-US" w:eastAsia="zh-CN"/>
        </w:rPr>
        <w:t xml:space="preserve"> </w:t>
      </w:r>
      <w:r>
        <w:rPr>
          <w:rFonts w:hint="eastAsia" w:hAnsi="宋体"/>
          <w:b/>
          <w:bCs/>
          <w:color w:val="auto"/>
          <w:sz w:val="30"/>
          <w:szCs w:val="30"/>
          <w:highlight w:val="none"/>
          <w:u w:val="single"/>
        </w:rPr>
        <w:t xml:space="preserve"> </w:t>
      </w:r>
    </w:p>
    <w:p>
      <w:pPr>
        <w:adjustRightInd w:val="0"/>
        <w:snapToGrid w:val="0"/>
        <w:spacing w:line="360" w:lineRule="auto"/>
        <w:rPr>
          <w:rFonts w:ascii="黑体" w:hAnsi="黑体" w:eastAsia="黑体"/>
          <w:color w:val="auto"/>
          <w:sz w:val="30"/>
          <w:szCs w:val="30"/>
          <w:highlight w:val="none"/>
        </w:rPr>
      </w:pPr>
    </w:p>
    <w:p>
      <w:pPr>
        <w:adjustRightInd w:val="0"/>
        <w:snapToGrid w:val="0"/>
        <w:rPr>
          <w:rFonts w:ascii="黑体" w:hAnsi="宋体" w:eastAsia="黑体"/>
          <w:color w:val="auto"/>
          <w:sz w:val="30"/>
          <w:szCs w:val="30"/>
          <w:highlight w:val="none"/>
        </w:rPr>
      </w:pPr>
    </w:p>
    <w:p>
      <w:pPr>
        <w:adjustRightInd w:val="0"/>
        <w:snapToGrid w:val="0"/>
        <w:spacing w:line="360" w:lineRule="auto"/>
        <w:rPr>
          <w:rFonts w:ascii="黑体" w:hAnsi="宋体" w:eastAsia="黑体"/>
          <w:color w:val="auto"/>
          <w:sz w:val="30"/>
          <w:szCs w:val="30"/>
          <w:highlight w:val="none"/>
        </w:rPr>
      </w:pPr>
    </w:p>
    <w:p>
      <w:pPr>
        <w:adjustRightInd w:val="0"/>
        <w:snapToGrid w:val="0"/>
        <w:spacing w:line="360" w:lineRule="auto"/>
        <w:rPr>
          <w:rFonts w:ascii="黑体" w:hAnsi="宋体" w:eastAsia="黑体"/>
          <w:color w:val="auto"/>
          <w:sz w:val="30"/>
          <w:szCs w:val="30"/>
          <w:highlight w:val="none"/>
        </w:rPr>
      </w:pPr>
    </w:p>
    <w:p>
      <w:pPr>
        <w:adjustRightInd w:val="0"/>
        <w:snapToGrid w:val="0"/>
        <w:spacing w:line="360" w:lineRule="auto"/>
        <w:rPr>
          <w:rFonts w:ascii="黑体" w:hAnsi="宋体" w:eastAsia="黑体"/>
          <w:color w:val="auto"/>
          <w:sz w:val="30"/>
          <w:szCs w:val="30"/>
          <w:highlight w:val="none"/>
        </w:rPr>
      </w:pPr>
    </w:p>
    <w:p>
      <w:pPr>
        <w:adjustRightInd w:val="0"/>
        <w:snapToGrid w:val="0"/>
        <w:spacing w:line="360" w:lineRule="auto"/>
        <w:ind w:firstLine="1984" w:firstLineChars="620"/>
        <w:outlineLvl w:val="0"/>
        <w:rPr>
          <w:rFonts w:ascii="黑体" w:hAnsi="黑体" w:eastAsia="黑体"/>
          <w:color w:val="auto"/>
          <w:sz w:val="32"/>
          <w:szCs w:val="32"/>
          <w:highlight w:val="none"/>
          <w:u w:val="single"/>
        </w:rPr>
      </w:pPr>
      <w:bookmarkStart w:id="139" w:name="_Toc20167"/>
      <w:r>
        <w:rPr>
          <w:rFonts w:hint="eastAsia" w:ascii="黑体" w:hAnsi="黑体" w:eastAsia="黑体"/>
          <w:color w:val="auto"/>
          <w:sz w:val="32"/>
          <w:szCs w:val="32"/>
          <w:highlight w:val="none"/>
        </w:rPr>
        <w:t>供应商</w:t>
      </w:r>
      <w:bookmarkEnd w:id="139"/>
      <w:r>
        <w:rPr>
          <w:rFonts w:hint="eastAsia" w:ascii="黑体" w:hAnsi="黑体" w:eastAsia="黑体"/>
          <w:color w:val="auto"/>
          <w:sz w:val="32"/>
          <w:szCs w:val="32"/>
          <w:highlight w:val="none"/>
          <w:u w:val="single"/>
        </w:rPr>
        <w:t xml:space="preserve">                         </w:t>
      </w:r>
    </w:p>
    <w:p>
      <w:pPr>
        <w:jc w:val="center"/>
        <w:outlineLvl w:val="0"/>
        <w:rPr>
          <w:rFonts w:ascii="黑体" w:hAnsi="黑体" w:eastAsia="黑体"/>
          <w:color w:val="auto"/>
          <w:sz w:val="32"/>
          <w:szCs w:val="32"/>
          <w:highlight w:val="none"/>
        </w:rPr>
      </w:pPr>
      <w:bookmarkStart w:id="140" w:name="_Toc24686"/>
      <w:r>
        <w:rPr>
          <w:rFonts w:hint="eastAsia" w:ascii="黑体" w:hAnsi="黑体" w:eastAsia="黑体"/>
          <w:color w:val="auto"/>
          <w:sz w:val="32"/>
          <w:szCs w:val="32"/>
          <w:highlight w:val="none"/>
        </w:rPr>
        <w:t>年  月  日</w:t>
      </w:r>
      <w:bookmarkEnd w:id="140"/>
    </w:p>
    <w:p>
      <w:pPr>
        <w:pStyle w:val="5"/>
        <w:numPr>
          <w:ilvl w:val="1"/>
          <w:numId w:val="0"/>
        </w:numPr>
        <w:tabs>
          <w:tab w:val="left" w:pos="0"/>
        </w:tabs>
        <w:ind w:leftChars="0"/>
        <w:rPr>
          <w:rFonts w:ascii="宋体" w:hAnsi="宋体"/>
          <w:color w:val="auto"/>
          <w:sz w:val="21"/>
          <w:szCs w:val="21"/>
          <w:highlight w:val="none"/>
        </w:rPr>
      </w:pPr>
      <w:r>
        <w:rPr>
          <w:rFonts w:hAnsi="宋体"/>
          <w:color w:val="auto"/>
          <w:highlight w:val="none"/>
        </w:rPr>
        <w:br w:type="page"/>
      </w:r>
      <w:bookmarkStart w:id="141" w:name="_Toc30532"/>
      <w:bookmarkStart w:id="142" w:name="_Toc22201151"/>
      <w:bookmarkStart w:id="143" w:name="_Toc12015"/>
      <w:bookmarkStart w:id="144" w:name="_Toc34637789"/>
      <w:r>
        <w:rPr>
          <w:rFonts w:hint="eastAsia" w:ascii="宋体" w:hAnsi="宋体" w:cs="Times New Roman"/>
          <w:color w:val="auto"/>
          <w:sz w:val="21"/>
          <w:szCs w:val="21"/>
          <w:highlight w:val="none"/>
        </w:rPr>
        <w:t>①</w:t>
      </w:r>
      <w:r>
        <w:rPr>
          <w:rFonts w:hint="eastAsia" w:ascii="宋体" w:hAnsi="宋体"/>
          <w:color w:val="auto"/>
          <w:sz w:val="21"/>
          <w:szCs w:val="21"/>
          <w:highlight w:val="none"/>
        </w:rPr>
        <w:t>符合性审查索引表</w:t>
      </w:r>
      <w:bookmarkEnd w:id="141"/>
      <w:bookmarkEnd w:id="142"/>
      <w:bookmarkEnd w:id="143"/>
      <w:bookmarkEnd w:id="144"/>
    </w:p>
    <w:p>
      <w:pPr>
        <w:adjustRightInd w:val="0"/>
        <w:spacing w:before="156" w:beforeLines="50" w:line="360" w:lineRule="auto"/>
        <w:jc w:val="center"/>
        <w:rPr>
          <w:rFonts w:ascii="黑体" w:hAnsi="黑体" w:eastAsia="黑体"/>
          <w:b/>
          <w:color w:val="auto"/>
          <w:sz w:val="28"/>
          <w:szCs w:val="28"/>
          <w:highlight w:val="none"/>
        </w:rPr>
      </w:pPr>
      <w:r>
        <w:rPr>
          <w:rFonts w:hint="eastAsia" w:ascii="黑体" w:hAnsi="黑体" w:eastAsia="黑体"/>
          <w:b/>
          <w:color w:val="auto"/>
          <w:sz w:val="28"/>
          <w:szCs w:val="28"/>
          <w:highlight w:val="none"/>
        </w:rPr>
        <w:t>符合性审查索引表</w:t>
      </w:r>
    </w:p>
    <w:tbl>
      <w:tblPr>
        <w:tblStyle w:val="24"/>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89"/>
        <w:gridCol w:w="1871"/>
        <w:gridCol w:w="2410"/>
        <w:gridCol w:w="2268"/>
        <w:gridCol w:w="172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vAlign w:val="center"/>
          </w:tcPr>
          <w:p>
            <w:pPr>
              <w:adjustRightInd w:val="0"/>
              <w:snapToGrid w:val="0"/>
              <w:spacing w:before="156" w:beforeLines="50" w:line="360" w:lineRule="auto"/>
              <w:jc w:val="center"/>
              <w:rPr>
                <w:rFonts w:ascii="宋体" w:hAnsi="宋体"/>
                <w:b/>
                <w:color w:val="auto"/>
                <w:kern w:val="0"/>
                <w:szCs w:val="21"/>
                <w:highlight w:val="none"/>
              </w:rPr>
            </w:pPr>
            <w:r>
              <w:rPr>
                <w:rFonts w:hint="eastAsia" w:ascii="宋体" w:hAnsi="宋体"/>
                <w:b/>
                <w:color w:val="auto"/>
                <w:kern w:val="0"/>
                <w:szCs w:val="21"/>
                <w:highlight w:val="none"/>
              </w:rPr>
              <w:t>序号</w:t>
            </w:r>
          </w:p>
        </w:tc>
        <w:tc>
          <w:tcPr>
            <w:tcW w:w="1871" w:type="dxa"/>
            <w:tcBorders>
              <w:right w:val="single" w:color="auto" w:sz="4" w:space="0"/>
            </w:tcBorders>
            <w:shd w:val="clear" w:color="auto" w:fill="auto"/>
            <w:vAlign w:val="center"/>
          </w:tcPr>
          <w:p>
            <w:pPr>
              <w:adjustRightInd w:val="0"/>
              <w:snapToGrid w:val="0"/>
              <w:spacing w:before="156" w:beforeLines="50" w:line="360" w:lineRule="auto"/>
              <w:jc w:val="center"/>
              <w:rPr>
                <w:rFonts w:ascii="宋体" w:hAnsi="宋体"/>
                <w:b/>
                <w:color w:val="auto"/>
                <w:kern w:val="0"/>
                <w:sz w:val="20"/>
                <w:szCs w:val="21"/>
                <w:highlight w:val="none"/>
              </w:rPr>
            </w:pPr>
            <w:r>
              <w:rPr>
                <w:rFonts w:hint="eastAsia" w:ascii="宋体" w:hAnsi="宋体"/>
                <w:b/>
                <w:color w:val="auto"/>
                <w:kern w:val="0"/>
                <w:sz w:val="20"/>
                <w:szCs w:val="21"/>
                <w:highlight w:val="none"/>
                <w:lang w:eastAsia="zh-CN"/>
              </w:rPr>
              <w:t>磋商</w:t>
            </w:r>
            <w:r>
              <w:rPr>
                <w:rFonts w:hint="eastAsia" w:ascii="宋体" w:hAnsi="宋体"/>
                <w:b/>
                <w:color w:val="auto"/>
                <w:kern w:val="0"/>
                <w:sz w:val="20"/>
                <w:szCs w:val="21"/>
                <w:highlight w:val="none"/>
              </w:rPr>
              <w:t>文件条款号</w:t>
            </w:r>
          </w:p>
        </w:tc>
        <w:tc>
          <w:tcPr>
            <w:tcW w:w="2410" w:type="dxa"/>
            <w:tcBorders>
              <w:left w:val="single" w:color="auto" w:sz="4" w:space="0"/>
            </w:tcBorders>
            <w:shd w:val="clear" w:color="auto" w:fill="auto"/>
            <w:vAlign w:val="center"/>
          </w:tcPr>
          <w:p>
            <w:pPr>
              <w:adjustRightInd w:val="0"/>
              <w:snapToGrid w:val="0"/>
              <w:spacing w:before="156" w:beforeLines="50" w:line="360" w:lineRule="auto"/>
              <w:jc w:val="center"/>
              <w:rPr>
                <w:rFonts w:ascii="宋体" w:hAnsi="宋体"/>
                <w:b/>
                <w:color w:val="auto"/>
                <w:kern w:val="0"/>
                <w:sz w:val="20"/>
                <w:szCs w:val="21"/>
                <w:highlight w:val="none"/>
              </w:rPr>
            </w:pPr>
            <w:r>
              <w:rPr>
                <w:rFonts w:hint="eastAsia" w:ascii="宋体" w:hAnsi="宋体"/>
                <w:b/>
                <w:color w:val="auto"/>
                <w:kern w:val="0"/>
                <w:szCs w:val="21"/>
                <w:highlight w:val="none"/>
              </w:rPr>
              <w:t>审查内容及标准</w:t>
            </w:r>
          </w:p>
        </w:tc>
        <w:tc>
          <w:tcPr>
            <w:tcW w:w="2268" w:type="dxa"/>
            <w:shd w:val="clear" w:color="auto" w:fill="auto"/>
            <w:vAlign w:val="center"/>
          </w:tcPr>
          <w:p>
            <w:pPr>
              <w:adjustRightInd w:val="0"/>
              <w:snapToGrid w:val="0"/>
              <w:spacing w:before="156" w:beforeLines="50" w:line="360" w:lineRule="auto"/>
              <w:jc w:val="center"/>
              <w:rPr>
                <w:rFonts w:ascii="宋体" w:hAnsi="宋体"/>
                <w:b/>
                <w:color w:val="auto"/>
                <w:kern w:val="0"/>
                <w:szCs w:val="21"/>
                <w:highlight w:val="none"/>
              </w:rPr>
            </w:pPr>
            <w:r>
              <w:rPr>
                <w:rFonts w:hint="eastAsia" w:ascii="宋体" w:hAnsi="宋体"/>
                <w:b/>
                <w:color w:val="auto"/>
                <w:kern w:val="0"/>
                <w:szCs w:val="21"/>
                <w:highlight w:val="none"/>
              </w:rPr>
              <w:t>响应文件及证明材料</w:t>
            </w:r>
          </w:p>
        </w:tc>
        <w:tc>
          <w:tcPr>
            <w:tcW w:w="1722" w:type="dxa"/>
            <w:shd w:val="clear" w:color="auto" w:fill="auto"/>
            <w:vAlign w:val="center"/>
          </w:tcPr>
          <w:p>
            <w:pPr>
              <w:adjustRightInd w:val="0"/>
              <w:snapToGrid w:val="0"/>
              <w:spacing w:before="156" w:beforeLines="50" w:line="360" w:lineRule="auto"/>
              <w:jc w:val="center"/>
              <w:rPr>
                <w:rFonts w:ascii="宋体" w:hAnsi="宋体"/>
                <w:b/>
                <w:color w:val="auto"/>
                <w:kern w:val="0"/>
                <w:sz w:val="20"/>
                <w:szCs w:val="21"/>
                <w:highlight w:val="none"/>
              </w:rPr>
            </w:pPr>
            <w:r>
              <w:rPr>
                <w:rFonts w:hint="eastAsia" w:ascii="宋体" w:hAnsi="宋体"/>
                <w:b/>
                <w:color w:val="auto"/>
                <w:kern w:val="0"/>
                <w:szCs w:val="21"/>
                <w:highlight w:val="none"/>
              </w:rPr>
              <w:t>响应文件对应内容的册及页码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color w:val="auto"/>
                <w:kern w:val="0"/>
                <w:szCs w:val="21"/>
                <w:highlight w:val="none"/>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highlight w:val="none"/>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highlight w:val="none"/>
              </w:rPr>
            </w:pPr>
          </w:p>
        </w:tc>
        <w:tc>
          <w:tcPr>
            <w:tcW w:w="2268" w:type="dxa"/>
            <w:shd w:val="clear" w:color="auto" w:fill="auto"/>
          </w:tcPr>
          <w:p>
            <w:pPr>
              <w:adjustRightInd w:val="0"/>
              <w:snapToGrid w:val="0"/>
              <w:spacing w:before="156" w:beforeLines="50" w:line="360" w:lineRule="auto"/>
              <w:jc w:val="center"/>
              <w:rPr>
                <w:rFonts w:ascii="宋体" w:hAnsi="宋体"/>
                <w:color w:val="auto"/>
                <w:kern w:val="0"/>
                <w:szCs w:val="21"/>
                <w:highlight w:val="none"/>
              </w:rPr>
            </w:pPr>
          </w:p>
        </w:tc>
        <w:tc>
          <w:tcPr>
            <w:tcW w:w="1722" w:type="dxa"/>
            <w:shd w:val="clear" w:color="auto" w:fill="auto"/>
          </w:tcPr>
          <w:p>
            <w:pPr>
              <w:adjustRightInd w:val="0"/>
              <w:snapToGrid w:val="0"/>
              <w:spacing w:before="156" w:beforeLines="50" w:line="360" w:lineRule="auto"/>
              <w:jc w:val="center"/>
              <w:rPr>
                <w:rFonts w:ascii="宋体" w:hAnsi="宋体"/>
                <w:color w:val="auto"/>
                <w:kern w:val="0"/>
                <w:sz w:val="2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color w:val="auto"/>
                <w:kern w:val="0"/>
                <w:sz w:val="20"/>
                <w:szCs w:val="21"/>
                <w:highlight w:val="none"/>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highlight w:val="none"/>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highlight w:val="none"/>
              </w:rPr>
            </w:pPr>
          </w:p>
        </w:tc>
        <w:tc>
          <w:tcPr>
            <w:tcW w:w="2268" w:type="dxa"/>
            <w:shd w:val="clear" w:color="auto" w:fill="auto"/>
          </w:tcPr>
          <w:p>
            <w:pPr>
              <w:adjustRightInd w:val="0"/>
              <w:snapToGrid w:val="0"/>
              <w:spacing w:before="156" w:beforeLines="50" w:line="360" w:lineRule="auto"/>
              <w:jc w:val="center"/>
              <w:rPr>
                <w:rFonts w:ascii="宋体" w:hAnsi="宋体"/>
                <w:color w:val="auto"/>
                <w:kern w:val="0"/>
                <w:sz w:val="20"/>
                <w:szCs w:val="21"/>
                <w:highlight w:val="none"/>
              </w:rPr>
            </w:pPr>
          </w:p>
        </w:tc>
        <w:tc>
          <w:tcPr>
            <w:tcW w:w="1722" w:type="dxa"/>
            <w:shd w:val="clear" w:color="auto" w:fill="auto"/>
          </w:tcPr>
          <w:p>
            <w:pPr>
              <w:adjustRightInd w:val="0"/>
              <w:snapToGrid w:val="0"/>
              <w:spacing w:before="156" w:beforeLines="50" w:line="360" w:lineRule="auto"/>
              <w:jc w:val="center"/>
              <w:rPr>
                <w:rFonts w:ascii="宋体" w:hAnsi="宋体"/>
                <w:color w:val="auto"/>
                <w:kern w:val="0"/>
                <w:sz w:val="2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color w:val="auto"/>
                <w:kern w:val="0"/>
                <w:sz w:val="20"/>
                <w:szCs w:val="21"/>
                <w:highlight w:val="none"/>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highlight w:val="none"/>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highlight w:val="none"/>
              </w:rPr>
            </w:pPr>
          </w:p>
        </w:tc>
        <w:tc>
          <w:tcPr>
            <w:tcW w:w="2268" w:type="dxa"/>
            <w:shd w:val="clear" w:color="auto" w:fill="auto"/>
          </w:tcPr>
          <w:p>
            <w:pPr>
              <w:adjustRightInd w:val="0"/>
              <w:snapToGrid w:val="0"/>
              <w:spacing w:before="156" w:beforeLines="50" w:line="360" w:lineRule="auto"/>
              <w:jc w:val="center"/>
              <w:rPr>
                <w:rFonts w:ascii="宋体" w:hAnsi="宋体"/>
                <w:color w:val="auto"/>
                <w:kern w:val="0"/>
                <w:sz w:val="20"/>
                <w:szCs w:val="21"/>
                <w:highlight w:val="none"/>
              </w:rPr>
            </w:pPr>
          </w:p>
        </w:tc>
        <w:tc>
          <w:tcPr>
            <w:tcW w:w="1722" w:type="dxa"/>
            <w:shd w:val="clear" w:color="auto" w:fill="auto"/>
          </w:tcPr>
          <w:p>
            <w:pPr>
              <w:adjustRightInd w:val="0"/>
              <w:snapToGrid w:val="0"/>
              <w:spacing w:before="156" w:beforeLines="50" w:line="360" w:lineRule="auto"/>
              <w:jc w:val="center"/>
              <w:rPr>
                <w:rFonts w:ascii="宋体" w:hAnsi="宋体"/>
                <w:color w:val="auto"/>
                <w:kern w:val="0"/>
                <w:sz w:val="2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color w:val="auto"/>
                <w:kern w:val="0"/>
                <w:sz w:val="20"/>
                <w:szCs w:val="21"/>
                <w:highlight w:val="none"/>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highlight w:val="none"/>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highlight w:val="none"/>
              </w:rPr>
            </w:pPr>
          </w:p>
        </w:tc>
        <w:tc>
          <w:tcPr>
            <w:tcW w:w="2268" w:type="dxa"/>
            <w:shd w:val="clear" w:color="auto" w:fill="auto"/>
          </w:tcPr>
          <w:p>
            <w:pPr>
              <w:adjustRightInd w:val="0"/>
              <w:snapToGrid w:val="0"/>
              <w:spacing w:before="156" w:beforeLines="50" w:line="360" w:lineRule="auto"/>
              <w:jc w:val="center"/>
              <w:rPr>
                <w:rFonts w:ascii="宋体" w:hAnsi="宋体"/>
                <w:color w:val="auto"/>
                <w:kern w:val="0"/>
                <w:sz w:val="20"/>
                <w:szCs w:val="21"/>
                <w:highlight w:val="none"/>
              </w:rPr>
            </w:pPr>
          </w:p>
        </w:tc>
        <w:tc>
          <w:tcPr>
            <w:tcW w:w="1722" w:type="dxa"/>
            <w:shd w:val="clear" w:color="auto" w:fill="auto"/>
          </w:tcPr>
          <w:p>
            <w:pPr>
              <w:adjustRightInd w:val="0"/>
              <w:snapToGrid w:val="0"/>
              <w:spacing w:before="156" w:beforeLines="50" w:line="360" w:lineRule="auto"/>
              <w:jc w:val="center"/>
              <w:rPr>
                <w:rFonts w:ascii="宋体" w:hAnsi="宋体"/>
                <w:color w:val="auto"/>
                <w:kern w:val="0"/>
                <w:sz w:val="2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color w:val="auto"/>
                <w:kern w:val="0"/>
                <w:sz w:val="20"/>
                <w:szCs w:val="21"/>
                <w:highlight w:val="none"/>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highlight w:val="none"/>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highlight w:val="none"/>
              </w:rPr>
            </w:pPr>
          </w:p>
        </w:tc>
        <w:tc>
          <w:tcPr>
            <w:tcW w:w="2268" w:type="dxa"/>
            <w:shd w:val="clear" w:color="auto" w:fill="auto"/>
          </w:tcPr>
          <w:p>
            <w:pPr>
              <w:adjustRightInd w:val="0"/>
              <w:snapToGrid w:val="0"/>
              <w:spacing w:before="156" w:beforeLines="50" w:line="360" w:lineRule="auto"/>
              <w:jc w:val="center"/>
              <w:rPr>
                <w:rFonts w:ascii="宋体" w:hAnsi="宋体"/>
                <w:color w:val="auto"/>
                <w:kern w:val="0"/>
                <w:sz w:val="20"/>
                <w:szCs w:val="21"/>
                <w:highlight w:val="none"/>
              </w:rPr>
            </w:pPr>
          </w:p>
        </w:tc>
        <w:tc>
          <w:tcPr>
            <w:tcW w:w="1722" w:type="dxa"/>
            <w:shd w:val="clear" w:color="auto" w:fill="auto"/>
          </w:tcPr>
          <w:p>
            <w:pPr>
              <w:adjustRightInd w:val="0"/>
              <w:snapToGrid w:val="0"/>
              <w:spacing w:before="156" w:beforeLines="50" w:line="360" w:lineRule="auto"/>
              <w:jc w:val="center"/>
              <w:rPr>
                <w:rFonts w:ascii="宋体" w:hAnsi="宋体"/>
                <w:color w:val="auto"/>
                <w:kern w:val="0"/>
                <w:sz w:val="2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789" w:type="dxa"/>
            <w:shd w:val="clear" w:color="auto" w:fill="auto"/>
          </w:tcPr>
          <w:p>
            <w:pPr>
              <w:adjustRightInd w:val="0"/>
              <w:snapToGrid w:val="0"/>
              <w:spacing w:before="156" w:beforeLines="50" w:line="360" w:lineRule="auto"/>
              <w:jc w:val="center"/>
              <w:rPr>
                <w:rFonts w:ascii="宋体" w:hAnsi="宋体"/>
                <w:color w:val="auto"/>
                <w:kern w:val="0"/>
                <w:sz w:val="20"/>
                <w:szCs w:val="21"/>
                <w:highlight w:val="none"/>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highlight w:val="none"/>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highlight w:val="none"/>
              </w:rPr>
            </w:pPr>
          </w:p>
        </w:tc>
        <w:tc>
          <w:tcPr>
            <w:tcW w:w="2268" w:type="dxa"/>
            <w:shd w:val="clear" w:color="auto" w:fill="auto"/>
          </w:tcPr>
          <w:p>
            <w:pPr>
              <w:adjustRightInd w:val="0"/>
              <w:snapToGrid w:val="0"/>
              <w:spacing w:before="156" w:beforeLines="50" w:line="360" w:lineRule="auto"/>
              <w:jc w:val="center"/>
              <w:rPr>
                <w:rFonts w:ascii="宋体" w:hAnsi="宋体"/>
                <w:color w:val="auto"/>
                <w:kern w:val="0"/>
                <w:sz w:val="20"/>
                <w:szCs w:val="21"/>
                <w:highlight w:val="none"/>
              </w:rPr>
            </w:pPr>
          </w:p>
        </w:tc>
        <w:tc>
          <w:tcPr>
            <w:tcW w:w="1722" w:type="dxa"/>
            <w:shd w:val="clear" w:color="auto" w:fill="auto"/>
          </w:tcPr>
          <w:p>
            <w:pPr>
              <w:adjustRightInd w:val="0"/>
              <w:snapToGrid w:val="0"/>
              <w:spacing w:before="156" w:beforeLines="50" w:line="360" w:lineRule="auto"/>
              <w:jc w:val="center"/>
              <w:rPr>
                <w:rFonts w:ascii="宋体" w:hAnsi="宋体"/>
                <w:color w:val="auto"/>
                <w:kern w:val="0"/>
                <w:sz w:val="2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789" w:type="dxa"/>
            <w:shd w:val="clear" w:color="auto" w:fill="auto"/>
          </w:tcPr>
          <w:p>
            <w:pPr>
              <w:adjustRightInd w:val="0"/>
              <w:snapToGrid w:val="0"/>
              <w:spacing w:before="156" w:beforeLines="50" w:line="360" w:lineRule="auto"/>
              <w:jc w:val="center"/>
              <w:rPr>
                <w:rFonts w:ascii="宋体" w:hAnsi="宋体"/>
                <w:color w:val="auto"/>
                <w:kern w:val="0"/>
                <w:sz w:val="20"/>
                <w:szCs w:val="21"/>
                <w:highlight w:val="none"/>
              </w:rPr>
            </w:pPr>
          </w:p>
        </w:tc>
        <w:tc>
          <w:tcPr>
            <w:tcW w:w="1871" w:type="dxa"/>
            <w:tcBorders>
              <w:righ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highlight w:val="none"/>
              </w:rPr>
            </w:pPr>
          </w:p>
        </w:tc>
        <w:tc>
          <w:tcPr>
            <w:tcW w:w="2410" w:type="dxa"/>
            <w:tcBorders>
              <w:left w:val="single" w:color="auto" w:sz="4" w:space="0"/>
            </w:tcBorders>
            <w:shd w:val="clear" w:color="auto" w:fill="auto"/>
          </w:tcPr>
          <w:p>
            <w:pPr>
              <w:adjustRightInd w:val="0"/>
              <w:snapToGrid w:val="0"/>
              <w:spacing w:before="156" w:beforeLines="50" w:line="360" w:lineRule="auto"/>
              <w:jc w:val="center"/>
              <w:rPr>
                <w:rFonts w:ascii="宋体" w:hAnsi="宋体"/>
                <w:color w:val="auto"/>
                <w:kern w:val="0"/>
                <w:sz w:val="20"/>
                <w:szCs w:val="21"/>
                <w:highlight w:val="none"/>
              </w:rPr>
            </w:pPr>
          </w:p>
        </w:tc>
        <w:tc>
          <w:tcPr>
            <w:tcW w:w="2268" w:type="dxa"/>
            <w:shd w:val="clear" w:color="auto" w:fill="auto"/>
          </w:tcPr>
          <w:p>
            <w:pPr>
              <w:adjustRightInd w:val="0"/>
              <w:snapToGrid w:val="0"/>
              <w:spacing w:before="156" w:beforeLines="50" w:line="360" w:lineRule="auto"/>
              <w:jc w:val="center"/>
              <w:rPr>
                <w:rFonts w:ascii="宋体" w:hAnsi="宋体"/>
                <w:color w:val="auto"/>
                <w:kern w:val="0"/>
                <w:sz w:val="20"/>
                <w:szCs w:val="21"/>
                <w:highlight w:val="none"/>
              </w:rPr>
            </w:pPr>
          </w:p>
        </w:tc>
        <w:tc>
          <w:tcPr>
            <w:tcW w:w="1722" w:type="dxa"/>
            <w:shd w:val="clear" w:color="auto" w:fill="auto"/>
          </w:tcPr>
          <w:p>
            <w:pPr>
              <w:adjustRightInd w:val="0"/>
              <w:snapToGrid w:val="0"/>
              <w:spacing w:before="156" w:beforeLines="50" w:line="360" w:lineRule="auto"/>
              <w:jc w:val="center"/>
              <w:rPr>
                <w:rFonts w:ascii="宋体" w:hAnsi="宋体"/>
                <w:color w:val="auto"/>
                <w:kern w:val="0"/>
                <w:sz w:val="20"/>
                <w:szCs w:val="21"/>
                <w:highlight w:val="none"/>
              </w:rPr>
            </w:pPr>
          </w:p>
        </w:tc>
      </w:tr>
    </w:tbl>
    <w:p>
      <w:pPr>
        <w:rPr>
          <w:color w:val="auto"/>
          <w:highlight w:val="none"/>
        </w:rPr>
      </w:pPr>
    </w:p>
    <w:p>
      <w:pPr>
        <w:pStyle w:val="8"/>
        <w:adjustRightInd w:val="0"/>
        <w:snapToGrid w:val="0"/>
        <w:spacing w:before="156" w:beforeLines="50" w:after="0" w:line="360" w:lineRule="auto"/>
        <w:jc w:val="left"/>
        <w:rPr>
          <w:rFonts w:hint="eastAsia" w:ascii="宋体" w:hAnsi="宋体" w:eastAsia="宋体" w:cs="Times New Roman"/>
          <w:b/>
          <w:bCs w:val="0"/>
          <w:color w:val="auto"/>
          <w:kern w:val="2"/>
          <w:sz w:val="21"/>
          <w:szCs w:val="21"/>
          <w:highlight w:val="none"/>
          <w:lang w:val="en-US" w:eastAsia="zh-CN" w:bidi="ar-SA"/>
        </w:rPr>
      </w:pPr>
      <w:r>
        <w:rPr>
          <w:rFonts w:hint="eastAsia" w:ascii="宋体" w:hAnsi="宋体" w:eastAsia="宋体" w:cs="宋体"/>
          <w:b/>
          <w:bCs w:val="0"/>
          <w:color w:val="auto"/>
          <w:kern w:val="2"/>
          <w:sz w:val="21"/>
          <w:szCs w:val="21"/>
          <w:highlight w:val="none"/>
          <w:lang w:val="en-US" w:eastAsia="zh-CN" w:bidi="ar-SA"/>
        </w:rPr>
        <w:t>②</w:t>
      </w:r>
      <w:r>
        <w:rPr>
          <w:rFonts w:hint="eastAsia" w:ascii="宋体" w:hAnsi="宋体" w:eastAsia="宋体" w:cs="Times New Roman"/>
          <w:b/>
          <w:bCs w:val="0"/>
          <w:color w:val="auto"/>
          <w:kern w:val="2"/>
          <w:sz w:val="21"/>
          <w:szCs w:val="21"/>
          <w:highlight w:val="none"/>
          <w:lang w:val="en-US" w:eastAsia="zh-CN" w:bidi="ar-SA"/>
        </w:rPr>
        <w:t>评标索引表</w:t>
      </w:r>
    </w:p>
    <w:p>
      <w:pPr>
        <w:adjustRightInd w:val="0"/>
        <w:snapToGrid w:val="0"/>
        <w:spacing w:before="156" w:beforeLines="50" w:line="360" w:lineRule="auto"/>
        <w:jc w:val="center"/>
        <w:rPr>
          <w:rFonts w:ascii="黑体" w:hAnsi="黑体" w:eastAsia="黑体"/>
          <w:b/>
          <w:color w:val="auto"/>
          <w:sz w:val="28"/>
          <w:szCs w:val="28"/>
          <w:highlight w:val="none"/>
        </w:rPr>
      </w:pPr>
      <w:r>
        <w:rPr>
          <w:rFonts w:hint="eastAsia" w:ascii="黑体" w:hAnsi="黑体" w:eastAsia="黑体"/>
          <w:b/>
          <w:color w:val="auto"/>
          <w:sz w:val="28"/>
          <w:szCs w:val="28"/>
          <w:highlight w:val="none"/>
        </w:rPr>
        <w:t>评标索引表</w:t>
      </w:r>
    </w:p>
    <w:tbl>
      <w:tblPr>
        <w:tblStyle w:val="25"/>
        <w:tblW w:w="906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75"/>
        <w:gridCol w:w="1701"/>
        <w:gridCol w:w="1134"/>
        <w:gridCol w:w="1418"/>
        <w:gridCol w:w="2410"/>
        <w:gridCol w:w="172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vAlign w:val="center"/>
          </w:tcPr>
          <w:p>
            <w:pPr>
              <w:adjustRightInd w:val="0"/>
              <w:snapToGrid w:val="0"/>
              <w:spacing w:before="156" w:beforeLines="50" w:line="360" w:lineRule="auto"/>
              <w:jc w:val="center"/>
              <w:rPr>
                <w:rFonts w:asciiTheme="minorEastAsia" w:hAnsiTheme="minorEastAsia" w:eastAsiaTheme="minorEastAsia"/>
                <w:b/>
                <w:color w:val="auto"/>
                <w:kern w:val="0"/>
                <w:szCs w:val="21"/>
                <w:highlight w:val="none"/>
              </w:rPr>
            </w:pPr>
            <w:r>
              <w:rPr>
                <w:rFonts w:hint="eastAsia" w:asciiTheme="minorEastAsia" w:hAnsiTheme="minorEastAsia" w:eastAsiaTheme="minorEastAsia"/>
                <w:b/>
                <w:color w:val="auto"/>
                <w:kern w:val="0"/>
                <w:szCs w:val="21"/>
                <w:highlight w:val="none"/>
              </w:rPr>
              <w:t>序号</w:t>
            </w:r>
          </w:p>
        </w:tc>
        <w:tc>
          <w:tcPr>
            <w:tcW w:w="1701" w:type="dxa"/>
            <w:tcBorders>
              <w:right w:val="single" w:color="auto" w:sz="4" w:space="0"/>
            </w:tcBorders>
            <w:vAlign w:val="center"/>
          </w:tcPr>
          <w:p>
            <w:pPr>
              <w:adjustRightInd w:val="0"/>
              <w:snapToGrid w:val="0"/>
              <w:spacing w:before="156" w:beforeLines="50" w:line="360" w:lineRule="auto"/>
              <w:jc w:val="center"/>
              <w:rPr>
                <w:rFonts w:asciiTheme="minorEastAsia" w:hAnsiTheme="minorEastAsia" w:eastAsiaTheme="minorEastAsia"/>
                <w:b/>
                <w:color w:val="auto"/>
                <w:kern w:val="0"/>
                <w:szCs w:val="21"/>
                <w:highlight w:val="none"/>
              </w:rPr>
            </w:pPr>
            <w:r>
              <w:rPr>
                <w:rFonts w:hint="eastAsia" w:ascii="宋体" w:hAnsi="宋体"/>
                <w:b/>
                <w:color w:val="auto"/>
                <w:kern w:val="0"/>
                <w:sz w:val="20"/>
                <w:szCs w:val="21"/>
                <w:highlight w:val="none"/>
                <w:lang w:eastAsia="zh-CN"/>
              </w:rPr>
              <w:t>磋商</w:t>
            </w:r>
            <w:r>
              <w:rPr>
                <w:rFonts w:hint="eastAsia" w:ascii="宋体" w:hAnsi="宋体"/>
                <w:b/>
                <w:color w:val="auto"/>
                <w:kern w:val="0"/>
                <w:sz w:val="20"/>
                <w:szCs w:val="21"/>
                <w:highlight w:val="none"/>
              </w:rPr>
              <w:t>文件条款号</w:t>
            </w:r>
          </w:p>
        </w:tc>
        <w:tc>
          <w:tcPr>
            <w:tcW w:w="1134" w:type="dxa"/>
            <w:tcBorders>
              <w:left w:val="single" w:color="auto" w:sz="4" w:space="0"/>
              <w:right w:val="single" w:color="auto" w:sz="4" w:space="0"/>
            </w:tcBorders>
            <w:vAlign w:val="center"/>
          </w:tcPr>
          <w:p>
            <w:pPr>
              <w:adjustRightInd w:val="0"/>
              <w:snapToGrid w:val="0"/>
              <w:spacing w:before="156" w:beforeLines="50" w:line="360" w:lineRule="auto"/>
              <w:jc w:val="center"/>
              <w:rPr>
                <w:rFonts w:asciiTheme="minorEastAsia" w:hAnsiTheme="minorEastAsia" w:eastAsiaTheme="minorEastAsia"/>
                <w:b/>
                <w:color w:val="auto"/>
                <w:kern w:val="0"/>
                <w:szCs w:val="21"/>
                <w:highlight w:val="none"/>
              </w:rPr>
            </w:pPr>
            <w:r>
              <w:rPr>
                <w:rFonts w:hint="eastAsia" w:asciiTheme="minorEastAsia" w:hAnsiTheme="minorEastAsia" w:eastAsiaTheme="minorEastAsia"/>
                <w:b/>
                <w:color w:val="auto"/>
                <w:kern w:val="0"/>
                <w:szCs w:val="21"/>
                <w:highlight w:val="none"/>
              </w:rPr>
              <w:t>评审因素</w:t>
            </w:r>
          </w:p>
        </w:tc>
        <w:tc>
          <w:tcPr>
            <w:tcW w:w="1418" w:type="dxa"/>
            <w:tcBorders>
              <w:left w:val="single" w:color="auto" w:sz="4" w:space="0"/>
            </w:tcBorders>
            <w:vAlign w:val="center"/>
          </w:tcPr>
          <w:p>
            <w:pPr>
              <w:adjustRightInd w:val="0"/>
              <w:snapToGrid w:val="0"/>
              <w:spacing w:before="156" w:beforeLines="50" w:line="360" w:lineRule="auto"/>
              <w:jc w:val="center"/>
              <w:rPr>
                <w:rFonts w:asciiTheme="minorEastAsia" w:hAnsiTheme="minorEastAsia" w:eastAsiaTheme="minorEastAsia"/>
                <w:b/>
                <w:color w:val="auto"/>
                <w:kern w:val="0"/>
                <w:szCs w:val="21"/>
                <w:highlight w:val="none"/>
              </w:rPr>
            </w:pPr>
            <w:r>
              <w:rPr>
                <w:rFonts w:hint="eastAsia" w:asciiTheme="minorEastAsia" w:hAnsiTheme="minorEastAsia" w:eastAsiaTheme="minorEastAsia"/>
                <w:b/>
                <w:color w:val="auto"/>
                <w:kern w:val="0"/>
                <w:szCs w:val="21"/>
                <w:highlight w:val="none"/>
              </w:rPr>
              <w:t>评标标准</w:t>
            </w:r>
          </w:p>
        </w:tc>
        <w:tc>
          <w:tcPr>
            <w:tcW w:w="2410" w:type="dxa"/>
            <w:vAlign w:val="center"/>
          </w:tcPr>
          <w:p>
            <w:pPr>
              <w:adjustRightInd w:val="0"/>
              <w:snapToGrid w:val="0"/>
              <w:spacing w:before="156" w:beforeLines="50" w:line="360" w:lineRule="auto"/>
              <w:jc w:val="center"/>
              <w:rPr>
                <w:rFonts w:asciiTheme="minorEastAsia" w:hAnsiTheme="minorEastAsia" w:eastAsiaTheme="minorEastAsia"/>
                <w:b/>
                <w:color w:val="auto"/>
                <w:kern w:val="0"/>
                <w:szCs w:val="21"/>
                <w:highlight w:val="none"/>
              </w:rPr>
            </w:pPr>
            <w:r>
              <w:rPr>
                <w:rFonts w:hint="eastAsia" w:ascii="宋体" w:hAnsi="宋体"/>
                <w:b/>
                <w:color w:val="auto"/>
                <w:kern w:val="0"/>
                <w:szCs w:val="21"/>
                <w:highlight w:val="none"/>
              </w:rPr>
              <w:t>响应文件</w:t>
            </w:r>
            <w:r>
              <w:rPr>
                <w:rFonts w:hint="eastAsia" w:asciiTheme="minorEastAsia" w:hAnsiTheme="minorEastAsia" w:eastAsiaTheme="minorEastAsia"/>
                <w:b/>
                <w:color w:val="auto"/>
                <w:kern w:val="0"/>
                <w:szCs w:val="21"/>
                <w:highlight w:val="none"/>
              </w:rPr>
              <w:t>及证明材料</w:t>
            </w:r>
          </w:p>
        </w:tc>
        <w:tc>
          <w:tcPr>
            <w:tcW w:w="1722" w:type="dxa"/>
            <w:vAlign w:val="center"/>
          </w:tcPr>
          <w:p>
            <w:pPr>
              <w:adjustRightInd w:val="0"/>
              <w:snapToGrid w:val="0"/>
              <w:spacing w:before="156" w:beforeLines="50" w:line="360" w:lineRule="auto"/>
              <w:jc w:val="center"/>
              <w:rPr>
                <w:rFonts w:asciiTheme="minorEastAsia" w:hAnsiTheme="minorEastAsia" w:eastAsiaTheme="minorEastAsia"/>
                <w:b/>
                <w:color w:val="auto"/>
                <w:kern w:val="0"/>
                <w:szCs w:val="21"/>
                <w:highlight w:val="none"/>
              </w:rPr>
            </w:pPr>
            <w:r>
              <w:rPr>
                <w:rFonts w:hint="eastAsia" w:ascii="宋体" w:hAnsi="宋体"/>
                <w:b/>
                <w:color w:val="auto"/>
                <w:kern w:val="0"/>
                <w:szCs w:val="21"/>
                <w:highlight w:val="none"/>
              </w:rPr>
              <w:t>响应文件</w:t>
            </w:r>
            <w:r>
              <w:rPr>
                <w:rFonts w:hint="eastAsia" w:asciiTheme="minorEastAsia" w:hAnsiTheme="minorEastAsia" w:eastAsiaTheme="minorEastAsia"/>
                <w:b/>
                <w:color w:val="auto"/>
                <w:kern w:val="0"/>
                <w:szCs w:val="21"/>
                <w:highlight w:val="none"/>
              </w:rPr>
              <w:t>对应内容的册及页码</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701" w:type="dxa"/>
            <w:tcBorders>
              <w:right w:val="single" w:color="auto" w:sz="4" w:space="0"/>
            </w:tcBorders>
          </w:tcPr>
          <w:p>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134" w:type="dxa"/>
            <w:tcBorders>
              <w:left w:val="single" w:color="auto" w:sz="4" w:space="0"/>
              <w:right w:val="single" w:color="auto" w:sz="4" w:space="0"/>
            </w:tcBorders>
          </w:tcPr>
          <w:p>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418" w:type="dxa"/>
            <w:tcBorders>
              <w:left w:val="single" w:color="auto" w:sz="4" w:space="0"/>
            </w:tcBorders>
          </w:tcPr>
          <w:p>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2410" w:type="dxa"/>
          </w:tcPr>
          <w:p>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722" w:type="dxa"/>
          </w:tcPr>
          <w:p>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701" w:type="dxa"/>
            <w:tcBorders>
              <w:right w:val="single" w:color="auto" w:sz="4" w:space="0"/>
            </w:tcBorders>
          </w:tcPr>
          <w:p>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134" w:type="dxa"/>
            <w:tcBorders>
              <w:left w:val="single" w:color="auto" w:sz="4" w:space="0"/>
              <w:right w:val="single" w:color="auto" w:sz="4" w:space="0"/>
            </w:tcBorders>
          </w:tcPr>
          <w:p>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418" w:type="dxa"/>
            <w:tcBorders>
              <w:left w:val="single" w:color="auto" w:sz="4" w:space="0"/>
            </w:tcBorders>
          </w:tcPr>
          <w:p>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2410" w:type="dxa"/>
          </w:tcPr>
          <w:p>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722" w:type="dxa"/>
          </w:tcPr>
          <w:p>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701" w:type="dxa"/>
            <w:tcBorders>
              <w:right w:val="single" w:color="auto" w:sz="4" w:space="0"/>
            </w:tcBorders>
          </w:tcPr>
          <w:p>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134" w:type="dxa"/>
            <w:tcBorders>
              <w:left w:val="single" w:color="auto" w:sz="4" w:space="0"/>
              <w:right w:val="single" w:color="auto" w:sz="4" w:space="0"/>
            </w:tcBorders>
          </w:tcPr>
          <w:p>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418" w:type="dxa"/>
            <w:tcBorders>
              <w:left w:val="single" w:color="auto" w:sz="4" w:space="0"/>
            </w:tcBorders>
          </w:tcPr>
          <w:p>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2410" w:type="dxa"/>
          </w:tcPr>
          <w:p>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722" w:type="dxa"/>
          </w:tcPr>
          <w:p>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701" w:type="dxa"/>
            <w:tcBorders>
              <w:right w:val="single" w:color="auto" w:sz="4" w:space="0"/>
            </w:tcBorders>
          </w:tcPr>
          <w:p>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134" w:type="dxa"/>
            <w:tcBorders>
              <w:left w:val="single" w:color="auto" w:sz="4" w:space="0"/>
              <w:right w:val="single" w:color="auto" w:sz="4" w:space="0"/>
            </w:tcBorders>
          </w:tcPr>
          <w:p>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418" w:type="dxa"/>
            <w:tcBorders>
              <w:left w:val="single" w:color="auto" w:sz="4" w:space="0"/>
            </w:tcBorders>
          </w:tcPr>
          <w:p>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2410" w:type="dxa"/>
          </w:tcPr>
          <w:p>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722" w:type="dxa"/>
          </w:tcPr>
          <w:p>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675" w:type="dxa"/>
          </w:tcPr>
          <w:p>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701" w:type="dxa"/>
            <w:tcBorders>
              <w:right w:val="single" w:color="auto" w:sz="4" w:space="0"/>
            </w:tcBorders>
          </w:tcPr>
          <w:p>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134" w:type="dxa"/>
            <w:tcBorders>
              <w:left w:val="single" w:color="auto" w:sz="4" w:space="0"/>
              <w:right w:val="single" w:color="auto" w:sz="4" w:space="0"/>
            </w:tcBorders>
          </w:tcPr>
          <w:p>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418" w:type="dxa"/>
            <w:tcBorders>
              <w:left w:val="single" w:color="auto" w:sz="4" w:space="0"/>
            </w:tcBorders>
          </w:tcPr>
          <w:p>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2410" w:type="dxa"/>
          </w:tcPr>
          <w:p>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c>
          <w:tcPr>
            <w:tcW w:w="1722" w:type="dxa"/>
          </w:tcPr>
          <w:p>
            <w:pPr>
              <w:adjustRightInd w:val="0"/>
              <w:snapToGrid w:val="0"/>
              <w:spacing w:before="156" w:beforeLines="50" w:line="360" w:lineRule="auto"/>
              <w:jc w:val="center"/>
              <w:rPr>
                <w:rFonts w:asciiTheme="minorEastAsia" w:hAnsiTheme="minorEastAsia" w:eastAsiaTheme="minorEastAsia"/>
                <w:color w:val="auto"/>
                <w:kern w:val="0"/>
                <w:szCs w:val="21"/>
                <w:highlight w:val="none"/>
              </w:rPr>
            </w:pPr>
          </w:p>
        </w:tc>
      </w:tr>
    </w:tbl>
    <w:p>
      <w:pPr>
        <w:widowControl/>
        <w:jc w:val="left"/>
        <w:rPr>
          <w:rFonts w:ascii="黑体" w:hAnsi="宋体" w:eastAsia="黑体"/>
          <w:b/>
          <w:bCs/>
          <w:color w:val="auto"/>
          <w:sz w:val="28"/>
          <w:szCs w:val="28"/>
          <w:highlight w:val="none"/>
        </w:rPr>
      </w:pPr>
      <w:r>
        <w:rPr>
          <w:rFonts w:ascii="黑体" w:hAnsi="宋体" w:eastAsia="黑体"/>
          <w:color w:val="auto"/>
          <w:sz w:val="28"/>
          <w:szCs w:val="28"/>
          <w:highlight w:val="none"/>
        </w:rPr>
        <w:br w:type="page"/>
      </w:r>
    </w:p>
    <w:p>
      <w:pPr>
        <w:pStyle w:val="5"/>
        <w:numPr>
          <w:ilvl w:val="1"/>
          <w:numId w:val="0"/>
        </w:numPr>
        <w:tabs>
          <w:tab w:val="left" w:pos="0"/>
        </w:tabs>
        <w:ind w:leftChars="0"/>
        <w:jc w:val="center"/>
        <w:rPr>
          <w:rFonts w:ascii="黑体" w:hAnsi="黑体" w:eastAsia="黑体"/>
          <w:color w:val="auto"/>
          <w:sz w:val="28"/>
          <w:szCs w:val="28"/>
          <w:highlight w:val="none"/>
        </w:rPr>
      </w:pPr>
      <w:bookmarkStart w:id="145" w:name="_Toc34637790"/>
      <w:bookmarkStart w:id="146" w:name="_Toc17725"/>
      <w:bookmarkStart w:id="147" w:name="_Toc23392"/>
      <w:r>
        <w:rPr>
          <w:rFonts w:hint="eastAsia" w:ascii="黑体" w:hAnsi="黑体" w:eastAsia="黑体"/>
          <w:color w:val="auto"/>
          <w:sz w:val="28"/>
          <w:szCs w:val="28"/>
          <w:highlight w:val="none"/>
        </w:rPr>
        <w:t>一、</w:t>
      </w:r>
      <w:r>
        <w:rPr>
          <w:rFonts w:hint="eastAsia" w:ascii="黑体" w:hAnsi="黑体" w:eastAsia="黑体"/>
          <w:color w:val="auto"/>
          <w:sz w:val="28"/>
          <w:szCs w:val="28"/>
          <w:highlight w:val="none"/>
          <w:lang w:eastAsia="zh-CN"/>
        </w:rPr>
        <w:t>磋商</w:t>
      </w:r>
      <w:r>
        <w:rPr>
          <w:rFonts w:hint="eastAsia" w:ascii="黑体" w:hAnsi="黑体" w:eastAsia="黑体"/>
          <w:color w:val="auto"/>
          <w:sz w:val="28"/>
          <w:szCs w:val="28"/>
          <w:highlight w:val="none"/>
        </w:rPr>
        <w:t>响应声明(格式)</w:t>
      </w:r>
      <w:bookmarkEnd w:id="145"/>
      <w:bookmarkEnd w:id="146"/>
      <w:bookmarkEnd w:id="147"/>
    </w:p>
    <w:p>
      <w:pPr>
        <w:adjustRightInd w:val="0"/>
        <w:snapToGrid w:val="0"/>
        <w:spacing w:before="156" w:beforeLines="50" w:line="360" w:lineRule="auto"/>
        <w:rPr>
          <w:rFonts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(采购人、采购代理机构)：</w:t>
      </w:r>
    </w:p>
    <w:p>
      <w:pPr>
        <w:adjustRightInd w:val="0"/>
        <w:snapToGrid w:val="0"/>
        <w:spacing w:before="156" w:beforeLines="50" w:line="360" w:lineRule="auto"/>
        <w:ind w:firstLine="435"/>
        <w:rPr>
          <w:rFonts w:ascii="宋体" w:hAnsi="宋体"/>
          <w:color w:val="auto"/>
          <w:szCs w:val="21"/>
          <w:highlight w:val="none"/>
        </w:rPr>
      </w:pPr>
      <w:r>
        <w:rPr>
          <w:rFonts w:hint="eastAsia" w:ascii="宋体" w:hAnsi="宋体"/>
          <w:color w:val="auto"/>
          <w:szCs w:val="21"/>
          <w:highlight w:val="none"/>
        </w:rPr>
        <w:t>根据贵方为</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（项目名称）的</w:t>
      </w:r>
      <w:r>
        <w:rPr>
          <w:rFonts w:hint="eastAsia" w:ascii="宋体" w:hAnsi="宋体"/>
          <w:color w:val="auto"/>
          <w:szCs w:val="21"/>
          <w:highlight w:val="none"/>
          <w:lang w:eastAsia="zh-CN"/>
        </w:rPr>
        <w:t>磋商</w:t>
      </w:r>
      <w:r>
        <w:rPr>
          <w:rFonts w:hint="eastAsia" w:ascii="宋体" w:hAnsi="宋体"/>
          <w:color w:val="auto"/>
          <w:szCs w:val="21"/>
          <w:highlight w:val="none"/>
        </w:rPr>
        <w:t>邀请（</w:t>
      </w:r>
      <w:r>
        <w:rPr>
          <w:rFonts w:hint="eastAsia" w:ascii="宋体" w:hAnsi="宋体"/>
          <w:color w:val="auto"/>
          <w:highlight w:val="none"/>
        </w:rPr>
        <w:t>政府</w:t>
      </w:r>
      <w:r>
        <w:rPr>
          <w:rFonts w:hint="eastAsia" w:ascii="宋体" w:hAnsi="宋体"/>
          <w:iCs/>
          <w:color w:val="auto"/>
          <w:highlight w:val="none"/>
        </w:rPr>
        <w:t>采购编号：</w:t>
      </w:r>
      <w:r>
        <w:rPr>
          <w:rFonts w:hint="eastAsia" w:ascii="宋体" w:hAnsi="宋体"/>
          <w:iCs/>
          <w:color w:val="auto"/>
          <w:highlight w:val="none"/>
          <w:u w:val="single"/>
        </w:rPr>
        <w:t xml:space="preserve">      </w:t>
      </w:r>
      <w:r>
        <w:rPr>
          <w:rFonts w:hint="eastAsia" w:ascii="宋体" w:hAnsi="宋体"/>
          <w:iCs/>
          <w:color w:val="auto"/>
          <w:highlight w:val="none"/>
        </w:rPr>
        <w:t xml:space="preserve"> ，</w:t>
      </w:r>
      <w:r>
        <w:rPr>
          <w:rFonts w:hint="eastAsia" w:ascii="宋体" w:hAnsi="宋体"/>
          <w:color w:val="auto"/>
          <w:szCs w:val="21"/>
          <w:highlight w:val="none"/>
        </w:rPr>
        <w:t>采购代理编号：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），签字代表 </w:t>
      </w:r>
      <w:r>
        <w:rPr>
          <w:rFonts w:hint="eastAsia" w:ascii="宋体" w:hAnsi="宋体"/>
          <w:color w:val="auto"/>
          <w:szCs w:val="21"/>
          <w:highlight w:val="none"/>
          <w:u w:val="single"/>
        </w:rPr>
        <w:t xml:space="preserve">      </w:t>
      </w:r>
      <w:r>
        <w:rPr>
          <w:rFonts w:hint="eastAsia" w:ascii="宋体" w:hAnsi="宋体"/>
          <w:color w:val="auto"/>
          <w:szCs w:val="21"/>
          <w:highlight w:val="none"/>
        </w:rPr>
        <w:t>（姓名、职务）经正式授权并代表供应商</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（供应商名称）提交响应文件正本一份,副本</w:t>
      </w:r>
      <w:r>
        <w:rPr>
          <w:rFonts w:hint="eastAsia" w:ascii="宋体" w:hAnsi="宋体"/>
          <w:color w:val="auto"/>
          <w:szCs w:val="21"/>
          <w:highlight w:val="none"/>
          <w:u w:val="single"/>
        </w:rPr>
        <w:t xml:space="preserve">     </w:t>
      </w:r>
      <w:r>
        <w:rPr>
          <w:rFonts w:hint="eastAsia" w:ascii="宋体" w:hAnsi="宋体"/>
          <w:color w:val="auto"/>
          <w:szCs w:val="21"/>
          <w:highlight w:val="none"/>
        </w:rPr>
        <w:t>份；响应文件电子文档：</w:t>
      </w:r>
      <w:r>
        <w:rPr>
          <w:rFonts w:hint="eastAsia" w:ascii="宋体" w:hAnsi="宋体"/>
          <w:color w:val="auto"/>
          <w:szCs w:val="21"/>
          <w:highlight w:val="none"/>
          <w:lang w:eastAsia="zh-CN"/>
        </w:rPr>
        <w:t>一</w:t>
      </w:r>
      <w:r>
        <w:rPr>
          <w:rFonts w:hint="eastAsia" w:ascii="宋体" w:hAnsi="宋体"/>
          <w:color w:val="auto"/>
          <w:szCs w:val="21"/>
          <w:highlight w:val="none"/>
        </w:rPr>
        <w:t>份，参加采购项目第</w:t>
      </w:r>
      <w:r>
        <w:rPr>
          <w:rFonts w:hint="eastAsia" w:ascii="宋体" w:hAnsi="宋体"/>
          <w:color w:val="auto"/>
          <w:szCs w:val="21"/>
          <w:highlight w:val="none"/>
          <w:u w:val="single"/>
        </w:rPr>
        <w:t xml:space="preserve">   </w:t>
      </w:r>
      <w:r>
        <w:rPr>
          <w:rFonts w:hint="eastAsia" w:ascii="宋体" w:hAnsi="宋体"/>
          <w:color w:val="auto"/>
          <w:szCs w:val="21"/>
          <w:highlight w:val="none"/>
        </w:rPr>
        <w:t>包</w:t>
      </w:r>
      <w:r>
        <w:rPr>
          <w:rFonts w:hint="eastAsia" w:ascii="宋体" w:hAnsi="宋体"/>
          <w:color w:val="auto"/>
          <w:szCs w:val="21"/>
          <w:highlight w:val="none"/>
          <w:lang w:eastAsia="zh-CN"/>
        </w:rPr>
        <w:t>磋商</w:t>
      </w:r>
      <w:r>
        <w:rPr>
          <w:rFonts w:hint="eastAsia" w:ascii="宋体" w:hAnsi="宋体"/>
          <w:color w:val="auto"/>
          <w:szCs w:val="21"/>
          <w:highlight w:val="none"/>
        </w:rPr>
        <w:t>，并在此声明，所递交的响应文件内容完整、真实。</w:t>
      </w:r>
    </w:p>
    <w:p>
      <w:pPr>
        <w:pStyle w:val="13"/>
        <w:adjustRightInd w:val="0"/>
        <w:snapToGrid w:val="0"/>
        <w:spacing w:before="156" w:beforeLines="50" w:line="360" w:lineRule="auto"/>
        <w:ind w:firstLine="480" w:firstLineChars="200"/>
        <w:rPr>
          <w:rFonts w:hAnsi="宋体"/>
          <w:color w:val="auto"/>
          <w:highlight w:val="none"/>
        </w:rPr>
      </w:pPr>
      <w:r>
        <w:rPr>
          <w:rFonts w:hint="eastAsia" w:hAnsi="宋体"/>
          <w:color w:val="auto"/>
          <w:highlight w:val="none"/>
        </w:rPr>
        <w:t>一、我方已详细审查</w:t>
      </w:r>
      <w:r>
        <w:rPr>
          <w:rFonts w:hint="eastAsia" w:hAnsi="宋体"/>
          <w:color w:val="auto"/>
          <w:highlight w:val="none"/>
          <w:lang w:eastAsia="zh-CN"/>
        </w:rPr>
        <w:t>磋商</w:t>
      </w:r>
      <w:r>
        <w:rPr>
          <w:rFonts w:hint="eastAsia" w:hAnsi="宋体"/>
          <w:color w:val="auto"/>
          <w:highlight w:val="none"/>
        </w:rPr>
        <w:t>文件。我们完全理解并同意放弃对这方面有不明及误解的权力。</w:t>
      </w:r>
    </w:p>
    <w:p>
      <w:pPr>
        <w:pStyle w:val="13"/>
        <w:adjustRightInd w:val="0"/>
        <w:snapToGrid w:val="0"/>
        <w:spacing w:before="156" w:beforeLines="50" w:line="360" w:lineRule="auto"/>
        <w:ind w:firstLine="480" w:firstLineChars="200"/>
        <w:rPr>
          <w:rFonts w:hAnsi="宋体"/>
          <w:bCs/>
          <w:color w:val="auto"/>
          <w:highlight w:val="none"/>
        </w:rPr>
      </w:pPr>
      <w:r>
        <w:rPr>
          <w:rFonts w:hint="eastAsia" w:hAnsi="宋体"/>
          <w:color w:val="auto"/>
          <w:highlight w:val="none"/>
        </w:rPr>
        <w:t>二、我方愿意向贵方提供任何与本项采购有关的数据、情况和技术资料。若贵方需要，我方愿意提供我方作出的一切承诺的证明材料。</w:t>
      </w:r>
    </w:p>
    <w:p>
      <w:pPr>
        <w:pStyle w:val="13"/>
        <w:adjustRightInd w:val="0"/>
        <w:snapToGrid w:val="0"/>
        <w:spacing w:before="156" w:beforeLines="50" w:line="360" w:lineRule="auto"/>
        <w:ind w:firstLine="480" w:firstLineChars="200"/>
        <w:rPr>
          <w:rFonts w:hAnsi="宋体"/>
          <w:color w:val="auto"/>
          <w:highlight w:val="none"/>
        </w:rPr>
      </w:pPr>
      <w:r>
        <w:rPr>
          <w:rFonts w:hint="eastAsia" w:hAnsi="宋体"/>
          <w:color w:val="auto"/>
          <w:highlight w:val="none"/>
        </w:rPr>
        <w:t>三、我方愿意按</w:t>
      </w:r>
      <w:r>
        <w:rPr>
          <w:rFonts w:hint="eastAsia" w:hAnsi="宋体"/>
          <w:color w:val="auto"/>
          <w:highlight w:val="none"/>
          <w:lang w:eastAsia="zh-CN"/>
        </w:rPr>
        <w:t>磋商</w:t>
      </w:r>
      <w:r>
        <w:rPr>
          <w:rFonts w:hint="eastAsia" w:hAnsi="宋体"/>
          <w:color w:val="auto"/>
          <w:highlight w:val="none"/>
        </w:rPr>
        <w:t>文件规定和</w:t>
      </w:r>
      <w:r>
        <w:rPr>
          <w:rFonts w:hint="eastAsia" w:hAnsi="宋体"/>
          <w:color w:val="auto"/>
          <w:highlight w:val="none"/>
          <w:lang w:eastAsia="zh-CN"/>
        </w:rPr>
        <w:t>磋商</w:t>
      </w:r>
      <w:r>
        <w:rPr>
          <w:rFonts w:hint="eastAsia" w:hAnsi="宋体"/>
          <w:color w:val="auto"/>
          <w:highlight w:val="none"/>
        </w:rPr>
        <w:t>小组要求重新提交响应文件和最后报价。</w:t>
      </w:r>
    </w:p>
    <w:p>
      <w:pPr>
        <w:pStyle w:val="13"/>
        <w:adjustRightInd w:val="0"/>
        <w:snapToGrid w:val="0"/>
        <w:spacing w:before="156" w:beforeLines="50" w:line="360" w:lineRule="auto"/>
        <w:ind w:firstLine="480" w:firstLineChars="200"/>
        <w:rPr>
          <w:rFonts w:hAnsi="宋体"/>
          <w:color w:val="auto"/>
          <w:highlight w:val="none"/>
        </w:rPr>
      </w:pPr>
      <w:r>
        <w:rPr>
          <w:rFonts w:hint="eastAsia" w:hAnsi="宋体"/>
          <w:color w:val="auto"/>
          <w:highlight w:val="none"/>
        </w:rPr>
        <w:t>四、我方同意在</w:t>
      </w:r>
      <w:r>
        <w:rPr>
          <w:rFonts w:hint="eastAsia" w:hAnsi="宋体"/>
          <w:color w:val="auto"/>
          <w:highlight w:val="none"/>
          <w:lang w:eastAsia="zh-CN"/>
        </w:rPr>
        <w:t>磋商</w:t>
      </w:r>
      <w:r>
        <w:rPr>
          <w:rFonts w:hint="eastAsia" w:hAnsi="宋体"/>
          <w:color w:val="auto"/>
          <w:highlight w:val="none"/>
        </w:rPr>
        <w:t>文件中规定的提交首次响应文件截止时间起</w:t>
      </w:r>
      <w:r>
        <w:rPr>
          <w:rFonts w:hint="eastAsia" w:hAnsi="宋体"/>
          <w:color w:val="auto"/>
          <w:highlight w:val="none"/>
          <w:u w:val="single"/>
        </w:rPr>
        <w:t xml:space="preserve">    </w:t>
      </w:r>
      <w:r>
        <w:rPr>
          <w:rFonts w:hint="eastAsia" w:hAnsi="宋体"/>
          <w:color w:val="auto"/>
          <w:highlight w:val="none"/>
        </w:rPr>
        <w:t>日内(响应文件有效期)遵守本响应文件中的承诺且在此期限期满之前均具有法律约束力。</w:t>
      </w:r>
    </w:p>
    <w:p>
      <w:pPr>
        <w:pStyle w:val="13"/>
        <w:adjustRightInd w:val="0"/>
        <w:snapToGrid w:val="0"/>
        <w:spacing w:before="156" w:beforeLines="50" w:line="360" w:lineRule="auto"/>
        <w:ind w:firstLine="480" w:firstLineChars="200"/>
        <w:rPr>
          <w:rFonts w:hAnsi="宋体"/>
          <w:color w:val="auto"/>
          <w:highlight w:val="none"/>
        </w:rPr>
      </w:pPr>
      <w:r>
        <w:rPr>
          <w:rFonts w:hint="eastAsia" w:hAnsi="宋体"/>
          <w:color w:val="auto"/>
          <w:highlight w:val="none"/>
        </w:rPr>
        <w:t>五、我方承诺遵守《政府采购法》及实施条例、《政府采购非招标方式管理办法》（财政部第74号令）</w:t>
      </w:r>
      <w:r>
        <w:rPr>
          <w:rFonts w:hint="eastAsia" w:hAnsi="宋体"/>
          <w:color w:val="auto"/>
          <w:highlight w:val="none"/>
          <w:lang w:eastAsia="zh-CN"/>
        </w:rPr>
        <w:t>、《政府采购竞争性磋商采购方式管理暂行办法》（财库</w:t>
      </w:r>
      <w:r>
        <w:rPr>
          <w:rFonts w:hint="eastAsia" w:hAnsi="宋体"/>
          <w:color w:val="auto"/>
          <w:highlight w:val="none"/>
          <w:lang w:val="en-US" w:eastAsia="zh-CN"/>
        </w:rPr>
        <w:t>[2014]214号</w:t>
      </w:r>
      <w:r>
        <w:rPr>
          <w:rFonts w:hint="eastAsia" w:hAnsi="宋体"/>
          <w:color w:val="auto"/>
          <w:highlight w:val="none"/>
          <w:lang w:eastAsia="zh-CN"/>
        </w:rPr>
        <w:t>）</w:t>
      </w:r>
      <w:r>
        <w:rPr>
          <w:rFonts w:hint="eastAsia" w:hAnsi="宋体"/>
          <w:color w:val="auto"/>
          <w:highlight w:val="none"/>
        </w:rPr>
        <w:t>的有关规定，保证在获得成交资格后，按照</w:t>
      </w:r>
      <w:r>
        <w:rPr>
          <w:rFonts w:hint="eastAsia" w:hAnsi="宋体"/>
          <w:color w:val="auto"/>
          <w:highlight w:val="none"/>
          <w:lang w:eastAsia="zh-CN"/>
        </w:rPr>
        <w:t>磋商</w:t>
      </w:r>
      <w:r>
        <w:rPr>
          <w:rFonts w:hint="eastAsia" w:hAnsi="宋体"/>
          <w:color w:val="auto"/>
          <w:highlight w:val="none"/>
        </w:rPr>
        <w:t>文件确定的事项签订政府采购合同，履行双方所签订的合同，并承担合同规定的责任和义务。</w:t>
      </w:r>
    </w:p>
    <w:p>
      <w:pPr>
        <w:pStyle w:val="13"/>
        <w:adjustRightInd w:val="0"/>
        <w:snapToGrid w:val="0"/>
        <w:spacing w:before="156" w:beforeLines="50" w:line="360" w:lineRule="auto"/>
        <w:ind w:firstLine="480" w:firstLineChars="200"/>
        <w:rPr>
          <w:rFonts w:hAnsi="宋体"/>
          <w:color w:val="auto"/>
          <w:highlight w:val="none"/>
        </w:rPr>
      </w:pPr>
      <w:r>
        <w:rPr>
          <w:rFonts w:hint="eastAsia" w:hAnsi="宋体"/>
          <w:color w:val="auto"/>
          <w:highlight w:val="none"/>
        </w:rPr>
        <w:t>六、我方承诺在参与竞争性</w:t>
      </w:r>
      <w:r>
        <w:rPr>
          <w:rFonts w:hint="eastAsia" w:hAnsi="宋体"/>
          <w:color w:val="auto"/>
          <w:highlight w:val="none"/>
          <w:lang w:eastAsia="zh-CN"/>
        </w:rPr>
        <w:t>磋商</w:t>
      </w:r>
      <w:r>
        <w:rPr>
          <w:rFonts w:hint="eastAsia" w:hAnsi="宋体"/>
          <w:color w:val="auto"/>
          <w:highlight w:val="none"/>
        </w:rPr>
        <w:t>过程中，若出现《政府采购法》第七十七条、《政府采购法实施条例》第七十二条和《政府采购非招标方式管理办法》第五十四条规定之情形，我方同意接受条款规定作出的处罚。</w:t>
      </w:r>
    </w:p>
    <w:p>
      <w:pPr>
        <w:adjustRightInd w:val="0"/>
        <w:snapToGrid w:val="0"/>
        <w:spacing w:before="156" w:beforeLines="50" w:line="360" w:lineRule="auto"/>
        <w:ind w:firstLine="480" w:firstLineChars="200"/>
        <w:rPr>
          <w:rFonts w:ascii="宋体" w:hAnsi="宋体"/>
          <w:color w:val="auto"/>
          <w:szCs w:val="21"/>
          <w:highlight w:val="none"/>
        </w:rPr>
      </w:pPr>
      <w:r>
        <w:rPr>
          <w:rFonts w:hint="eastAsia" w:ascii="宋体" w:hAnsi="宋体"/>
          <w:color w:val="auto"/>
          <w:szCs w:val="21"/>
          <w:highlight w:val="none"/>
        </w:rPr>
        <w:t>七、我方的联系方式：</w:t>
      </w:r>
    </w:p>
    <w:p>
      <w:pPr>
        <w:keepNext w:val="0"/>
        <w:keepLines w:val="0"/>
        <w:pageBreakBefore w:val="0"/>
        <w:widowControl w:val="0"/>
        <w:kinsoku/>
        <w:wordWrap/>
        <w:overflowPunct/>
        <w:topLinePunct w:val="0"/>
        <w:autoSpaceDE/>
        <w:autoSpaceDN/>
        <w:bidi w:val="0"/>
        <w:adjustRightInd w:val="0"/>
        <w:snapToGrid w:val="0"/>
        <w:spacing w:before="156" w:beforeLines="50" w:line="300" w:lineRule="exact"/>
        <w:textAlignment w:val="auto"/>
        <w:rPr>
          <w:rFonts w:hAnsi="宋体"/>
          <w:color w:val="auto"/>
          <w:highlight w:val="none"/>
        </w:rPr>
      </w:pPr>
      <w:r>
        <w:rPr>
          <w:rFonts w:hint="eastAsia" w:ascii="宋体" w:hAnsi="宋体"/>
          <w:color w:val="auto"/>
          <w:szCs w:val="21"/>
          <w:highlight w:val="none"/>
        </w:rPr>
        <w:t>地址：</w:t>
      </w:r>
      <w:r>
        <w:rPr>
          <w:rFonts w:hint="eastAsia" w:ascii="宋体" w:hAnsi="宋体"/>
          <w:color w:val="auto"/>
          <w:szCs w:val="21"/>
          <w:highlight w:val="none"/>
          <w:u w:val="single"/>
        </w:rPr>
        <w:t xml:space="preserve">    </w:t>
      </w:r>
      <w:r>
        <w:rPr>
          <w:rFonts w:hint="eastAsia" w:ascii="宋体" w:hAnsi="宋体"/>
          <w:color w:val="auto"/>
          <w:szCs w:val="21"/>
          <w:highlight w:val="none"/>
        </w:rPr>
        <w:t>；邮编：</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；电话：</w:t>
      </w:r>
      <w:r>
        <w:rPr>
          <w:rFonts w:hint="eastAsia" w:ascii="宋体" w:hAnsi="宋体"/>
          <w:color w:val="auto"/>
          <w:szCs w:val="21"/>
          <w:highlight w:val="none"/>
          <w:u w:val="single"/>
        </w:rPr>
        <w:t xml:space="preserve">      </w:t>
      </w:r>
      <w:r>
        <w:rPr>
          <w:rFonts w:hint="eastAsia" w:ascii="宋体" w:hAnsi="宋体"/>
          <w:color w:val="auto"/>
          <w:szCs w:val="21"/>
          <w:highlight w:val="none"/>
        </w:rPr>
        <w:t>；电子邮箱：</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pPr>
        <w:pStyle w:val="13"/>
        <w:keepNext w:val="0"/>
        <w:keepLines w:val="0"/>
        <w:pageBreakBefore w:val="0"/>
        <w:widowControl w:val="0"/>
        <w:kinsoku/>
        <w:wordWrap/>
        <w:overflowPunct/>
        <w:topLinePunct w:val="0"/>
        <w:autoSpaceDE/>
        <w:autoSpaceDN/>
        <w:bidi w:val="0"/>
        <w:adjustRightInd w:val="0"/>
        <w:snapToGrid w:val="0"/>
        <w:spacing w:before="156" w:beforeLines="50" w:line="300" w:lineRule="exact"/>
        <w:textAlignment w:val="auto"/>
        <w:rPr>
          <w:rFonts w:hAnsi="宋体"/>
          <w:color w:val="auto"/>
          <w:highlight w:val="none"/>
        </w:rPr>
      </w:pPr>
      <w:r>
        <w:rPr>
          <w:rFonts w:hint="eastAsia" w:hAnsi="宋体"/>
          <w:color w:val="auto"/>
          <w:highlight w:val="none"/>
        </w:rPr>
        <w:t>供应商名称(盖单位公章)：</w:t>
      </w:r>
    </w:p>
    <w:p>
      <w:pPr>
        <w:keepNext w:val="0"/>
        <w:keepLines w:val="0"/>
        <w:pageBreakBefore w:val="0"/>
        <w:widowControl w:val="0"/>
        <w:kinsoku/>
        <w:wordWrap/>
        <w:overflowPunct/>
        <w:topLinePunct w:val="0"/>
        <w:autoSpaceDE/>
        <w:autoSpaceDN/>
        <w:bidi w:val="0"/>
        <w:adjustRightInd w:val="0"/>
        <w:snapToGrid w:val="0"/>
        <w:spacing w:before="156" w:beforeLines="50" w:line="300" w:lineRule="exact"/>
        <w:textAlignment w:val="auto"/>
        <w:rPr>
          <w:rFonts w:hint="eastAsia" w:ascii="宋体" w:hAnsi="宋体"/>
          <w:color w:val="auto"/>
          <w:szCs w:val="21"/>
          <w:highlight w:val="none"/>
          <w:u w:val="singl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或其授权的代理人（签字或印章）：</w:t>
      </w:r>
      <w:r>
        <w:rPr>
          <w:rFonts w:hint="eastAsia" w:ascii="宋体" w:hAnsi="宋体"/>
          <w:color w:val="auto"/>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before="156" w:beforeLines="50" w:line="300" w:lineRule="exact"/>
        <w:textAlignment w:val="auto"/>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pStyle w:val="5"/>
        <w:numPr>
          <w:ilvl w:val="1"/>
          <w:numId w:val="0"/>
        </w:numPr>
        <w:tabs>
          <w:tab w:val="left" w:pos="0"/>
        </w:tabs>
        <w:ind w:leftChars="0"/>
        <w:jc w:val="center"/>
        <w:rPr>
          <w:rFonts w:ascii="黑体" w:hAnsi="黑体" w:eastAsia="黑体"/>
          <w:color w:val="auto"/>
          <w:sz w:val="28"/>
          <w:szCs w:val="28"/>
          <w:highlight w:val="none"/>
        </w:rPr>
      </w:pPr>
      <w:r>
        <w:rPr>
          <w:rFonts w:ascii="宋体" w:hAnsi="宋体"/>
          <w:color w:val="auto"/>
          <w:szCs w:val="21"/>
          <w:highlight w:val="none"/>
        </w:rPr>
        <w:br w:type="page"/>
      </w:r>
      <w:bookmarkStart w:id="148" w:name="_Toc6226"/>
      <w:bookmarkStart w:id="149" w:name="_Toc14233"/>
      <w:bookmarkStart w:id="150" w:name="_Toc34637791"/>
      <w:r>
        <w:rPr>
          <w:rFonts w:hint="eastAsia" w:ascii="黑体" w:hAnsi="黑体" w:eastAsia="黑体"/>
          <w:color w:val="auto"/>
          <w:sz w:val="28"/>
          <w:szCs w:val="28"/>
          <w:highlight w:val="none"/>
        </w:rPr>
        <w:t>二、法定代表人（单位负责人）身份证明(格式)</w:t>
      </w:r>
      <w:bookmarkEnd w:id="148"/>
      <w:bookmarkEnd w:id="149"/>
      <w:bookmarkEnd w:id="150"/>
    </w:p>
    <w:p>
      <w:pPr>
        <w:tabs>
          <w:tab w:val="left" w:pos="3880"/>
        </w:tabs>
        <w:autoSpaceDE w:val="0"/>
        <w:autoSpaceDN w:val="0"/>
        <w:adjustRightInd w:val="0"/>
        <w:snapToGrid w:val="0"/>
        <w:spacing w:before="156" w:beforeLines="50" w:line="360" w:lineRule="auto"/>
        <w:ind w:left="100" w:right="-20"/>
        <w:jc w:val="left"/>
        <w:rPr>
          <w:rFonts w:ascii="宋体" w:hAnsi="宋体" w:cs="微软雅黑"/>
          <w:color w:val="auto"/>
          <w:kern w:val="0"/>
          <w:position w:val="-4"/>
          <w:szCs w:val="21"/>
          <w:highlight w:val="none"/>
        </w:rPr>
      </w:pPr>
    </w:p>
    <w:p>
      <w:pPr>
        <w:tabs>
          <w:tab w:val="left" w:pos="3880"/>
        </w:tabs>
        <w:autoSpaceDE w:val="0"/>
        <w:autoSpaceDN w:val="0"/>
        <w:adjustRightInd w:val="0"/>
        <w:snapToGrid w:val="0"/>
        <w:spacing w:before="156" w:beforeLines="50" w:line="360" w:lineRule="auto"/>
        <w:ind w:left="100" w:right="-20"/>
        <w:jc w:val="left"/>
        <w:rPr>
          <w:rFonts w:ascii="宋体" w:hAnsi="宋体" w:cs="微软雅黑"/>
          <w:color w:val="auto"/>
          <w:kern w:val="0"/>
          <w:szCs w:val="21"/>
          <w:highlight w:val="none"/>
        </w:rPr>
      </w:pPr>
      <w:r>
        <w:rPr>
          <w:rFonts w:hint="eastAsia" w:ascii="宋体" w:hAnsi="宋体" w:cs="微软雅黑"/>
          <w:color w:val="auto"/>
          <w:kern w:val="0"/>
          <w:position w:val="-4"/>
          <w:szCs w:val="21"/>
          <w:highlight w:val="none"/>
        </w:rPr>
        <w:t>供应商名</w:t>
      </w:r>
      <w:r>
        <w:rPr>
          <w:rFonts w:hint="eastAsia" w:ascii="宋体" w:hAnsi="宋体" w:cs="微软雅黑"/>
          <w:color w:val="auto"/>
          <w:spacing w:val="-2"/>
          <w:kern w:val="0"/>
          <w:position w:val="-4"/>
          <w:szCs w:val="21"/>
          <w:highlight w:val="none"/>
        </w:rPr>
        <w:t>称</w:t>
      </w:r>
      <w:r>
        <w:rPr>
          <w:rFonts w:hint="eastAsia" w:ascii="宋体" w:hAnsi="宋体" w:cs="微软雅黑"/>
          <w:color w:val="auto"/>
          <w:kern w:val="0"/>
          <w:position w:val="-4"/>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ascii="宋体" w:hAnsi="宋体" w:cs="微软雅黑"/>
          <w:color w:val="auto"/>
          <w:kern w:val="0"/>
          <w:position w:val="-2"/>
          <w:szCs w:val="21"/>
          <w:highlight w:val="none"/>
        </w:rPr>
      </w:pPr>
      <w:r>
        <w:rPr>
          <w:rFonts w:hint="eastAsia" w:ascii="宋体" w:hAnsi="宋体" w:cs="微软雅黑"/>
          <w:color w:val="auto"/>
          <w:kern w:val="0"/>
          <w:position w:val="-2"/>
          <w:szCs w:val="21"/>
          <w:highlight w:val="none"/>
        </w:rPr>
        <w:t>统一社会信用代码：</w:t>
      </w:r>
      <w:r>
        <w:rPr>
          <w:rFonts w:hint="eastAsia" w:ascii="宋体" w:hAnsi="宋体"/>
          <w:color w:val="auto"/>
          <w:szCs w:val="21"/>
          <w:highlight w:val="none"/>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left="100" w:right="-20"/>
        <w:jc w:val="left"/>
        <w:rPr>
          <w:rFonts w:ascii="宋体" w:hAnsi="宋体" w:cs="微软雅黑"/>
          <w:color w:val="auto"/>
          <w:kern w:val="0"/>
          <w:position w:val="-2"/>
          <w:szCs w:val="21"/>
          <w:highlight w:val="none"/>
        </w:rPr>
      </w:pPr>
      <w:r>
        <w:rPr>
          <w:rFonts w:hint="eastAsia" w:ascii="宋体" w:hAnsi="宋体" w:cs="微软雅黑"/>
          <w:color w:val="auto"/>
          <w:kern w:val="0"/>
          <w:position w:val="-2"/>
          <w:szCs w:val="21"/>
          <w:highlight w:val="none"/>
        </w:rPr>
        <w:t>注册地址：</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p>
    <w:p>
      <w:pPr>
        <w:tabs>
          <w:tab w:val="left" w:pos="2400"/>
          <w:tab w:val="left" w:pos="3880"/>
          <w:tab w:val="left" w:pos="5340"/>
          <w:tab w:val="left" w:pos="6820"/>
        </w:tabs>
        <w:autoSpaceDE w:val="0"/>
        <w:autoSpaceDN w:val="0"/>
        <w:adjustRightInd w:val="0"/>
        <w:snapToGrid w:val="0"/>
        <w:spacing w:before="156" w:beforeLines="50" w:line="360" w:lineRule="auto"/>
        <w:ind w:left="102" w:right="-23" w:firstLine="480" w:firstLineChars="200"/>
        <w:jc w:val="left"/>
        <w:rPr>
          <w:rFonts w:ascii="宋体" w:hAnsi="宋体" w:cs="微软雅黑"/>
          <w:color w:val="auto"/>
          <w:kern w:val="0"/>
          <w:szCs w:val="21"/>
          <w:highlight w:val="none"/>
        </w:rPr>
      </w:pPr>
      <w:r>
        <w:rPr>
          <w:rFonts w:hint="eastAsia" w:ascii="宋体" w:hAnsi="宋体" w:cs="微软雅黑"/>
          <w:color w:val="auto"/>
          <w:kern w:val="0"/>
          <w:position w:val="-2"/>
          <w:szCs w:val="21"/>
          <w:highlight w:val="none"/>
        </w:rPr>
        <w:t>姓名</w:t>
      </w:r>
      <w:r>
        <w:rPr>
          <w:rFonts w:hint="eastAsia" w:ascii="宋体" w:hAnsi="宋体" w:cs="微软雅黑"/>
          <w:color w:val="auto"/>
          <w:spacing w:val="-2"/>
          <w:kern w:val="0"/>
          <w:position w:val="-2"/>
          <w:szCs w:val="21"/>
          <w:highlight w:val="none"/>
        </w:rPr>
        <w:t>：</w:t>
      </w:r>
      <w:r>
        <w:rPr>
          <w:rFonts w:hint="eastAsia" w:ascii="宋体" w:hAnsi="宋体"/>
          <w:color w:val="auto"/>
          <w:szCs w:val="21"/>
          <w:highlight w:val="none"/>
          <w:u w:val="single"/>
        </w:rPr>
        <w:t xml:space="preserve">         </w:t>
      </w:r>
      <w:r>
        <w:rPr>
          <w:rFonts w:hint="eastAsia" w:ascii="宋体" w:hAnsi="宋体" w:cs="微软雅黑"/>
          <w:color w:val="auto"/>
          <w:kern w:val="0"/>
          <w:position w:val="-2"/>
          <w:szCs w:val="21"/>
          <w:highlight w:val="none"/>
        </w:rPr>
        <w:t>性别</w:t>
      </w:r>
      <w:r>
        <w:rPr>
          <w:rFonts w:hint="eastAsia" w:ascii="宋体" w:hAnsi="宋体" w:cs="微软雅黑"/>
          <w:color w:val="auto"/>
          <w:spacing w:val="-2"/>
          <w:kern w:val="0"/>
          <w:position w:val="-2"/>
          <w:szCs w:val="21"/>
          <w:highlight w:val="none"/>
        </w:rPr>
        <w:t>：</w:t>
      </w:r>
      <w:r>
        <w:rPr>
          <w:rFonts w:hint="eastAsia" w:ascii="宋体" w:hAnsi="宋体"/>
          <w:color w:val="auto"/>
          <w:szCs w:val="21"/>
          <w:highlight w:val="none"/>
          <w:u w:val="single"/>
        </w:rPr>
        <w:t xml:space="preserve">         </w:t>
      </w:r>
      <w:r>
        <w:rPr>
          <w:rFonts w:hint="eastAsia" w:ascii="宋体" w:hAnsi="宋体" w:cs="微软雅黑"/>
          <w:color w:val="auto"/>
          <w:kern w:val="0"/>
          <w:position w:val="-2"/>
          <w:szCs w:val="21"/>
          <w:highlight w:val="none"/>
        </w:rPr>
        <w:t>年</w:t>
      </w:r>
      <w:r>
        <w:rPr>
          <w:rFonts w:hint="eastAsia" w:ascii="宋体" w:hAnsi="宋体" w:cs="微软雅黑"/>
          <w:color w:val="auto"/>
          <w:spacing w:val="-2"/>
          <w:kern w:val="0"/>
          <w:position w:val="-2"/>
          <w:szCs w:val="21"/>
          <w:highlight w:val="none"/>
        </w:rPr>
        <w:t>龄</w:t>
      </w:r>
      <w:r>
        <w:rPr>
          <w:rFonts w:hint="eastAsia" w:ascii="宋体" w:hAnsi="宋体" w:cs="微软雅黑"/>
          <w:color w:val="auto"/>
          <w:kern w:val="0"/>
          <w:position w:val="-2"/>
          <w:szCs w:val="21"/>
          <w:highlight w:val="none"/>
        </w:rPr>
        <w:t>：</w:t>
      </w:r>
      <w:r>
        <w:rPr>
          <w:rFonts w:hint="eastAsia" w:ascii="宋体" w:hAnsi="宋体"/>
          <w:color w:val="auto"/>
          <w:szCs w:val="21"/>
          <w:highlight w:val="none"/>
          <w:u w:val="single"/>
        </w:rPr>
        <w:t xml:space="preserve">         </w:t>
      </w:r>
      <w:r>
        <w:rPr>
          <w:rFonts w:hint="eastAsia" w:ascii="宋体" w:hAnsi="宋体" w:cs="微软雅黑"/>
          <w:color w:val="auto"/>
          <w:kern w:val="0"/>
          <w:position w:val="-2"/>
          <w:szCs w:val="21"/>
          <w:highlight w:val="none"/>
        </w:rPr>
        <w:t>职</w:t>
      </w:r>
      <w:r>
        <w:rPr>
          <w:rFonts w:hint="eastAsia" w:ascii="宋体" w:hAnsi="宋体" w:cs="微软雅黑"/>
          <w:color w:val="auto"/>
          <w:spacing w:val="-2"/>
          <w:kern w:val="0"/>
          <w:position w:val="-2"/>
          <w:szCs w:val="21"/>
          <w:highlight w:val="none"/>
        </w:rPr>
        <w:t>务</w:t>
      </w:r>
      <w:r>
        <w:rPr>
          <w:rFonts w:hint="eastAsia" w:ascii="宋体" w:hAnsi="宋体" w:cs="微软雅黑"/>
          <w:color w:val="auto"/>
          <w:kern w:val="0"/>
          <w:position w:val="-2"/>
          <w:szCs w:val="21"/>
          <w:highlight w:val="none"/>
        </w:rPr>
        <w:t>：</w:t>
      </w:r>
      <w:r>
        <w:rPr>
          <w:rFonts w:hint="eastAsia" w:ascii="宋体" w:hAnsi="宋体"/>
          <w:color w:val="auto"/>
          <w:szCs w:val="21"/>
          <w:highlight w:val="none"/>
          <w:u w:val="single"/>
        </w:rPr>
        <w:t xml:space="preserve">         </w:t>
      </w:r>
      <w:r>
        <w:rPr>
          <w:rFonts w:hint="eastAsia" w:ascii="宋体" w:hAnsi="宋体" w:cs="微软雅黑"/>
          <w:color w:val="auto"/>
          <w:kern w:val="0"/>
          <w:position w:val="-2"/>
          <w:szCs w:val="21"/>
          <w:highlight w:val="none"/>
        </w:rPr>
        <w:t>系</w:t>
      </w:r>
      <w:r>
        <w:rPr>
          <w:rFonts w:hint="eastAsia" w:ascii="宋体" w:hAnsi="宋体"/>
          <w:color w:val="auto"/>
          <w:szCs w:val="21"/>
          <w:highlight w:val="none"/>
          <w:u w:val="single"/>
        </w:rPr>
        <w:t xml:space="preserve">         </w:t>
      </w:r>
      <w:r>
        <w:rPr>
          <w:rFonts w:hint="eastAsia" w:ascii="宋体" w:hAnsi="宋体" w:cs="微软雅黑"/>
          <w:color w:val="auto"/>
          <w:spacing w:val="-2"/>
          <w:kern w:val="0"/>
          <w:position w:val="-2"/>
          <w:szCs w:val="21"/>
          <w:highlight w:val="none"/>
        </w:rPr>
        <w:t>（</w:t>
      </w:r>
      <w:r>
        <w:rPr>
          <w:rFonts w:hint="eastAsia" w:ascii="宋体" w:hAnsi="宋体" w:cs="微软雅黑"/>
          <w:color w:val="auto"/>
          <w:kern w:val="0"/>
          <w:position w:val="-2"/>
          <w:szCs w:val="21"/>
          <w:highlight w:val="none"/>
        </w:rPr>
        <w:t>供应商</w:t>
      </w:r>
      <w:r>
        <w:rPr>
          <w:rFonts w:hint="eastAsia" w:ascii="宋体" w:hAnsi="宋体" w:cs="微软雅黑"/>
          <w:color w:val="auto"/>
          <w:spacing w:val="-2"/>
          <w:kern w:val="0"/>
          <w:position w:val="-2"/>
          <w:szCs w:val="21"/>
          <w:highlight w:val="none"/>
        </w:rPr>
        <w:t>名</w:t>
      </w:r>
      <w:r>
        <w:rPr>
          <w:rFonts w:hint="eastAsia" w:ascii="宋体" w:hAnsi="宋体" w:cs="微软雅黑"/>
          <w:color w:val="auto"/>
          <w:kern w:val="0"/>
          <w:position w:val="-2"/>
          <w:szCs w:val="21"/>
          <w:highlight w:val="none"/>
        </w:rPr>
        <w:t>称</w:t>
      </w:r>
      <w:r>
        <w:rPr>
          <w:rFonts w:hint="eastAsia" w:ascii="宋体" w:hAnsi="宋体" w:cs="微软雅黑"/>
          <w:color w:val="auto"/>
          <w:spacing w:val="-2"/>
          <w:kern w:val="0"/>
          <w:position w:val="-2"/>
          <w:szCs w:val="21"/>
          <w:highlight w:val="none"/>
        </w:rPr>
        <w:t>）</w:t>
      </w:r>
      <w:r>
        <w:rPr>
          <w:rFonts w:hint="eastAsia" w:ascii="宋体" w:hAnsi="宋体" w:cs="微软雅黑"/>
          <w:color w:val="auto"/>
          <w:kern w:val="0"/>
          <w:position w:val="-2"/>
          <w:szCs w:val="21"/>
          <w:highlight w:val="none"/>
        </w:rPr>
        <w:t>的</w:t>
      </w:r>
      <w:r>
        <w:rPr>
          <w:rFonts w:hint="eastAsia" w:ascii="宋体" w:hAnsi="宋体" w:cs="微软雅黑"/>
          <w:color w:val="auto"/>
          <w:spacing w:val="-2"/>
          <w:kern w:val="0"/>
          <w:position w:val="-2"/>
          <w:szCs w:val="21"/>
          <w:highlight w:val="none"/>
        </w:rPr>
        <w:t>法定</w:t>
      </w:r>
      <w:r>
        <w:rPr>
          <w:rFonts w:hint="eastAsia" w:ascii="宋体" w:hAnsi="宋体" w:cs="微软雅黑"/>
          <w:color w:val="auto"/>
          <w:kern w:val="0"/>
          <w:position w:val="-2"/>
          <w:szCs w:val="21"/>
          <w:highlight w:val="none"/>
        </w:rPr>
        <w:t>代表</w:t>
      </w:r>
      <w:r>
        <w:rPr>
          <w:rFonts w:hint="eastAsia" w:ascii="宋体" w:hAnsi="宋体" w:cs="微软雅黑"/>
          <w:color w:val="auto"/>
          <w:spacing w:val="-2"/>
          <w:kern w:val="0"/>
          <w:position w:val="-2"/>
          <w:szCs w:val="21"/>
          <w:highlight w:val="none"/>
        </w:rPr>
        <w:t>人</w:t>
      </w:r>
      <w:r>
        <w:rPr>
          <w:rFonts w:hint="eastAsia" w:ascii="宋体" w:hAnsi="宋体" w:cs="微软雅黑"/>
          <w:color w:val="auto"/>
          <w:kern w:val="0"/>
          <w:position w:val="-2"/>
          <w:szCs w:val="21"/>
          <w:highlight w:val="none"/>
        </w:rPr>
        <w:t>（</w:t>
      </w:r>
      <w:r>
        <w:rPr>
          <w:rFonts w:hint="eastAsia" w:ascii="宋体" w:hAnsi="宋体" w:cs="微软雅黑"/>
          <w:color w:val="auto"/>
          <w:spacing w:val="-2"/>
          <w:kern w:val="0"/>
          <w:position w:val="-2"/>
          <w:szCs w:val="21"/>
          <w:highlight w:val="none"/>
        </w:rPr>
        <w:t>单</w:t>
      </w:r>
      <w:r>
        <w:rPr>
          <w:rFonts w:hint="eastAsia" w:ascii="宋体" w:hAnsi="宋体" w:cs="微软雅黑"/>
          <w:color w:val="auto"/>
          <w:kern w:val="0"/>
          <w:position w:val="-2"/>
          <w:szCs w:val="21"/>
          <w:highlight w:val="none"/>
        </w:rPr>
        <w:t>位</w:t>
      </w:r>
      <w:r>
        <w:rPr>
          <w:rFonts w:hint="eastAsia" w:ascii="宋体" w:hAnsi="宋体" w:cs="微软雅黑"/>
          <w:color w:val="auto"/>
          <w:spacing w:val="-2"/>
          <w:kern w:val="0"/>
          <w:position w:val="-2"/>
          <w:szCs w:val="21"/>
          <w:highlight w:val="none"/>
        </w:rPr>
        <w:t>负</w:t>
      </w:r>
      <w:r>
        <w:rPr>
          <w:rFonts w:hint="eastAsia" w:ascii="宋体" w:hAnsi="宋体" w:cs="微软雅黑"/>
          <w:color w:val="auto"/>
          <w:kern w:val="0"/>
          <w:position w:val="-2"/>
          <w:szCs w:val="21"/>
          <w:highlight w:val="none"/>
        </w:rPr>
        <w:t>责</w:t>
      </w:r>
      <w:r>
        <w:rPr>
          <w:rFonts w:hint="eastAsia" w:ascii="宋体" w:hAnsi="宋体" w:cs="微软雅黑"/>
          <w:color w:val="auto"/>
          <w:spacing w:val="-2"/>
          <w:kern w:val="0"/>
          <w:position w:val="-2"/>
          <w:szCs w:val="21"/>
          <w:highlight w:val="none"/>
        </w:rPr>
        <w:t>人</w:t>
      </w:r>
      <w:r>
        <w:rPr>
          <w:rFonts w:hint="eastAsia" w:ascii="宋体" w:hAnsi="宋体" w:cs="微软雅黑"/>
          <w:color w:val="auto"/>
          <w:spacing w:val="-106"/>
          <w:kern w:val="0"/>
          <w:position w:val="-2"/>
          <w:szCs w:val="21"/>
          <w:highlight w:val="none"/>
        </w:rPr>
        <w:t>）</w:t>
      </w:r>
      <w:r>
        <w:rPr>
          <w:rFonts w:hint="eastAsia" w:ascii="宋体" w:hAnsi="宋体" w:cs="微软雅黑"/>
          <w:color w:val="auto"/>
          <w:kern w:val="0"/>
          <w:position w:val="-2"/>
          <w:szCs w:val="21"/>
          <w:highlight w:val="none"/>
        </w:rPr>
        <w:t>。</w:t>
      </w:r>
    </w:p>
    <w:p>
      <w:pPr>
        <w:autoSpaceDE w:val="0"/>
        <w:autoSpaceDN w:val="0"/>
        <w:adjustRightInd w:val="0"/>
        <w:snapToGrid w:val="0"/>
        <w:spacing w:before="156" w:beforeLines="50" w:line="360" w:lineRule="auto"/>
        <w:ind w:left="520" w:right="-20"/>
        <w:jc w:val="left"/>
        <w:rPr>
          <w:rFonts w:ascii="宋体" w:hAnsi="宋体" w:cs="微软雅黑"/>
          <w:color w:val="auto"/>
          <w:kern w:val="0"/>
          <w:szCs w:val="21"/>
          <w:highlight w:val="none"/>
        </w:rPr>
      </w:pPr>
      <w:r>
        <w:rPr>
          <w:rFonts w:hint="eastAsia" w:ascii="宋体" w:hAnsi="宋体" w:cs="微软雅黑"/>
          <w:color w:val="auto"/>
          <w:kern w:val="0"/>
          <w:szCs w:val="21"/>
          <w:highlight w:val="none"/>
        </w:rPr>
        <w:t>特此</w:t>
      </w:r>
      <w:r>
        <w:rPr>
          <w:rFonts w:hint="eastAsia" w:ascii="宋体" w:hAnsi="宋体" w:cs="微软雅黑"/>
          <w:color w:val="auto"/>
          <w:spacing w:val="-2"/>
          <w:kern w:val="0"/>
          <w:szCs w:val="21"/>
          <w:highlight w:val="none"/>
        </w:rPr>
        <w:t>证</w:t>
      </w:r>
      <w:r>
        <w:rPr>
          <w:rFonts w:hint="eastAsia" w:ascii="宋体" w:hAnsi="宋体" w:cs="微软雅黑"/>
          <w:color w:val="auto"/>
          <w:kern w:val="0"/>
          <w:szCs w:val="21"/>
          <w:highlight w:val="none"/>
        </w:rPr>
        <w:t>明。</w:t>
      </w:r>
    </w:p>
    <w:p>
      <w:pPr>
        <w:autoSpaceDE w:val="0"/>
        <w:autoSpaceDN w:val="0"/>
        <w:adjustRightInd w:val="0"/>
        <w:snapToGrid w:val="0"/>
        <w:spacing w:before="156" w:beforeLines="50" w:line="360" w:lineRule="auto"/>
        <w:ind w:left="100" w:right="4231"/>
        <w:jc w:val="left"/>
        <w:rPr>
          <w:rFonts w:ascii="宋体" w:hAnsi="宋体" w:cs="微软雅黑"/>
          <w:color w:val="auto"/>
          <w:kern w:val="0"/>
          <w:szCs w:val="21"/>
          <w:highlight w:val="none"/>
        </w:rPr>
      </w:pPr>
      <w:r>
        <w:rPr>
          <w:rFonts w:hint="eastAsia" w:ascii="宋体" w:hAnsi="宋体" w:cs="微软雅黑"/>
          <w:color w:val="auto"/>
          <w:kern w:val="0"/>
          <w:szCs w:val="21"/>
          <w:highlight w:val="none"/>
        </w:rPr>
        <w:t>附：</w:t>
      </w: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s="微软雅黑"/>
          <w:color w:val="auto"/>
          <w:kern w:val="0"/>
          <w:szCs w:val="21"/>
          <w:highlight w:val="none"/>
        </w:rPr>
        <w:t>身</w:t>
      </w:r>
      <w:r>
        <w:rPr>
          <w:rFonts w:hint="eastAsia" w:ascii="宋体" w:hAnsi="宋体" w:cs="微软雅黑"/>
          <w:color w:val="auto"/>
          <w:spacing w:val="-2"/>
          <w:kern w:val="0"/>
          <w:szCs w:val="21"/>
          <w:highlight w:val="none"/>
        </w:rPr>
        <w:t>份</w:t>
      </w:r>
      <w:r>
        <w:rPr>
          <w:rFonts w:hint="eastAsia" w:ascii="宋体" w:hAnsi="宋体" w:cs="微软雅黑"/>
          <w:color w:val="auto"/>
          <w:kern w:val="0"/>
          <w:szCs w:val="21"/>
          <w:highlight w:val="none"/>
        </w:rPr>
        <w:t>证</w:t>
      </w:r>
      <w:r>
        <w:rPr>
          <w:rFonts w:hint="eastAsia" w:ascii="宋体" w:hAnsi="宋体" w:cs="微软雅黑"/>
          <w:color w:val="auto"/>
          <w:spacing w:val="-2"/>
          <w:kern w:val="0"/>
          <w:szCs w:val="21"/>
          <w:highlight w:val="none"/>
        </w:rPr>
        <w:t>复</w:t>
      </w:r>
      <w:r>
        <w:rPr>
          <w:rFonts w:hint="eastAsia" w:ascii="宋体" w:hAnsi="宋体" w:cs="微软雅黑"/>
          <w:color w:val="auto"/>
          <w:kern w:val="0"/>
          <w:szCs w:val="21"/>
          <w:highlight w:val="none"/>
        </w:rPr>
        <w:t>印</w:t>
      </w:r>
      <w:r>
        <w:rPr>
          <w:rFonts w:hint="eastAsia" w:ascii="宋体" w:hAnsi="宋体" w:cs="微软雅黑"/>
          <w:color w:val="auto"/>
          <w:spacing w:val="-2"/>
          <w:kern w:val="0"/>
          <w:szCs w:val="21"/>
          <w:highlight w:val="none"/>
        </w:rPr>
        <w:t>件</w:t>
      </w:r>
      <w:r>
        <w:rPr>
          <w:rFonts w:hint="eastAsia" w:ascii="宋体" w:hAnsi="宋体" w:cs="微软雅黑"/>
          <w:color w:val="auto"/>
          <w:kern w:val="0"/>
          <w:szCs w:val="21"/>
          <w:highlight w:val="none"/>
        </w:rPr>
        <w:t>。</w:t>
      </w:r>
    </w:p>
    <w:tbl>
      <w:tblPr>
        <w:tblStyle w:val="24"/>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shd w:val="clear" w:color="auto" w:fill="auto"/>
            <w:vAlign w:val="center"/>
          </w:tcPr>
          <w:p>
            <w:pPr>
              <w:adjustRightInd w:val="0"/>
              <w:snapToGrid w:val="0"/>
              <w:spacing w:before="156" w:beforeLines="50" w:line="360" w:lineRule="auto"/>
              <w:jc w:val="center"/>
              <w:rPr>
                <w:rFonts w:ascii="宋体" w:hAnsi="宋体"/>
                <w:color w:val="auto"/>
                <w:szCs w:val="21"/>
                <w:highlight w:val="none"/>
              </w:rPr>
            </w:pPr>
            <w:r>
              <w:rPr>
                <w:rFonts w:hint="eastAsia" w:ascii="宋体" w:hAnsi="宋体"/>
                <w:color w:val="auto"/>
                <w:szCs w:val="21"/>
                <w:highlight w:val="none"/>
              </w:rPr>
              <w:t>身份证（正面）</w:t>
            </w:r>
            <w:r>
              <w:rPr>
                <w:rFonts w:hint="eastAsia" w:ascii="宋体" w:hAnsi="宋体" w:cs="微软雅黑"/>
                <w:color w:val="auto"/>
                <w:spacing w:val="-2"/>
                <w:kern w:val="0"/>
                <w:szCs w:val="21"/>
                <w:highlight w:val="none"/>
              </w:rPr>
              <w:t>复</w:t>
            </w:r>
            <w:r>
              <w:rPr>
                <w:rFonts w:hint="eastAsia" w:ascii="宋体" w:hAnsi="宋体" w:cs="微软雅黑"/>
                <w:color w:val="auto"/>
                <w:kern w:val="0"/>
                <w:szCs w:val="21"/>
                <w:highlight w:val="none"/>
              </w:rPr>
              <w:t>印</w:t>
            </w:r>
            <w:r>
              <w:rPr>
                <w:rFonts w:hint="eastAsia" w:ascii="宋体" w:hAnsi="宋体" w:cs="微软雅黑"/>
                <w:color w:val="auto"/>
                <w:spacing w:val="-2"/>
                <w:kern w:val="0"/>
                <w:szCs w:val="21"/>
                <w:highlight w:val="none"/>
              </w:rPr>
              <w:t>件</w:t>
            </w:r>
          </w:p>
        </w:tc>
        <w:tc>
          <w:tcPr>
            <w:tcW w:w="3899" w:type="dxa"/>
            <w:shd w:val="clear" w:color="auto" w:fill="auto"/>
            <w:vAlign w:val="center"/>
          </w:tcPr>
          <w:p>
            <w:pPr>
              <w:adjustRightInd w:val="0"/>
              <w:snapToGrid w:val="0"/>
              <w:spacing w:before="156" w:beforeLines="50" w:line="360" w:lineRule="auto"/>
              <w:jc w:val="center"/>
              <w:rPr>
                <w:rFonts w:ascii="宋体" w:hAnsi="宋体"/>
                <w:color w:val="auto"/>
                <w:szCs w:val="21"/>
                <w:highlight w:val="none"/>
              </w:rPr>
            </w:pPr>
            <w:r>
              <w:rPr>
                <w:rFonts w:hint="eastAsia" w:ascii="宋体" w:hAnsi="宋体"/>
                <w:color w:val="auto"/>
                <w:szCs w:val="21"/>
                <w:highlight w:val="none"/>
              </w:rPr>
              <w:t>身份证（反面）</w:t>
            </w:r>
            <w:r>
              <w:rPr>
                <w:rFonts w:hint="eastAsia" w:ascii="宋体" w:hAnsi="宋体" w:cs="微软雅黑"/>
                <w:color w:val="auto"/>
                <w:spacing w:val="-2"/>
                <w:kern w:val="0"/>
                <w:szCs w:val="21"/>
                <w:highlight w:val="none"/>
              </w:rPr>
              <w:t>复</w:t>
            </w:r>
            <w:r>
              <w:rPr>
                <w:rFonts w:hint="eastAsia" w:ascii="宋体" w:hAnsi="宋体" w:cs="微软雅黑"/>
                <w:color w:val="auto"/>
                <w:kern w:val="0"/>
                <w:szCs w:val="21"/>
                <w:highlight w:val="none"/>
              </w:rPr>
              <w:t>印</w:t>
            </w:r>
            <w:r>
              <w:rPr>
                <w:rFonts w:hint="eastAsia" w:ascii="宋体" w:hAnsi="宋体" w:cs="微软雅黑"/>
                <w:color w:val="auto"/>
                <w:spacing w:val="-2"/>
                <w:kern w:val="0"/>
                <w:szCs w:val="21"/>
                <w:highlight w:val="none"/>
              </w:rPr>
              <w:t>件</w:t>
            </w:r>
          </w:p>
        </w:tc>
      </w:tr>
    </w:tbl>
    <w:p>
      <w:pPr>
        <w:adjustRightInd w:val="0"/>
        <w:snapToGrid w:val="0"/>
        <w:spacing w:before="156" w:beforeLines="50" w:line="360" w:lineRule="auto"/>
        <w:rPr>
          <w:rFonts w:ascii="宋体" w:hAnsi="宋体"/>
          <w:color w:val="auto"/>
          <w:szCs w:val="21"/>
          <w:highlight w:val="none"/>
        </w:rPr>
      </w:pPr>
    </w:p>
    <w:p>
      <w:pPr>
        <w:adjustRightInd w:val="0"/>
        <w:snapToGrid w:val="0"/>
        <w:spacing w:before="156" w:beforeLines="50" w:line="360" w:lineRule="auto"/>
        <w:rPr>
          <w:rFonts w:hint="eastAsia"/>
          <w:color w:val="auto"/>
          <w:szCs w:val="21"/>
          <w:highlight w:val="none"/>
        </w:rPr>
      </w:pPr>
      <w:r>
        <w:rPr>
          <w:rFonts w:hint="eastAsia" w:ascii="宋体" w:hAnsi="宋体"/>
          <w:color w:val="auto"/>
          <w:szCs w:val="21"/>
          <w:highlight w:val="none"/>
        </w:rPr>
        <w:t>注：</w:t>
      </w:r>
      <w:r>
        <w:rPr>
          <w:rFonts w:hint="eastAsia" w:ascii="宋体" w:hAnsi="宋体" w:eastAsia="宋体"/>
          <w:color w:val="auto"/>
          <w:szCs w:val="21"/>
          <w:highlight w:val="none"/>
          <w:lang w:eastAsia="zh-CN"/>
        </w:rPr>
        <w:t>由供应商法定代表人（单位负责人）参加开标会议时，</w:t>
      </w:r>
      <w:r>
        <w:rPr>
          <w:rFonts w:hint="eastAsia"/>
          <w:color w:val="auto"/>
          <w:szCs w:val="21"/>
          <w:highlight w:val="none"/>
        </w:rPr>
        <w:t>请</w:t>
      </w:r>
      <w:r>
        <w:rPr>
          <w:color w:val="auto"/>
          <w:szCs w:val="21"/>
          <w:highlight w:val="none"/>
        </w:rPr>
        <w:t>另外单独携带一份</w:t>
      </w:r>
      <w:r>
        <w:rPr>
          <w:rFonts w:hint="eastAsia"/>
          <w:color w:val="auto"/>
          <w:szCs w:val="21"/>
          <w:highlight w:val="none"/>
        </w:rPr>
        <w:t>此表</w:t>
      </w:r>
      <w:r>
        <w:rPr>
          <w:color w:val="auto"/>
          <w:szCs w:val="21"/>
          <w:highlight w:val="none"/>
        </w:rPr>
        <w:t>至开标现场，身份验证时交由</w:t>
      </w:r>
      <w:r>
        <w:rPr>
          <w:rFonts w:hint="eastAsia"/>
          <w:color w:val="auto"/>
          <w:szCs w:val="21"/>
          <w:highlight w:val="none"/>
        </w:rPr>
        <w:t>监管</w:t>
      </w:r>
      <w:r>
        <w:rPr>
          <w:color w:val="auto"/>
          <w:szCs w:val="21"/>
          <w:highlight w:val="none"/>
        </w:rPr>
        <w:t>查验</w:t>
      </w:r>
      <w:r>
        <w:rPr>
          <w:rFonts w:hint="eastAsia"/>
          <w:color w:val="auto"/>
          <w:szCs w:val="21"/>
          <w:highlight w:val="none"/>
        </w:rPr>
        <w:t>。</w:t>
      </w:r>
    </w:p>
    <w:p>
      <w:pPr>
        <w:adjustRightInd w:val="0"/>
        <w:snapToGrid w:val="0"/>
        <w:spacing w:before="156" w:beforeLines="50" w:line="360" w:lineRule="auto"/>
        <w:rPr>
          <w:rFonts w:ascii="宋体" w:hAnsi="宋体"/>
          <w:color w:val="auto"/>
          <w:szCs w:val="21"/>
          <w:highlight w:val="none"/>
        </w:rPr>
      </w:pPr>
    </w:p>
    <w:p>
      <w:pPr>
        <w:pStyle w:val="13"/>
        <w:adjustRightInd w:val="0"/>
        <w:snapToGrid w:val="0"/>
        <w:spacing w:before="156" w:beforeLines="50" w:line="360" w:lineRule="auto"/>
        <w:rPr>
          <w:rFonts w:hAnsi="宋体"/>
          <w:color w:val="auto"/>
          <w:highlight w:val="none"/>
        </w:rPr>
      </w:pPr>
      <w:r>
        <w:rPr>
          <w:rFonts w:hint="eastAsia" w:hAnsi="宋体"/>
          <w:color w:val="auto"/>
          <w:highlight w:val="none"/>
        </w:rPr>
        <w:t>供应商名称(盖单位公章)：</w:t>
      </w:r>
    </w:p>
    <w:p>
      <w:pPr>
        <w:adjustRightInd w:val="0"/>
        <w:snapToGrid w:val="0"/>
        <w:spacing w:before="156" w:beforeLines="50" w:line="360" w:lineRule="auto"/>
        <w:ind w:right="24"/>
        <w:rPr>
          <w:rFonts w:ascii="仿宋_GB2312" w:hAnsi="宋体" w:eastAsia="仿宋_GB2312"/>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spacing w:before="156" w:beforeLines="50" w:line="360" w:lineRule="auto"/>
        <w:rPr>
          <w:rFonts w:hint="eastAsia" w:ascii="宋体" w:hAnsi="宋体"/>
          <w:color w:val="auto"/>
          <w:szCs w:val="21"/>
          <w:highlight w:val="none"/>
        </w:rPr>
      </w:pPr>
    </w:p>
    <w:p>
      <w:pPr>
        <w:adjustRightInd w:val="0"/>
        <w:snapToGrid w:val="0"/>
        <w:spacing w:before="156" w:beforeLines="50" w:line="360" w:lineRule="auto"/>
        <w:rPr>
          <w:rFonts w:hint="eastAsia" w:ascii="宋体" w:hAnsi="宋体"/>
          <w:color w:val="auto"/>
          <w:szCs w:val="21"/>
          <w:highlight w:val="none"/>
        </w:rPr>
      </w:pPr>
    </w:p>
    <w:p>
      <w:pPr>
        <w:pStyle w:val="5"/>
        <w:numPr>
          <w:ilvl w:val="1"/>
          <w:numId w:val="0"/>
        </w:numPr>
        <w:tabs>
          <w:tab w:val="left" w:pos="0"/>
        </w:tabs>
        <w:ind w:leftChars="0"/>
        <w:jc w:val="center"/>
        <w:rPr>
          <w:rFonts w:ascii="黑体" w:hAnsi="黑体" w:eastAsia="黑体"/>
          <w:color w:val="auto"/>
          <w:sz w:val="28"/>
          <w:szCs w:val="28"/>
          <w:highlight w:val="none"/>
        </w:rPr>
      </w:pPr>
      <w:r>
        <w:rPr>
          <w:color w:val="auto"/>
          <w:highlight w:val="none"/>
        </w:rPr>
        <w:br w:type="page"/>
      </w:r>
      <w:bookmarkStart w:id="151" w:name="_Toc34637792"/>
      <w:bookmarkStart w:id="152" w:name="_Toc19140"/>
      <w:bookmarkStart w:id="153" w:name="_Toc31413"/>
      <w:r>
        <w:rPr>
          <w:rFonts w:hint="eastAsia" w:ascii="黑体" w:hAnsi="黑体" w:eastAsia="黑体"/>
          <w:color w:val="auto"/>
          <w:sz w:val="28"/>
          <w:szCs w:val="28"/>
          <w:highlight w:val="none"/>
        </w:rPr>
        <w:t>三、授权委托书(格式)</w:t>
      </w:r>
      <w:bookmarkEnd w:id="151"/>
      <w:bookmarkEnd w:id="152"/>
      <w:bookmarkEnd w:id="153"/>
    </w:p>
    <w:p>
      <w:pPr>
        <w:autoSpaceDE w:val="0"/>
        <w:autoSpaceDN w:val="0"/>
        <w:adjustRightInd w:val="0"/>
        <w:snapToGrid w:val="0"/>
        <w:spacing w:before="156" w:beforeLines="50" w:line="360" w:lineRule="auto"/>
        <w:ind w:firstLine="480" w:firstLineChars="200"/>
        <w:jc w:val="left"/>
        <w:rPr>
          <w:rFonts w:ascii="宋体" w:hAnsi="宋体" w:cs="宋体"/>
          <w:color w:val="auto"/>
          <w:kern w:val="0"/>
          <w:szCs w:val="21"/>
          <w:highlight w:val="none"/>
        </w:rPr>
      </w:pPr>
    </w:p>
    <w:p>
      <w:pPr>
        <w:autoSpaceDE w:val="0"/>
        <w:autoSpaceDN w:val="0"/>
        <w:adjustRightInd w:val="0"/>
        <w:snapToGrid w:val="0"/>
        <w:spacing w:before="156" w:beforeLines="50" w:line="360" w:lineRule="auto"/>
        <w:ind w:firstLine="48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（姓名、职务）系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olor w:val="auto"/>
          <w:szCs w:val="21"/>
          <w:highlight w:val="none"/>
        </w:rPr>
        <w:t>供应商</w:t>
      </w:r>
      <w:r>
        <w:rPr>
          <w:rFonts w:hint="eastAsia" w:ascii="宋体" w:hAnsi="宋体" w:cs="宋体"/>
          <w:color w:val="auto"/>
          <w:kern w:val="0"/>
          <w:szCs w:val="21"/>
          <w:highlight w:val="none"/>
        </w:rPr>
        <w:t>名称）的法定代表人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s="宋体"/>
          <w:color w:val="auto"/>
          <w:kern w:val="0"/>
          <w:szCs w:val="21"/>
          <w:highlight w:val="none"/>
        </w:rPr>
        <w:t>，现授权</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（姓名、职务）为我方代理人。代理人根据授权，以我方名义：(1)签署、澄清、补正、修改、撤回、提交</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（项目名称、</w:t>
      </w:r>
      <w:r>
        <w:rPr>
          <w:rFonts w:hint="eastAsia" w:ascii="宋体" w:hAnsi="宋体"/>
          <w:color w:val="auto"/>
          <w:szCs w:val="21"/>
          <w:highlight w:val="none"/>
        </w:rPr>
        <w:t>政府</w:t>
      </w:r>
      <w:r>
        <w:rPr>
          <w:rFonts w:hint="eastAsia" w:ascii="宋体" w:hAnsi="宋体" w:cs="宋体"/>
          <w:color w:val="auto"/>
          <w:kern w:val="0"/>
          <w:szCs w:val="21"/>
          <w:highlight w:val="none"/>
        </w:rPr>
        <w:t>采购编号、采购代理编号）响应文件；(2)签署并重新提交响应文件及最后报价；(3)退出</w:t>
      </w:r>
      <w:r>
        <w:rPr>
          <w:rFonts w:hint="eastAsia" w:ascii="宋体" w:hAnsi="宋体" w:cs="宋体"/>
          <w:color w:val="auto"/>
          <w:kern w:val="0"/>
          <w:szCs w:val="21"/>
          <w:highlight w:val="none"/>
          <w:lang w:eastAsia="zh-CN"/>
        </w:rPr>
        <w:t>磋商</w:t>
      </w:r>
      <w:r>
        <w:rPr>
          <w:rFonts w:hint="eastAsia" w:ascii="宋体" w:hAnsi="宋体" w:cs="宋体"/>
          <w:color w:val="auto"/>
          <w:kern w:val="0"/>
          <w:szCs w:val="21"/>
          <w:highlight w:val="none"/>
        </w:rPr>
        <w:t>（如可能）；(4)签订合同和处理有关事宜，其法律后果由我方承担。</w:t>
      </w:r>
    </w:p>
    <w:p>
      <w:pPr>
        <w:autoSpaceDE w:val="0"/>
        <w:autoSpaceDN w:val="0"/>
        <w:adjustRightInd w:val="0"/>
        <w:snapToGrid w:val="0"/>
        <w:spacing w:before="156" w:beforeLines="50" w:line="360" w:lineRule="auto"/>
        <w:ind w:firstLine="48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pPr>
        <w:adjustRightInd w:val="0"/>
        <w:snapToGrid w:val="0"/>
        <w:spacing w:before="156" w:beforeLines="50" w:line="360" w:lineRule="auto"/>
        <w:ind w:firstLine="435"/>
        <w:rPr>
          <w:rFonts w:ascii="宋体" w:hAnsi="宋体" w:cs="宋体"/>
          <w:color w:val="auto"/>
          <w:kern w:val="0"/>
          <w:szCs w:val="21"/>
          <w:highlight w:val="none"/>
        </w:rPr>
      </w:pPr>
      <w:r>
        <w:rPr>
          <w:rFonts w:hint="eastAsia" w:ascii="宋体" w:hAnsi="宋体" w:cs="宋体"/>
          <w:color w:val="auto"/>
          <w:kern w:val="0"/>
          <w:szCs w:val="21"/>
          <w:highlight w:val="none"/>
        </w:rPr>
        <w:t>代理人无转委托权。</w:t>
      </w:r>
    </w:p>
    <w:p>
      <w:pPr>
        <w:adjustRightInd w:val="0"/>
        <w:snapToGrid w:val="0"/>
        <w:spacing w:before="156" w:beforeLines="50" w:line="360" w:lineRule="auto"/>
        <w:ind w:firstLine="435"/>
        <w:rPr>
          <w:rFonts w:ascii="宋体" w:hAnsi="宋体" w:cs="微软雅黑"/>
          <w:color w:val="auto"/>
          <w:kern w:val="0"/>
          <w:szCs w:val="21"/>
          <w:highlight w:val="none"/>
        </w:rPr>
      </w:pPr>
      <w:r>
        <w:rPr>
          <w:rFonts w:hint="eastAsia" w:ascii="宋体" w:hAnsi="宋体"/>
          <w:color w:val="auto"/>
          <w:szCs w:val="21"/>
          <w:highlight w:val="none"/>
        </w:rPr>
        <w:t>本授权书于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日签字生效，特此声明。</w:t>
      </w:r>
    </w:p>
    <w:tbl>
      <w:tblPr>
        <w:tblStyle w:val="24"/>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8"/>
        <w:gridCol w:w="38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trPr>
        <w:tc>
          <w:tcPr>
            <w:tcW w:w="3898" w:type="dxa"/>
            <w:shd w:val="clear" w:color="auto" w:fill="auto"/>
            <w:vAlign w:val="center"/>
          </w:tcPr>
          <w:p>
            <w:pPr>
              <w:adjustRightInd w:val="0"/>
              <w:snapToGrid w:val="0"/>
              <w:spacing w:before="156" w:beforeLines="50" w:line="360" w:lineRule="auto"/>
              <w:jc w:val="center"/>
              <w:rPr>
                <w:rFonts w:ascii="宋体" w:hAnsi="宋体"/>
                <w:color w:val="auto"/>
                <w:szCs w:val="21"/>
                <w:highlight w:val="none"/>
              </w:rPr>
            </w:pPr>
            <w:r>
              <w:rPr>
                <w:rFonts w:hint="eastAsia" w:ascii="宋体" w:hAnsi="宋体"/>
                <w:color w:val="auto"/>
                <w:szCs w:val="21"/>
                <w:highlight w:val="none"/>
              </w:rPr>
              <w:t>身份证（正面）</w:t>
            </w:r>
            <w:r>
              <w:rPr>
                <w:rFonts w:hint="eastAsia" w:ascii="宋体" w:hAnsi="宋体" w:cs="微软雅黑"/>
                <w:color w:val="auto"/>
                <w:spacing w:val="-2"/>
                <w:kern w:val="0"/>
                <w:szCs w:val="21"/>
                <w:highlight w:val="none"/>
              </w:rPr>
              <w:t>复</w:t>
            </w:r>
            <w:r>
              <w:rPr>
                <w:rFonts w:hint="eastAsia" w:ascii="宋体" w:hAnsi="宋体" w:cs="微软雅黑"/>
                <w:color w:val="auto"/>
                <w:kern w:val="0"/>
                <w:szCs w:val="21"/>
                <w:highlight w:val="none"/>
              </w:rPr>
              <w:t>印</w:t>
            </w:r>
            <w:r>
              <w:rPr>
                <w:rFonts w:hint="eastAsia" w:ascii="宋体" w:hAnsi="宋体" w:cs="微软雅黑"/>
                <w:color w:val="auto"/>
                <w:spacing w:val="-2"/>
                <w:kern w:val="0"/>
                <w:szCs w:val="21"/>
                <w:highlight w:val="none"/>
              </w:rPr>
              <w:t>件</w:t>
            </w:r>
          </w:p>
        </w:tc>
        <w:tc>
          <w:tcPr>
            <w:tcW w:w="3899" w:type="dxa"/>
            <w:shd w:val="clear" w:color="auto" w:fill="auto"/>
            <w:vAlign w:val="center"/>
          </w:tcPr>
          <w:p>
            <w:pPr>
              <w:adjustRightInd w:val="0"/>
              <w:snapToGrid w:val="0"/>
              <w:spacing w:before="156" w:beforeLines="50" w:line="360" w:lineRule="auto"/>
              <w:jc w:val="center"/>
              <w:rPr>
                <w:rFonts w:ascii="宋体" w:hAnsi="宋体"/>
                <w:color w:val="auto"/>
                <w:szCs w:val="21"/>
                <w:highlight w:val="none"/>
              </w:rPr>
            </w:pPr>
            <w:r>
              <w:rPr>
                <w:rFonts w:hint="eastAsia" w:ascii="宋体" w:hAnsi="宋体"/>
                <w:color w:val="auto"/>
                <w:szCs w:val="21"/>
                <w:highlight w:val="none"/>
              </w:rPr>
              <w:t>身份证（反面）</w:t>
            </w:r>
            <w:r>
              <w:rPr>
                <w:rFonts w:hint="eastAsia" w:ascii="宋体" w:hAnsi="宋体" w:cs="微软雅黑"/>
                <w:color w:val="auto"/>
                <w:spacing w:val="-2"/>
                <w:kern w:val="0"/>
                <w:szCs w:val="21"/>
                <w:highlight w:val="none"/>
              </w:rPr>
              <w:t>复</w:t>
            </w:r>
            <w:r>
              <w:rPr>
                <w:rFonts w:hint="eastAsia" w:ascii="宋体" w:hAnsi="宋体" w:cs="微软雅黑"/>
                <w:color w:val="auto"/>
                <w:kern w:val="0"/>
                <w:szCs w:val="21"/>
                <w:highlight w:val="none"/>
              </w:rPr>
              <w:t>印</w:t>
            </w:r>
            <w:r>
              <w:rPr>
                <w:rFonts w:hint="eastAsia" w:ascii="宋体" w:hAnsi="宋体" w:cs="微软雅黑"/>
                <w:color w:val="auto"/>
                <w:spacing w:val="-2"/>
                <w:kern w:val="0"/>
                <w:szCs w:val="21"/>
                <w:highlight w:val="none"/>
              </w:rPr>
              <w:t>件</w:t>
            </w:r>
          </w:p>
        </w:tc>
      </w:tr>
    </w:tbl>
    <w:p>
      <w:pPr>
        <w:adjustRightInd w:val="0"/>
        <w:snapToGrid w:val="0"/>
        <w:spacing w:before="156" w:beforeLines="50" w:line="360" w:lineRule="auto"/>
        <w:ind w:firstLine="480" w:firstLineChars="200"/>
        <w:rPr>
          <w:rFonts w:ascii="宋体" w:hAnsi="宋体"/>
          <w:color w:val="auto"/>
          <w:szCs w:val="21"/>
          <w:highlight w:val="none"/>
        </w:rPr>
      </w:pPr>
    </w:p>
    <w:p>
      <w:pPr>
        <w:adjustRightInd w:val="0"/>
        <w:snapToGrid w:val="0"/>
        <w:spacing w:before="156" w:beforeLines="50" w:line="360" w:lineRule="auto"/>
        <w:ind w:firstLine="480" w:firstLineChars="200"/>
        <w:rPr>
          <w:rFonts w:ascii="宋体" w:hAnsi="宋体"/>
          <w:color w:val="auto"/>
          <w:szCs w:val="21"/>
          <w:highlight w:val="none"/>
        </w:rPr>
      </w:pPr>
    </w:p>
    <w:p>
      <w:pPr>
        <w:widowControl/>
        <w:topLinePunct/>
        <w:spacing w:line="440" w:lineRule="atLeast"/>
        <w:rPr>
          <w:color w:val="auto"/>
          <w:kern w:val="0"/>
          <w:szCs w:val="21"/>
          <w:highlight w:val="none"/>
        </w:rPr>
      </w:pPr>
      <w:r>
        <w:rPr>
          <w:rFonts w:hint="eastAsia" w:ascii="宋体" w:hAnsi="宋体"/>
          <w:color w:val="auto"/>
          <w:szCs w:val="21"/>
          <w:highlight w:val="none"/>
        </w:rPr>
        <w:t>注：</w:t>
      </w:r>
      <w:r>
        <w:rPr>
          <w:rFonts w:hint="eastAsia" w:ascii="宋体" w:hAnsi="宋体"/>
          <w:color w:val="auto"/>
          <w:szCs w:val="21"/>
          <w:highlight w:val="none"/>
          <w:lang w:eastAsia="zh-CN"/>
        </w:rPr>
        <w:t>授权</w:t>
      </w:r>
      <w:r>
        <w:rPr>
          <w:rFonts w:hint="eastAsia"/>
          <w:color w:val="auto"/>
          <w:szCs w:val="21"/>
          <w:highlight w:val="none"/>
        </w:rPr>
        <w:t>委托代理人参加</w:t>
      </w:r>
      <w:r>
        <w:rPr>
          <w:rFonts w:hint="eastAsia"/>
          <w:color w:val="auto"/>
          <w:szCs w:val="21"/>
          <w:highlight w:val="none"/>
          <w:lang w:eastAsia="zh-CN"/>
        </w:rPr>
        <w:t>开标会议时</w:t>
      </w:r>
      <w:r>
        <w:rPr>
          <w:rFonts w:hint="eastAsia"/>
          <w:color w:val="auto"/>
          <w:szCs w:val="21"/>
          <w:highlight w:val="none"/>
        </w:rPr>
        <w:t>，</w:t>
      </w:r>
      <w:r>
        <w:rPr>
          <w:rFonts w:hint="eastAsia"/>
          <w:color w:val="auto"/>
          <w:szCs w:val="21"/>
          <w:highlight w:val="none"/>
          <w:lang w:eastAsia="zh-CN"/>
        </w:rPr>
        <w:t>请另外单独携带一份此表（并附法定代表人（单位负责人）身份证明）</w:t>
      </w:r>
      <w:r>
        <w:rPr>
          <w:color w:val="auto"/>
          <w:szCs w:val="21"/>
          <w:highlight w:val="none"/>
        </w:rPr>
        <w:t>至开标现场，身份验证时交由</w:t>
      </w:r>
      <w:r>
        <w:rPr>
          <w:rFonts w:hint="eastAsia"/>
          <w:color w:val="auto"/>
          <w:szCs w:val="21"/>
          <w:highlight w:val="none"/>
        </w:rPr>
        <w:t>监管</w:t>
      </w:r>
      <w:r>
        <w:rPr>
          <w:color w:val="auto"/>
          <w:szCs w:val="21"/>
          <w:highlight w:val="none"/>
        </w:rPr>
        <w:t>查验。</w:t>
      </w:r>
    </w:p>
    <w:p>
      <w:pPr>
        <w:adjustRightInd w:val="0"/>
        <w:snapToGrid w:val="0"/>
        <w:spacing w:before="156" w:beforeLines="50" w:line="360" w:lineRule="auto"/>
        <w:rPr>
          <w:rFonts w:ascii="宋体" w:hAnsi="宋体"/>
          <w:color w:val="auto"/>
          <w:szCs w:val="21"/>
          <w:highlight w:val="none"/>
        </w:rPr>
      </w:pPr>
    </w:p>
    <w:p>
      <w:pPr>
        <w:adjustRightInd w:val="0"/>
        <w:snapToGrid w:val="0"/>
        <w:spacing w:before="156" w:beforeLines="50" w:line="360" w:lineRule="auto"/>
        <w:ind w:firstLine="480" w:firstLineChars="200"/>
        <w:rPr>
          <w:rFonts w:ascii="宋体" w:hAnsi="宋体"/>
          <w:color w:val="auto"/>
          <w:szCs w:val="21"/>
          <w:highlight w:val="none"/>
        </w:rPr>
      </w:pPr>
    </w:p>
    <w:p>
      <w:pPr>
        <w:adjustRightInd w:val="0"/>
        <w:snapToGrid w:val="0"/>
        <w:spacing w:before="156" w:beforeLines="50" w:line="360" w:lineRule="auto"/>
        <w:ind w:firstLine="480" w:firstLineChars="200"/>
        <w:rPr>
          <w:rFonts w:ascii="宋体" w:hAnsi="宋体"/>
          <w:color w:val="auto"/>
          <w:szCs w:val="21"/>
          <w:highlight w:val="none"/>
        </w:rPr>
      </w:pPr>
    </w:p>
    <w:p>
      <w:pPr>
        <w:pStyle w:val="13"/>
        <w:adjustRightInd w:val="0"/>
        <w:snapToGrid w:val="0"/>
        <w:spacing w:before="156" w:beforeLines="50" w:line="360" w:lineRule="auto"/>
        <w:rPr>
          <w:rFonts w:hAnsi="宋体"/>
          <w:color w:val="auto"/>
          <w:highlight w:val="none"/>
        </w:rPr>
      </w:pPr>
      <w:r>
        <w:rPr>
          <w:rFonts w:hint="eastAsia" w:hAnsi="宋体"/>
          <w:color w:val="auto"/>
          <w:highlight w:val="none"/>
        </w:rPr>
        <w:t>供应商名称(盖单位公章)：</w:t>
      </w:r>
    </w:p>
    <w:p>
      <w:pPr>
        <w:adjustRightInd w:val="0"/>
        <w:snapToGrid w:val="0"/>
        <w:spacing w:before="156" w:beforeLines="50" w:line="360" w:lineRule="auto"/>
        <w:rPr>
          <w:rFonts w:ascii="宋体" w:hAnsi="宋体"/>
          <w:color w:val="auto"/>
          <w:szCs w:val="21"/>
          <w:highlight w:val="none"/>
          <w:u w:val="singl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或其授权的代理人（签字或印章）：</w:t>
      </w:r>
      <w:r>
        <w:rPr>
          <w:rFonts w:hint="eastAsia" w:ascii="宋体" w:hAnsi="宋体"/>
          <w:color w:val="auto"/>
          <w:szCs w:val="21"/>
          <w:highlight w:val="none"/>
          <w:u w:val="single"/>
        </w:rPr>
        <w:t xml:space="preserve">               </w:t>
      </w:r>
    </w:p>
    <w:p>
      <w:pPr>
        <w:adjustRightInd w:val="0"/>
        <w:snapToGrid w:val="0"/>
        <w:spacing w:before="156" w:beforeLines="50" w:line="360" w:lineRule="auto"/>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pStyle w:val="5"/>
        <w:numPr>
          <w:ilvl w:val="1"/>
          <w:numId w:val="0"/>
        </w:numPr>
        <w:tabs>
          <w:tab w:val="left" w:pos="0"/>
        </w:tabs>
        <w:ind w:leftChars="0"/>
        <w:jc w:val="center"/>
        <w:rPr>
          <w:rFonts w:hint="eastAsia" w:ascii="黑体" w:hAnsi="黑体" w:eastAsia="黑体"/>
          <w:color w:val="auto"/>
          <w:sz w:val="28"/>
          <w:szCs w:val="28"/>
          <w:highlight w:val="none"/>
          <w:lang w:eastAsia="zh-CN"/>
        </w:rPr>
      </w:pPr>
      <w:r>
        <w:rPr>
          <w:rFonts w:ascii="宋体"/>
          <w:color w:val="auto"/>
          <w:highlight w:val="none"/>
        </w:rPr>
        <w:br w:type="page"/>
      </w:r>
      <w:bookmarkStart w:id="154" w:name="_Toc10058"/>
      <w:bookmarkStart w:id="155" w:name="_Toc5563"/>
      <w:bookmarkStart w:id="156" w:name="_Toc34637793"/>
      <w:r>
        <w:rPr>
          <w:rFonts w:hint="eastAsia" w:ascii="黑体" w:hAnsi="黑体" w:eastAsia="黑体"/>
          <w:color w:val="auto"/>
          <w:sz w:val="28"/>
          <w:szCs w:val="28"/>
          <w:highlight w:val="none"/>
        </w:rPr>
        <w:t>四、保证金</w:t>
      </w:r>
      <w:bookmarkEnd w:id="154"/>
      <w:bookmarkEnd w:id="155"/>
      <w:bookmarkEnd w:id="156"/>
    </w:p>
    <w:p>
      <w:pPr>
        <w:adjustRightInd w:val="0"/>
        <w:snapToGrid w:val="0"/>
        <w:spacing w:before="156" w:beforeLines="50" w:line="360" w:lineRule="auto"/>
        <w:ind w:firstLine="482" w:firstLineChars="200"/>
        <w:jc w:val="left"/>
        <w:rPr>
          <w:rFonts w:ascii="宋体" w:hAnsi="宋体"/>
          <w:color w:val="auto"/>
          <w:szCs w:val="21"/>
          <w:highlight w:val="none"/>
        </w:rPr>
      </w:pPr>
      <w:r>
        <w:rPr>
          <w:rFonts w:hint="eastAsia" w:ascii="宋体" w:hAnsi="宋体"/>
          <w:b/>
          <w:color w:val="auto"/>
          <w:szCs w:val="21"/>
          <w:highlight w:val="none"/>
        </w:rPr>
        <w:t>备注</w:t>
      </w:r>
      <w:r>
        <w:rPr>
          <w:rFonts w:hint="eastAsia" w:ascii="宋体" w:hAnsi="宋体"/>
          <w:color w:val="auto"/>
          <w:szCs w:val="21"/>
          <w:highlight w:val="none"/>
        </w:rPr>
        <w:t>：提供：付款凭证复印件。</w:t>
      </w:r>
    </w:p>
    <w:p>
      <w:pPr>
        <w:pStyle w:val="5"/>
        <w:numPr>
          <w:ilvl w:val="1"/>
          <w:numId w:val="0"/>
        </w:numPr>
        <w:tabs>
          <w:tab w:val="left" w:pos="0"/>
        </w:tabs>
        <w:ind w:leftChars="0"/>
        <w:jc w:val="center"/>
        <w:rPr>
          <w:rFonts w:hint="eastAsia" w:ascii="黑体" w:hAnsi="黑体" w:eastAsia="黑体"/>
          <w:color w:val="auto"/>
          <w:sz w:val="28"/>
          <w:szCs w:val="28"/>
          <w:highlight w:val="none"/>
        </w:rPr>
      </w:pPr>
      <w:bookmarkStart w:id="157" w:name="_Toc738"/>
      <w:bookmarkStart w:id="158" w:name="_Toc29104"/>
      <w:bookmarkStart w:id="159" w:name="_Toc34637795"/>
    </w:p>
    <w:p>
      <w:pPr>
        <w:rPr>
          <w:rFonts w:hint="eastAsia" w:ascii="黑体" w:hAnsi="黑体" w:eastAsia="黑体"/>
          <w:color w:val="auto"/>
          <w:sz w:val="28"/>
          <w:szCs w:val="28"/>
          <w:highlight w:val="none"/>
        </w:rPr>
      </w:pPr>
    </w:p>
    <w:p>
      <w:pPr>
        <w:pStyle w:val="30"/>
        <w:rPr>
          <w:rFonts w:hint="eastAsia"/>
        </w:rPr>
      </w:pPr>
    </w:p>
    <w:p>
      <w:pPr>
        <w:pStyle w:val="5"/>
        <w:numPr>
          <w:ilvl w:val="1"/>
          <w:numId w:val="0"/>
        </w:numPr>
        <w:tabs>
          <w:tab w:val="left" w:pos="0"/>
        </w:tabs>
        <w:ind w:leftChars="0"/>
        <w:jc w:val="center"/>
        <w:rPr>
          <w:rFonts w:hint="eastAsia" w:ascii="黑体" w:hAnsi="黑体" w:eastAsia="黑体"/>
          <w:color w:val="auto"/>
          <w:sz w:val="28"/>
          <w:szCs w:val="28"/>
          <w:highlight w:val="none"/>
        </w:rPr>
      </w:pPr>
    </w:p>
    <w:p>
      <w:pPr>
        <w:pStyle w:val="5"/>
        <w:numPr>
          <w:ilvl w:val="1"/>
          <w:numId w:val="0"/>
        </w:numPr>
        <w:tabs>
          <w:tab w:val="left" w:pos="0"/>
        </w:tabs>
        <w:ind w:leftChars="0"/>
        <w:jc w:val="center"/>
        <w:rPr>
          <w:rFonts w:hint="eastAsia" w:ascii="黑体" w:hAnsi="黑体" w:eastAsia="黑体"/>
          <w:color w:val="auto"/>
          <w:sz w:val="28"/>
          <w:szCs w:val="28"/>
          <w:highlight w:val="none"/>
        </w:rPr>
      </w:pPr>
    </w:p>
    <w:p>
      <w:pPr>
        <w:pStyle w:val="5"/>
        <w:numPr>
          <w:ilvl w:val="1"/>
          <w:numId w:val="0"/>
        </w:numPr>
        <w:tabs>
          <w:tab w:val="left" w:pos="0"/>
        </w:tabs>
        <w:ind w:leftChars="0"/>
        <w:jc w:val="center"/>
        <w:rPr>
          <w:rFonts w:hint="eastAsia" w:ascii="黑体" w:hAnsi="黑体" w:eastAsia="黑体"/>
          <w:color w:val="auto"/>
          <w:sz w:val="28"/>
          <w:szCs w:val="28"/>
          <w:highlight w:val="none"/>
        </w:rPr>
      </w:pPr>
    </w:p>
    <w:p>
      <w:pPr>
        <w:pStyle w:val="5"/>
        <w:numPr>
          <w:ilvl w:val="1"/>
          <w:numId w:val="0"/>
        </w:numPr>
        <w:tabs>
          <w:tab w:val="left" w:pos="0"/>
        </w:tabs>
        <w:ind w:leftChars="0"/>
        <w:jc w:val="center"/>
        <w:rPr>
          <w:rFonts w:hint="eastAsia" w:ascii="黑体" w:hAnsi="黑体" w:eastAsia="黑体"/>
          <w:color w:val="auto"/>
          <w:sz w:val="28"/>
          <w:szCs w:val="28"/>
          <w:highlight w:val="none"/>
        </w:rPr>
      </w:pPr>
    </w:p>
    <w:p>
      <w:pPr>
        <w:pStyle w:val="5"/>
        <w:numPr>
          <w:ilvl w:val="1"/>
          <w:numId w:val="0"/>
        </w:numPr>
        <w:tabs>
          <w:tab w:val="left" w:pos="0"/>
        </w:tabs>
        <w:ind w:leftChars="0"/>
        <w:jc w:val="center"/>
        <w:rPr>
          <w:rFonts w:hint="eastAsia" w:ascii="黑体" w:hAnsi="黑体" w:eastAsia="黑体"/>
          <w:color w:val="auto"/>
          <w:sz w:val="28"/>
          <w:szCs w:val="28"/>
          <w:highlight w:val="none"/>
        </w:rPr>
      </w:pPr>
    </w:p>
    <w:p>
      <w:pPr>
        <w:pStyle w:val="5"/>
        <w:numPr>
          <w:ilvl w:val="1"/>
          <w:numId w:val="0"/>
        </w:numPr>
        <w:tabs>
          <w:tab w:val="left" w:pos="0"/>
        </w:tabs>
        <w:ind w:leftChars="0"/>
        <w:jc w:val="center"/>
        <w:rPr>
          <w:rFonts w:hint="eastAsia" w:ascii="黑体" w:hAnsi="黑体" w:eastAsia="黑体"/>
          <w:color w:val="auto"/>
          <w:sz w:val="28"/>
          <w:szCs w:val="28"/>
          <w:highlight w:val="none"/>
        </w:rPr>
      </w:pPr>
    </w:p>
    <w:p>
      <w:pPr>
        <w:pStyle w:val="5"/>
        <w:numPr>
          <w:ilvl w:val="1"/>
          <w:numId w:val="0"/>
        </w:numPr>
        <w:tabs>
          <w:tab w:val="left" w:pos="0"/>
        </w:tabs>
        <w:ind w:leftChars="0"/>
        <w:jc w:val="center"/>
        <w:rPr>
          <w:rFonts w:hint="eastAsia" w:ascii="黑体" w:hAnsi="黑体" w:eastAsia="黑体"/>
          <w:color w:val="auto"/>
          <w:sz w:val="28"/>
          <w:szCs w:val="28"/>
          <w:highlight w:val="none"/>
        </w:rPr>
      </w:pPr>
    </w:p>
    <w:p>
      <w:pPr>
        <w:pStyle w:val="5"/>
        <w:numPr>
          <w:ilvl w:val="1"/>
          <w:numId w:val="0"/>
        </w:numPr>
        <w:tabs>
          <w:tab w:val="left" w:pos="0"/>
        </w:tabs>
        <w:ind w:leftChars="0"/>
        <w:jc w:val="center"/>
        <w:rPr>
          <w:rFonts w:hint="eastAsia" w:ascii="黑体" w:hAnsi="黑体" w:eastAsia="黑体"/>
          <w:color w:val="auto"/>
          <w:sz w:val="28"/>
          <w:szCs w:val="28"/>
          <w:highlight w:val="none"/>
        </w:rPr>
      </w:pPr>
    </w:p>
    <w:p>
      <w:pPr>
        <w:pStyle w:val="5"/>
        <w:numPr>
          <w:ilvl w:val="1"/>
          <w:numId w:val="0"/>
        </w:numPr>
        <w:tabs>
          <w:tab w:val="left" w:pos="0"/>
        </w:tabs>
        <w:ind w:leftChars="0"/>
        <w:jc w:val="center"/>
        <w:rPr>
          <w:rFonts w:hint="eastAsia" w:ascii="黑体" w:hAnsi="黑体" w:eastAsia="黑体"/>
          <w:color w:val="auto"/>
          <w:sz w:val="28"/>
          <w:szCs w:val="28"/>
          <w:highlight w:val="none"/>
        </w:rPr>
      </w:pPr>
    </w:p>
    <w:p>
      <w:pPr>
        <w:pStyle w:val="5"/>
        <w:numPr>
          <w:ilvl w:val="1"/>
          <w:numId w:val="0"/>
        </w:numPr>
        <w:tabs>
          <w:tab w:val="left" w:pos="0"/>
        </w:tabs>
        <w:ind w:leftChars="0"/>
        <w:jc w:val="center"/>
        <w:rPr>
          <w:rFonts w:hint="eastAsia" w:ascii="黑体" w:hAnsi="黑体" w:eastAsia="黑体"/>
          <w:color w:val="auto"/>
          <w:sz w:val="28"/>
          <w:szCs w:val="28"/>
          <w:highlight w:val="none"/>
        </w:rPr>
      </w:pPr>
    </w:p>
    <w:p>
      <w:pPr>
        <w:rPr>
          <w:rFonts w:hint="eastAsia"/>
        </w:rPr>
      </w:pPr>
    </w:p>
    <w:bookmarkEnd w:id="157"/>
    <w:bookmarkEnd w:id="158"/>
    <w:bookmarkEnd w:id="159"/>
    <w:p>
      <w:pPr>
        <w:pStyle w:val="5"/>
        <w:numPr>
          <w:ilvl w:val="1"/>
          <w:numId w:val="0"/>
        </w:numPr>
        <w:tabs>
          <w:tab w:val="left" w:pos="0"/>
        </w:tabs>
        <w:ind w:leftChars="0"/>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五、报价表及报价文件(格式)</w:t>
      </w:r>
    </w:p>
    <w:p>
      <w:pPr>
        <w:pStyle w:val="6"/>
        <w:rPr>
          <w:rFonts w:ascii="宋体" w:hAnsi="宋体"/>
          <w:color w:val="auto"/>
          <w:sz w:val="21"/>
          <w:szCs w:val="21"/>
          <w:highlight w:val="none"/>
        </w:rPr>
      </w:pPr>
      <w:bookmarkStart w:id="160" w:name="_Toc21488"/>
      <w:bookmarkStart w:id="161" w:name="_Toc34637796"/>
      <w:bookmarkStart w:id="162" w:name="_Toc12798"/>
      <w:r>
        <w:rPr>
          <w:rFonts w:hint="eastAsia" w:ascii="宋体" w:hAnsi="宋体"/>
          <w:color w:val="auto"/>
          <w:sz w:val="21"/>
          <w:szCs w:val="21"/>
          <w:highlight w:val="none"/>
        </w:rPr>
        <w:t>件5-1 报价表</w:t>
      </w:r>
      <w:bookmarkEnd w:id="160"/>
      <w:bookmarkEnd w:id="161"/>
      <w:bookmarkEnd w:id="162"/>
    </w:p>
    <w:p>
      <w:pPr>
        <w:jc w:val="center"/>
        <w:rPr>
          <w:rFonts w:ascii="黑体" w:hAnsi="黑体" w:eastAsia="黑体"/>
          <w:b/>
          <w:color w:val="auto"/>
          <w:sz w:val="28"/>
          <w:szCs w:val="28"/>
          <w:highlight w:val="none"/>
        </w:rPr>
      </w:pPr>
      <w:r>
        <w:rPr>
          <w:rFonts w:hint="eastAsia" w:ascii="黑体" w:hAnsi="黑体" w:eastAsia="黑体"/>
          <w:b/>
          <w:color w:val="auto"/>
          <w:sz w:val="28"/>
          <w:szCs w:val="28"/>
          <w:highlight w:val="none"/>
        </w:rPr>
        <w:t>报价表</w:t>
      </w:r>
    </w:p>
    <w:p>
      <w:pPr>
        <w:adjustRightInd w:val="0"/>
        <w:snapToGrid w:val="0"/>
        <w:spacing w:line="360" w:lineRule="auto"/>
        <w:ind w:left="-101" w:leftChars="-42"/>
        <w:jc w:val="center"/>
        <w:rPr>
          <w:rFonts w:ascii="仿宋_GB2312" w:hAnsi="宋体" w:eastAsia="仿宋_GB2312"/>
          <w:color w:val="auto"/>
          <w:sz w:val="24"/>
          <w:highlight w:val="none"/>
        </w:rPr>
      </w:pPr>
    </w:p>
    <w:p>
      <w:pPr>
        <w:adjustRightInd w:val="0"/>
        <w:snapToGrid w:val="0"/>
        <w:spacing w:before="156" w:beforeLines="50" w:line="360" w:lineRule="auto"/>
        <w:rPr>
          <w:rFonts w:ascii="宋体" w:hAnsi="宋体"/>
          <w:color w:val="auto"/>
          <w:szCs w:val="21"/>
          <w:highlight w:val="none"/>
        </w:rPr>
      </w:pPr>
      <w:r>
        <w:rPr>
          <w:rFonts w:hint="eastAsia" w:ascii="宋体" w:hAnsi="宋体"/>
          <w:color w:val="auto"/>
          <w:szCs w:val="21"/>
          <w:highlight w:val="none"/>
        </w:rPr>
        <w:t>采购代理编号：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 xml:space="preserve">                       项目名称：</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 xml:space="preserve"> </w:t>
      </w:r>
    </w:p>
    <w:p>
      <w:pPr>
        <w:adjustRightInd w:val="0"/>
        <w:snapToGrid w:val="0"/>
        <w:spacing w:before="156" w:beforeLines="50" w:line="360" w:lineRule="auto"/>
        <w:rPr>
          <w:rFonts w:ascii="宋体" w:hAnsi="宋体"/>
          <w:b/>
          <w:color w:val="auto"/>
          <w:szCs w:val="21"/>
          <w:highlight w:val="none"/>
        </w:rPr>
      </w:pPr>
      <w:r>
        <w:rPr>
          <w:rFonts w:hint="eastAsia" w:ascii="宋体" w:hAnsi="宋体"/>
          <w:color w:val="auto"/>
          <w:szCs w:val="21"/>
          <w:highlight w:val="none"/>
        </w:rPr>
        <w:t>包号：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 xml:space="preserve">                             包名称：</w:t>
      </w:r>
      <w:r>
        <w:rPr>
          <w:rFonts w:hint="eastAsia" w:ascii="宋体" w:hAnsi="宋体"/>
          <w:color w:val="auto"/>
          <w:szCs w:val="21"/>
          <w:highlight w:val="none"/>
          <w:u w:val="single"/>
          <w:lang w:val="en-US" w:eastAsia="zh-CN"/>
        </w:rPr>
        <w:t xml:space="preserve">              </w:t>
      </w:r>
    </w:p>
    <w:tbl>
      <w:tblPr>
        <w:tblStyle w:val="24"/>
        <w:tblW w:w="878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670"/>
        <w:gridCol w:w="3119"/>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shd w:val="clear" w:color="auto" w:fill="auto"/>
            <w:vAlign w:val="center"/>
          </w:tcPr>
          <w:p>
            <w:pPr>
              <w:adjustRightInd w:val="0"/>
              <w:snapToGrid w:val="0"/>
              <w:spacing w:before="156" w:beforeLines="50" w:line="360" w:lineRule="auto"/>
              <w:jc w:val="center"/>
              <w:rPr>
                <w:rFonts w:ascii="宋体" w:hAnsi="宋体"/>
                <w:b/>
                <w:color w:val="auto"/>
                <w:kern w:val="0"/>
                <w:sz w:val="20"/>
                <w:szCs w:val="21"/>
                <w:highlight w:val="none"/>
              </w:rPr>
            </w:pPr>
            <w:r>
              <w:rPr>
                <w:rFonts w:hint="eastAsia" w:ascii="宋体" w:hAnsi="宋体"/>
                <w:b/>
                <w:color w:val="auto"/>
                <w:kern w:val="0"/>
                <w:szCs w:val="21"/>
                <w:highlight w:val="none"/>
              </w:rPr>
              <w:t>报价</w:t>
            </w:r>
          </w:p>
        </w:tc>
        <w:tc>
          <w:tcPr>
            <w:tcW w:w="3119" w:type="dxa"/>
            <w:shd w:val="clear" w:color="auto" w:fill="auto"/>
            <w:vAlign w:val="center"/>
          </w:tcPr>
          <w:p>
            <w:pPr>
              <w:adjustRightInd w:val="0"/>
              <w:snapToGrid w:val="0"/>
              <w:spacing w:before="156" w:beforeLines="50" w:line="360" w:lineRule="auto"/>
              <w:jc w:val="center"/>
              <w:rPr>
                <w:rFonts w:ascii="宋体" w:hAnsi="宋体"/>
                <w:b/>
                <w:color w:val="auto"/>
                <w:kern w:val="0"/>
                <w:szCs w:val="21"/>
                <w:highlight w:val="none"/>
              </w:rPr>
            </w:pPr>
            <w:r>
              <w:rPr>
                <w:rFonts w:hint="eastAsia" w:ascii="宋体" w:hAnsi="宋体"/>
                <w:b/>
                <w:color w:val="auto"/>
                <w:kern w:val="0"/>
                <w:szCs w:val="21"/>
                <w:highlight w:val="none"/>
              </w:rPr>
              <w:t>其他内容</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23" w:hRule="atLeast"/>
        </w:trPr>
        <w:tc>
          <w:tcPr>
            <w:tcW w:w="5670" w:type="dxa"/>
            <w:shd w:val="clear" w:color="auto" w:fill="auto"/>
            <w:vAlign w:val="center"/>
          </w:tcPr>
          <w:p>
            <w:pPr>
              <w:adjustRightInd w:val="0"/>
              <w:snapToGrid w:val="0"/>
              <w:spacing w:before="156" w:beforeLines="50" w:line="360" w:lineRule="auto"/>
              <w:jc w:val="center"/>
              <w:rPr>
                <w:rFonts w:ascii="宋体" w:hAnsi="宋体"/>
                <w:color w:val="auto"/>
                <w:kern w:val="0"/>
                <w:szCs w:val="21"/>
                <w:highlight w:val="none"/>
              </w:rPr>
            </w:pPr>
            <w:r>
              <w:rPr>
                <w:rFonts w:hint="eastAsia" w:ascii="宋体" w:hAnsi="宋体"/>
                <w:color w:val="auto"/>
                <w:kern w:val="0"/>
                <w:szCs w:val="21"/>
                <w:highlight w:val="none"/>
              </w:rPr>
              <w:t>小写金额：</w:t>
            </w:r>
            <w:r>
              <w:rPr>
                <w:rFonts w:hint="eastAsia" w:ascii="宋体" w:hAnsi="宋体"/>
                <w:color w:val="auto"/>
                <w:szCs w:val="21"/>
                <w:highlight w:val="none"/>
                <w:u w:val="single"/>
                <w:lang w:val="en-US" w:eastAsia="zh-CN"/>
              </w:rPr>
              <w:t xml:space="preserve">              </w:t>
            </w:r>
            <w:r>
              <w:rPr>
                <w:rFonts w:hint="eastAsia" w:ascii="宋体" w:hAnsi="宋体"/>
                <w:color w:val="auto"/>
                <w:kern w:val="0"/>
                <w:szCs w:val="21"/>
                <w:highlight w:val="none"/>
              </w:rPr>
              <w:t>（</w:t>
            </w:r>
            <w:r>
              <w:rPr>
                <w:rFonts w:hint="eastAsia" w:ascii="宋体" w:hAnsi="宋体"/>
                <w:color w:val="auto"/>
                <w:kern w:val="0"/>
                <w:sz w:val="20"/>
                <w:szCs w:val="21"/>
                <w:highlight w:val="none"/>
              </w:rPr>
              <w:t>人民币元</w:t>
            </w:r>
            <w:r>
              <w:rPr>
                <w:rFonts w:hint="eastAsia" w:ascii="宋体" w:hAnsi="宋体"/>
                <w:color w:val="auto"/>
                <w:kern w:val="0"/>
                <w:szCs w:val="21"/>
                <w:highlight w:val="none"/>
              </w:rPr>
              <w:t>）</w:t>
            </w:r>
          </w:p>
          <w:p>
            <w:pPr>
              <w:adjustRightInd w:val="0"/>
              <w:snapToGrid w:val="0"/>
              <w:spacing w:before="156" w:beforeLines="50" w:line="360" w:lineRule="auto"/>
              <w:jc w:val="center"/>
              <w:rPr>
                <w:rFonts w:ascii="宋体" w:hAnsi="宋体"/>
                <w:color w:val="auto"/>
                <w:kern w:val="0"/>
                <w:szCs w:val="21"/>
                <w:highlight w:val="none"/>
                <w:u w:val="single"/>
              </w:rPr>
            </w:pPr>
            <w:r>
              <w:rPr>
                <w:rFonts w:hint="eastAsia" w:ascii="宋体" w:hAnsi="宋体"/>
                <w:color w:val="auto"/>
                <w:kern w:val="0"/>
                <w:szCs w:val="21"/>
                <w:highlight w:val="none"/>
              </w:rPr>
              <w:t>大写金额：</w:t>
            </w:r>
            <w:r>
              <w:rPr>
                <w:rFonts w:hint="eastAsia" w:ascii="宋体" w:hAnsi="宋体"/>
                <w:color w:val="auto"/>
                <w:szCs w:val="21"/>
                <w:highlight w:val="none"/>
                <w:u w:val="single"/>
                <w:lang w:val="en-US" w:eastAsia="zh-CN"/>
              </w:rPr>
              <w:t xml:space="preserve">              </w:t>
            </w:r>
            <w:r>
              <w:rPr>
                <w:rFonts w:hint="eastAsia" w:ascii="宋体" w:hAnsi="宋体"/>
                <w:color w:val="auto"/>
                <w:kern w:val="0"/>
                <w:szCs w:val="21"/>
                <w:highlight w:val="none"/>
              </w:rPr>
              <w:t>（</w:t>
            </w:r>
            <w:r>
              <w:rPr>
                <w:rFonts w:hint="eastAsia" w:ascii="宋体" w:hAnsi="宋体"/>
                <w:color w:val="auto"/>
                <w:kern w:val="0"/>
                <w:sz w:val="20"/>
                <w:szCs w:val="21"/>
                <w:highlight w:val="none"/>
              </w:rPr>
              <w:t>人民币元</w:t>
            </w:r>
            <w:r>
              <w:rPr>
                <w:rFonts w:hint="eastAsia" w:ascii="宋体" w:hAnsi="宋体"/>
                <w:color w:val="auto"/>
                <w:kern w:val="0"/>
                <w:szCs w:val="21"/>
                <w:highlight w:val="none"/>
              </w:rPr>
              <w:t>）</w:t>
            </w:r>
          </w:p>
          <w:p>
            <w:pPr>
              <w:adjustRightInd w:val="0"/>
              <w:snapToGrid w:val="0"/>
              <w:spacing w:before="156" w:beforeLines="50" w:line="360" w:lineRule="auto"/>
              <w:jc w:val="center"/>
              <w:rPr>
                <w:rFonts w:ascii="宋体" w:hAnsi="宋体"/>
                <w:color w:val="auto"/>
                <w:kern w:val="0"/>
                <w:sz w:val="20"/>
                <w:szCs w:val="21"/>
                <w:highlight w:val="none"/>
              </w:rPr>
            </w:pPr>
            <w:r>
              <w:rPr>
                <w:rFonts w:hint="eastAsia" w:ascii="宋体" w:hAnsi="宋体"/>
                <w:color w:val="auto"/>
                <w:kern w:val="0"/>
                <w:szCs w:val="21"/>
                <w:highlight w:val="none"/>
              </w:rPr>
              <w:t>（</w:t>
            </w:r>
            <w:r>
              <w:rPr>
                <w:rFonts w:hint="eastAsia" w:ascii="黑体" w:hAnsi="黑体" w:eastAsia="黑体"/>
                <w:color w:val="auto"/>
                <w:kern w:val="0"/>
                <w:sz w:val="24"/>
                <w:highlight w:val="none"/>
              </w:rPr>
              <w:t>大写金额与小写金额不一致时，以大写金额为准</w:t>
            </w:r>
            <w:r>
              <w:rPr>
                <w:rFonts w:hint="eastAsia" w:ascii="宋体" w:hAnsi="宋体"/>
                <w:color w:val="auto"/>
                <w:kern w:val="0"/>
                <w:szCs w:val="21"/>
                <w:highlight w:val="none"/>
              </w:rPr>
              <w:t>）</w:t>
            </w:r>
          </w:p>
        </w:tc>
        <w:tc>
          <w:tcPr>
            <w:tcW w:w="3119" w:type="dxa"/>
            <w:shd w:val="clear" w:color="auto" w:fill="auto"/>
            <w:vAlign w:val="center"/>
          </w:tcPr>
          <w:p>
            <w:pPr>
              <w:adjustRightInd w:val="0"/>
              <w:snapToGrid w:val="0"/>
              <w:spacing w:before="156" w:beforeLines="50" w:line="360" w:lineRule="auto"/>
              <w:jc w:val="center"/>
              <w:rPr>
                <w:rFonts w:ascii="宋体" w:hAnsi="宋体"/>
                <w:color w:val="auto"/>
                <w:kern w:val="0"/>
                <w:szCs w:val="21"/>
                <w:highlight w:val="none"/>
              </w:rPr>
            </w:pPr>
          </w:p>
        </w:tc>
      </w:tr>
    </w:tbl>
    <w:p>
      <w:pPr>
        <w:adjustRightInd w:val="0"/>
        <w:snapToGrid w:val="0"/>
        <w:spacing w:before="156" w:beforeLines="50" w:line="360" w:lineRule="auto"/>
        <w:rPr>
          <w:rFonts w:ascii="宋体" w:hAnsi="宋体"/>
          <w:color w:val="auto"/>
          <w:szCs w:val="21"/>
          <w:highlight w:val="none"/>
        </w:rPr>
      </w:pPr>
      <w:r>
        <w:rPr>
          <w:rFonts w:hint="eastAsia" w:ascii="宋体" w:hAnsi="宋体"/>
          <w:b/>
          <w:color w:val="auto"/>
          <w:szCs w:val="21"/>
          <w:highlight w:val="none"/>
        </w:rPr>
        <w:t>备注：</w:t>
      </w:r>
      <w:r>
        <w:rPr>
          <w:rFonts w:hint="eastAsia" w:ascii="宋体" w:hAnsi="宋体"/>
          <w:color w:val="auto"/>
          <w:szCs w:val="21"/>
          <w:highlight w:val="none"/>
        </w:rPr>
        <w:t>（1）本表须按包填写，一个“包号”一份。</w:t>
      </w:r>
    </w:p>
    <w:p>
      <w:pPr>
        <w:adjustRightInd w:val="0"/>
        <w:snapToGrid w:val="0"/>
        <w:spacing w:before="156" w:beforeLines="50" w:line="360" w:lineRule="auto"/>
        <w:ind w:firstLine="480" w:firstLineChars="200"/>
        <w:rPr>
          <w:rFonts w:ascii="宋体" w:hAnsi="宋体"/>
          <w:color w:val="auto"/>
          <w:szCs w:val="21"/>
          <w:highlight w:val="none"/>
        </w:rPr>
      </w:pPr>
    </w:p>
    <w:p>
      <w:pPr>
        <w:adjustRightInd w:val="0"/>
        <w:snapToGrid w:val="0"/>
        <w:spacing w:before="156" w:beforeLines="50" w:line="360" w:lineRule="auto"/>
        <w:ind w:firstLine="480" w:firstLineChars="200"/>
        <w:rPr>
          <w:rFonts w:ascii="宋体" w:hAnsi="宋体"/>
          <w:color w:val="auto"/>
          <w:szCs w:val="21"/>
          <w:highlight w:val="none"/>
        </w:rPr>
      </w:pPr>
    </w:p>
    <w:p>
      <w:pPr>
        <w:adjustRightInd w:val="0"/>
        <w:snapToGrid w:val="0"/>
        <w:spacing w:before="156" w:beforeLines="50" w:line="360" w:lineRule="auto"/>
        <w:ind w:firstLine="480" w:firstLineChars="200"/>
        <w:rPr>
          <w:rFonts w:ascii="宋体" w:hAnsi="宋体"/>
          <w:color w:val="auto"/>
          <w:szCs w:val="21"/>
          <w:highlight w:val="none"/>
        </w:rPr>
      </w:pPr>
    </w:p>
    <w:p>
      <w:pPr>
        <w:adjustRightInd w:val="0"/>
        <w:snapToGrid w:val="0"/>
        <w:spacing w:line="360" w:lineRule="auto"/>
        <w:rPr>
          <w:rFonts w:ascii="宋体" w:hAnsi="宋体"/>
          <w:color w:val="auto"/>
          <w:szCs w:val="21"/>
          <w:highlight w:val="none"/>
        </w:rPr>
      </w:pP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供应商名称（盖单位公章）：</w:t>
      </w:r>
    </w:p>
    <w:p>
      <w:pPr>
        <w:adjustRightInd w:val="0"/>
        <w:snapToGrid w:val="0"/>
        <w:spacing w:line="360" w:lineRule="auto"/>
        <w:rPr>
          <w:rFonts w:ascii="宋体" w:hAnsi="宋体"/>
          <w:color w:val="auto"/>
          <w:szCs w:val="21"/>
          <w:highlight w:val="non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或其授权的代理人（签字或印章）：</w:t>
      </w:r>
      <w:r>
        <w:rPr>
          <w:rFonts w:hint="eastAsia" w:ascii="宋体" w:hAnsi="宋体"/>
          <w:color w:val="auto"/>
          <w:szCs w:val="21"/>
          <w:highlight w:val="none"/>
          <w:u w:val="single"/>
        </w:rPr>
        <w:t xml:space="preserve">                </w:t>
      </w:r>
      <w:r>
        <w:rPr>
          <w:rFonts w:hint="eastAsia" w:ascii="宋体" w:hAnsi="宋体"/>
          <w:color w:val="auto"/>
          <w:szCs w:val="21"/>
          <w:highlight w:val="none"/>
        </w:rPr>
        <w:t>_</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adjustRightInd w:val="0"/>
        <w:snapToGrid w:val="0"/>
        <w:jc w:val="center"/>
        <w:rPr>
          <w:rFonts w:ascii="黑体" w:hAnsi="黑体" w:eastAsia="黑体"/>
          <w:bCs/>
          <w:color w:val="auto"/>
          <w:sz w:val="30"/>
          <w:szCs w:val="30"/>
          <w:highlight w:val="none"/>
        </w:rPr>
      </w:pPr>
    </w:p>
    <w:p>
      <w:pPr>
        <w:pStyle w:val="6"/>
        <w:adjustRightInd w:val="0"/>
        <w:snapToGrid w:val="0"/>
        <w:spacing w:before="156" w:beforeLines="50" w:after="0" w:line="360" w:lineRule="auto"/>
        <w:rPr>
          <w:rFonts w:ascii="宋体" w:hAnsi="宋体"/>
          <w:color w:val="auto"/>
          <w:sz w:val="21"/>
          <w:szCs w:val="21"/>
          <w:highlight w:val="none"/>
        </w:rPr>
      </w:pPr>
      <w:r>
        <w:rPr>
          <w:rFonts w:ascii="黑体" w:hAnsi="黑体" w:eastAsia="黑体"/>
          <w:color w:val="auto"/>
          <w:sz w:val="30"/>
          <w:szCs w:val="30"/>
          <w:highlight w:val="none"/>
        </w:rPr>
        <w:br w:type="page"/>
      </w:r>
      <w:bookmarkStart w:id="163" w:name="_Toc34637797"/>
      <w:bookmarkStart w:id="164" w:name="_Toc4471"/>
      <w:bookmarkStart w:id="165" w:name="_Toc31860"/>
      <w:r>
        <w:rPr>
          <w:rFonts w:hint="eastAsia" w:ascii="宋体" w:hAnsi="宋体"/>
          <w:color w:val="auto"/>
          <w:sz w:val="21"/>
          <w:szCs w:val="21"/>
          <w:highlight w:val="none"/>
        </w:rPr>
        <w:t>附件5-2 分项报价说明</w:t>
      </w:r>
      <w:bookmarkEnd w:id="163"/>
      <w:bookmarkEnd w:id="164"/>
      <w:bookmarkEnd w:id="165"/>
    </w:p>
    <w:p>
      <w:pPr>
        <w:autoSpaceDE w:val="0"/>
        <w:autoSpaceDN w:val="0"/>
        <w:adjustRightInd w:val="0"/>
        <w:snapToGrid w:val="0"/>
        <w:spacing w:before="156" w:beforeLines="50" w:line="360" w:lineRule="auto"/>
        <w:jc w:val="center"/>
        <w:rPr>
          <w:rFonts w:ascii="黑体" w:hAnsi="宋体" w:eastAsia="黑体" w:cs="微软雅黑"/>
          <w:b/>
          <w:color w:val="auto"/>
          <w:kern w:val="0"/>
          <w:sz w:val="28"/>
          <w:szCs w:val="28"/>
          <w:highlight w:val="none"/>
        </w:rPr>
      </w:pPr>
      <w:r>
        <w:rPr>
          <w:rFonts w:hint="eastAsia" w:ascii="黑体" w:hAnsi="宋体" w:eastAsia="黑体" w:cs="微软雅黑"/>
          <w:b/>
          <w:color w:val="auto"/>
          <w:spacing w:val="-2"/>
          <w:kern w:val="0"/>
          <w:sz w:val="28"/>
          <w:szCs w:val="28"/>
          <w:highlight w:val="none"/>
        </w:rPr>
        <w:t>分</w:t>
      </w:r>
      <w:r>
        <w:rPr>
          <w:rFonts w:hint="eastAsia" w:ascii="黑体" w:hAnsi="宋体" w:eastAsia="黑体" w:cs="微软雅黑"/>
          <w:b/>
          <w:color w:val="auto"/>
          <w:kern w:val="0"/>
          <w:sz w:val="28"/>
          <w:szCs w:val="28"/>
          <w:highlight w:val="none"/>
        </w:rPr>
        <w:t>项</w:t>
      </w:r>
      <w:r>
        <w:rPr>
          <w:rFonts w:hint="eastAsia" w:ascii="黑体" w:hAnsi="宋体" w:eastAsia="黑体" w:cs="微软雅黑"/>
          <w:b/>
          <w:color w:val="auto"/>
          <w:spacing w:val="-2"/>
          <w:kern w:val="0"/>
          <w:sz w:val="28"/>
          <w:szCs w:val="28"/>
          <w:highlight w:val="none"/>
        </w:rPr>
        <w:t>报</w:t>
      </w:r>
      <w:r>
        <w:rPr>
          <w:rFonts w:hint="eastAsia" w:ascii="黑体" w:hAnsi="宋体" w:eastAsia="黑体" w:cs="微软雅黑"/>
          <w:b/>
          <w:color w:val="auto"/>
          <w:kern w:val="0"/>
          <w:sz w:val="28"/>
          <w:szCs w:val="28"/>
          <w:highlight w:val="none"/>
        </w:rPr>
        <w:t>价说明</w:t>
      </w:r>
    </w:p>
    <w:p>
      <w:pPr>
        <w:autoSpaceDE w:val="0"/>
        <w:autoSpaceDN w:val="0"/>
        <w:adjustRightInd w:val="0"/>
        <w:snapToGrid w:val="0"/>
        <w:spacing w:before="156" w:beforeLines="50" w:line="360" w:lineRule="auto"/>
        <w:jc w:val="left"/>
        <w:rPr>
          <w:rFonts w:ascii="宋体" w:hAnsi="宋体" w:cs="微软雅黑"/>
          <w:color w:val="auto"/>
          <w:kern w:val="0"/>
          <w:szCs w:val="21"/>
          <w:highlight w:val="none"/>
        </w:rPr>
      </w:pPr>
    </w:p>
    <w:p>
      <w:pPr>
        <w:autoSpaceDE w:val="0"/>
        <w:autoSpaceDN w:val="0"/>
        <w:adjustRightInd w:val="0"/>
        <w:snapToGrid w:val="0"/>
        <w:spacing w:before="156" w:beforeLines="50" w:line="360" w:lineRule="auto"/>
        <w:jc w:val="left"/>
        <w:rPr>
          <w:rFonts w:ascii="宋体" w:hAnsi="宋体" w:cs="微软雅黑"/>
          <w:color w:val="auto"/>
          <w:kern w:val="0"/>
          <w:szCs w:val="21"/>
          <w:highlight w:val="none"/>
        </w:rPr>
      </w:pPr>
      <w:r>
        <w:rPr>
          <w:rFonts w:hint="eastAsia" w:ascii="宋体" w:hAnsi="宋体" w:cs="微软雅黑"/>
          <w:color w:val="auto"/>
          <w:kern w:val="0"/>
          <w:szCs w:val="21"/>
          <w:highlight w:val="none"/>
        </w:rPr>
        <w:t>备注：1、供应商应按</w:t>
      </w:r>
      <w:r>
        <w:rPr>
          <w:rFonts w:hint="eastAsia" w:ascii="宋体" w:hAnsi="宋体" w:cs="微软雅黑"/>
          <w:color w:val="auto"/>
          <w:kern w:val="0"/>
          <w:szCs w:val="21"/>
          <w:highlight w:val="none"/>
          <w:lang w:eastAsia="zh-CN"/>
        </w:rPr>
        <w:t>磋商</w:t>
      </w:r>
      <w:r>
        <w:rPr>
          <w:rFonts w:hint="eastAsia" w:ascii="宋体" w:hAnsi="宋体" w:cs="微软雅黑"/>
          <w:color w:val="auto"/>
          <w:kern w:val="0"/>
          <w:szCs w:val="21"/>
          <w:highlight w:val="none"/>
        </w:rPr>
        <w:t>文件第二章相关要求，对本节</w:t>
      </w:r>
      <w:r>
        <w:rPr>
          <w:rFonts w:hint="eastAsia" w:ascii="宋体" w:hAnsi="宋体"/>
          <w:bCs/>
          <w:color w:val="auto"/>
          <w:szCs w:val="21"/>
          <w:highlight w:val="none"/>
        </w:rPr>
        <w:t>“</w:t>
      </w:r>
      <w:r>
        <w:rPr>
          <w:rFonts w:hint="eastAsia" w:ascii="宋体" w:hAnsi="宋体" w:cs="微软雅黑"/>
          <w:color w:val="auto"/>
          <w:kern w:val="0"/>
          <w:szCs w:val="21"/>
          <w:highlight w:val="none"/>
        </w:rPr>
        <w:t>分项报价明细表</w:t>
      </w:r>
      <w:r>
        <w:rPr>
          <w:rFonts w:hint="eastAsia" w:ascii="宋体" w:hAnsi="宋体"/>
          <w:bCs/>
          <w:color w:val="auto"/>
          <w:szCs w:val="21"/>
          <w:highlight w:val="none"/>
        </w:rPr>
        <w:t>”进行</w:t>
      </w:r>
      <w:r>
        <w:rPr>
          <w:rFonts w:hint="eastAsia" w:ascii="宋体" w:hAnsi="宋体" w:cs="微软雅黑"/>
          <w:color w:val="auto"/>
          <w:kern w:val="0"/>
          <w:szCs w:val="21"/>
          <w:highlight w:val="none"/>
        </w:rPr>
        <w:t>编制，并说明。</w:t>
      </w:r>
    </w:p>
    <w:p>
      <w:pPr>
        <w:autoSpaceDE w:val="0"/>
        <w:autoSpaceDN w:val="0"/>
        <w:adjustRightInd w:val="0"/>
        <w:snapToGrid w:val="0"/>
        <w:spacing w:before="156" w:beforeLines="50" w:line="360" w:lineRule="auto"/>
        <w:jc w:val="left"/>
        <w:rPr>
          <w:rFonts w:ascii="宋体" w:hAnsi="宋体" w:cs="微软雅黑"/>
          <w:color w:val="auto"/>
          <w:kern w:val="0"/>
          <w:szCs w:val="21"/>
          <w:highlight w:val="none"/>
        </w:rPr>
      </w:pPr>
    </w:p>
    <w:p>
      <w:pPr>
        <w:adjustRightInd w:val="0"/>
        <w:snapToGrid w:val="0"/>
        <w:spacing w:before="156" w:beforeLines="50" w:line="360" w:lineRule="auto"/>
        <w:rPr>
          <w:color w:val="auto"/>
          <w:highlight w:val="none"/>
        </w:rPr>
      </w:pPr>
    </w:p>
    <w:p>
      <w:pPr>
        <w:pStyle w:val="6"/>
        <w:adjustRightInd w:val="0"/>
        <w:snapToGrid w:val="0"/>
        <w:spacing w:before="156" w:beforeLines="50" w:after="0" w:line="360" w:lineRule="auto"/>
        <w:rPr>
          <w:rFonts w:ascii="宋体" w:hAnsi="宋体"/>
          <w:color w:val="auto"/>
          <w:sz w:val="21"/>
          <w:szCs w:val="21"/>
          <w:highlight w:val="none"/>
        </w:rPr>
      </w:pPr>
      <w:bookmarkStart w:id="166" w:name="_Toc8448"/>
      <w:bookmarkStart w:id="167" w:name="_Toc735"/>
      <w:bookmarkStart w:id="168" w:name="_Toc34637798"/>
      <w:r>
        <w:rPr>
          <w:rFonts w:hint="eastAsia" w:ascii="宋体" w:hAnsi="宋体" w:cs="宋体"/>
          <w:color w:val="auto"/>
          <w:sz w:val="21"/>
          <w:szCs w:val="21"/>
          <w:highlight w:val="none"/>
        </w:rPr>
        <w:t xml:space="preserve">附件5-3 </w:t>
      </w:r>
      <w:r>
        <w:rPr>
          <w:rFonts w:hint="eastAsia" w:ascii="宋体" w:hAnsi="宋体"/>
          <w:color w:val="auto"/>
          <w:spacing w:val="-2"/>
          <w:position w:val="-3"/>
          <w:sz w:val="21"/>
          <w:szCs w:val="21"/>
          <w:highlight w:val="none"/>
        </w:rPr>
        <w:t>分</w:t>
      </w:r>
      <w:r>
        <w:rPr>
          <w:rFonts w:hint="eastAsia" w:ascii="宋体" w:hAnsi="宋体"/>
          <w:color w:val="auto"/>
          <w:position w:val="-3"/>
          <w:sz w:val="21"/>
          <w:szCs w:val="21"/>
          <w:highlight w:val="none"/>
        </w:rPr>
        <w:t>项</w:t>
      </w:r>
      <w:r>
        <w:rPr>
          <w:rFonts w:hint="eastAsia" w:ascii="宋体" w:hAnsi="宋体"/>
          <w:color w:val="auto"/>
          <w:spacing w:val="-2"/>
          <w:position w:val="-3"/>
          <w:sz w:val="21"/>
          <w:szCs w:val="21"/>
          <w:highlight w:val="none"/>
        </w:rPr>
        <w:t>报</w:t>
      </w:r>
      <w:r>
        <w:rPr>
          <w:rFonts w:hint="eastAsia" w:ascii="宋体" w:hAnsi="宋体"/>
          <w:color w:val="auto"/>
          <w:position w:val="-3"/>
          <w:sz w:val="21"/>
          <w:szCs w:val="21"/>
          <w:highlight w:val="none"/>
        </w:rPr>
        <w:t>价明细表</w:t>
      </w:r>
      <w:bookmarkEnd w:id="166"/>
      <w:bookmarkEnd w:id="167"/>
      <w:bookmarkEnd w:id="168"/>
    </w:p>
    <w:p>
      <w:pPr>
        <w:adjustRightInd w:val="0"/>
        <w:snapToGrid w:val="0"/>
        <w:spacing w:before="156" w:beforeLines="50" w:line="360" w:lineRule="auto"/>
        <w:jc w:val="center"/>
        <w:rPr>
          <w:rFonts w:ascii="黑体" w:hAnsi="宋体" w:eastAsia="黑体" w:cs="微软雅黑"/>
          <w:b/>
          <w:color w:val="auto"/>
          <w:kern w:val="0"/>
          <w:position w:val="-3"/>
          <w:sz w:val="28"/>
          <w:szCs w:val="28"/>
          <w:highlight w:val="none"/>
        </w:rPr>
      </w:pPr>
      <w:r>
        <w:rPr>
          <w:rFonts w:hint="eastAsia" w:ascii="黑体" w:hAnsi="宋体" w:eastAsia="黑体" w:cs="微软雅黑"/>
          <w:b/>
          <w:color w:val="auto"/>
          <w:spacing w:val="-2"/>
          <w:kern w:val="0"/>
          <w:position w:val="-3"/>
          <w:sz w:val="28"/>
          <w:szCs w:val="28"/>
          <w:highlight w:val="none"/>
        </w:rPr>
        <w:t>分</w:t>
      </w:r>
      <w:r>
        <w:rPr>
          <w:rFonts w:hint="eastAsia" w:ascii="黑体" w:hAnsi="宋体" w:eastAsia="黑体" w:cs="微软雅黑"/>
          <w:b/>
          <w:color w:val="auto"/>
          <w:kern w:val="0"/>
          <w:position w:val="-3"/>
          <w:sz w:val="28"/>
          <w:szCs w:val="28"/>
          <w:highlight w:val="none"/>
        </w:rPr>
        <w:t>项</w:t>
      </w:r>
      <w:r>
        <w:rPr>
          <w:rFonts w:hint="eastAsia" w:ascii="黑体" w:hAnsi="宋体" w:eastAsia="黑体" w:cs="微软雅黑"/>
          <w:b/>
          <w:color w:val="auto"/>
          <w:spacing w:val="-2"/>
          <w:kern w:val="0"/>
          <w:position w:val="-3"/>
          <w:sz w:val="28"/>
          <w:szCs w:val="28"/>
          <w:highlight w:val="none"/>
        </w:rPr>
        <w:t>报</w:t>
      </w:r>
      <w:r>
        <w:rPr>
          <w:rFonts w:hint="eastAsia" w:ascii="黑体" w:hAnsi="宋体" w:eastAsia="黑体" w:cs="微软雅黑"/>
          <w:b/>
          <w:color w:val="auto"/>
          <w:kern w:val="0"/>
          <w:position w:val="-3"/>
          <w:sz w:val="28"/>
          <w:szCs w:val="28"/>
          <w:highlight w:val="none"/>
        </w:rPr>
        <w:t>价明细表</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采购代理编号：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 xml:space="preserve">                      项目名称：</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rPr>
        <w:t xml:space="preserve"> </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包号：</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包名称：</w:t>
      </w:r>
      <w:r>
        <w:rPr>
          <w:rFonts w:hint="eastAsia" w:ascii="宋体" w:hAnsi="宋体"/>
          <w:color w:val="auto"/>
          <w:szCs w:val="21"/>
          <w:highlight w:val="none"/>
          <w:u w:val="single"/>
          <w:lang w:val="en-US" w:eastAsia="zh-CN"/>
        </w:rPr>
        <w:t xml:space="preserve">                </w:t>
      </w:r>
    </w:p>
    <w:tbl>
      <w:tblPr>
        <w:tblStyle w:val="24"/>
        <w:tblW w:w="8874" w:type="dxa"/>
        <w:tblInd w:w="0" w:type="dxa"/>
        <w:tblLayout w:type="fixed"/>
        <w:tblCellMar>
          <w:top w:w="0" w:type="dxa"/>
          <w:left w:w="0" w:type="dxa"/>
          <w:bottom w:w="0" w:type="dxa"/>
          <w:right w:w="0" w:type="dxa"/>
        </w:tblCellMar>
      </w:tblPr>
      <w:tblGrid>
        <w:gridCol w:w="333"/>
        <w:gridCol w:w="1383"/>
        <w:gridCol w:w="2126"/>
        <w:gridCol w:w="2292"/>
        <w:gridCol w:w="910"/>
        <w:gridCol w:w="916"/>
        <w:gridCol w:w="914"/>
      </w:tblGrid>
      <w:tr>
        <w:tblPrEx>
          <w:tblCellMar>
            <w:top w:w="0" w:type="dxa"/>
            <w:left w:w="0" w:type="dxa"/>
            <w:bottom w:w="0" w:type="dxa"/>
            <w:right w:w="0" w:type="dxa"/>
          </w:tblCellMar>
        </w:tblPrEx>
        <w:trPr>
          <w:trHeight w:val="415" w:hRule="exact"/>
        </w:trPr>
        <w:tc>
          <w:tcPr>
            <w:tcW w:w="1716" w:type="dxa"/>
            <w:gridSpan w:val="2"/>
            <w:vMerge w:val="restart"/>
            <w:tcBorders>
              <w:top w:val="double" w:color="auto" w:sz="4" w:space="0"/>
              <w:left w:val="double" w:color="auto" w:sz="4" w:space="0"/>
              <w:right w:val="single" w:color="auto" w:sz="6" w:space="0"/>
            </w:tcBorders>
            <w:vAlign w:val="center"/>
          </w:tcPr>
          <w:p>
            <w:pPr>
              <w:autoSpaceDE w:val="0"/>
              <w:autoSpaceDN w:val="0"/>
              <w:adjustRightInd w:val="0"/>
              <w:snapToGrid w:val="0"/>
              <w:spacing w:line="360" w:lineRule="auto"/>
              <w:ind w:right="-20"/>
              <w:jc w:val="center"/>
              <w:rPr>
                <w:rFonts w:ascii="宋体" w:hAnsi="宋体" w:cs="微软雅黑"/>
                <w:color w:val="auto"/>
                <w:kern w:val="0"/>
                <w:position w:val="-1"/>
                <w:szCs w:val="21"/>
                <w:highlight w:val="none"/>
              </w:rPr>
            </w:pPr>
            <w:r>
              <w:rPr>
                <w:rFonts w:hint="eastAsia" w:ascii="宋体" w:hAnsi="宋体" w:cs="微软雅黑"/>
                <w:color w:val="auto"/>
                <w:kern w:val="0"/>
                <w:position w:val="-1"/>
                <w:szCs w:val="21"/>
                <w:highlight w:val="none"/>
              </w:rPr>
              <w:t>分项项目名称</w:t>
            </w:r>
          </w:p>
        </w:tc>
        <w:tc>
          <w:tcPr>
            <w:tcW w:w="2126" w:type="dxa"/>
            <w:vMerge w:val="restart"/>
            <w:tcBorders>
              <w:top w:val="double" w:color="auto" w:sz="4"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ind w:right="-20"/>
              <w:jc w:val="center"/>
              <w:rPr>
                <w:rFonts w:ascii="宋体" w:hAnsi="宋体"/>
                <w:color w:val="auto"/>
                <w:szCs w:val="21"/>
                <w:highlight w:val="none"/>
              </w:rPr>
            </w:pPr>
            <w:r>
              <w:rPr>
                <w:rFonts w:hint="eastAsia" w:ascii="宋体" w:hAnsi="宋体"/>
                <w:color w:val="auto"/>
                <w:szCs w:val="21"/>
                <w:highlight w:val="none"/>
              </w:rPr>
              <w:t>项目特征描述</w:t>
            </w:r>
          </w:p>
        </w:tc>
        <w:tc>
          <w:tcPr>
            <w:tcW w:w="2292" w:type="dxa"/>
            <w:vMerge w:val="restart"/>
            <w:tcBorders>
              <w:top w:val="doub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right="-20"/>
              <w:jc w:val="center"/>
              <w:rPr>
                <w:rFonts w:ascii="宋体" w:hAnsi="宋体" w:cs="微软雅黑"/>
                <w:color w:val="auto"/>
                <w:kern w:val="0"/>
                <w:position w:val="-1"/>
                <w:szCs w:val="21"/>
                <w:highlight w:val="none"/>
              </w:rPr>
            </w:pPr>
            <w:r>
              <w:rPr>
                <w:rFonts w:hint="eastAsia" w:ascii="宋体" w:hAnsi="宋体"/>
                <w:color w:val="auto"/>
                <w:kern w:val="0"/>
                <w:szCs w:val="21"/>
                <w:highlight w:val="none"/>
              </w:rPr>
              <w:t>数量/单位</w:t>
            </w:r>
          </w:p>
        </w:tc>
        <w:tc>
          <w:tcPr>
            <w:tcW w:w="1826" w:type="dxa"/>
            <w:gridSpan w:val="2"/>
            <w:tcBorders>
              <w:top w:val="double" w:color="auto" w:sz="4"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ind w:right="-20"/>
              <w:jc w:val="center"/>
              <w:rPr>
                <w:rFonts w:ascii="宋体" w:hAnsi="宋体" w:cs="微软雅黑"/>
                <w:color w:val="auto"/>
                <w:kern w:val="0"/>
                <w:position w:val="-1"/>
                <w:szCs w:val="21"/>
                <w:highlight w:val="none"/>
              </w:rPr>
            </w:pPr>
            <w:r>
              <w:rPr>
                <w:rFonts w:hint="eastAsia" w:ascii="宋体" w:hAnsi="宋体" w:cs="微软雅黑"/>
                <w:color w:val="auto"/>
                <w:kern w:val="0"/>
                <w:position w:val="-1"/>
                <w:szCs w:val="21"/>
                <w:highlight w:val="none"/>
              </w:rPr>
              <w:t>金额（元）</w:t>
            </w:r>
          </w:p>
        </w:tc>
        <w:tc>
          <w:tcPr>
            <w:tcW w:w="914" w:type="dxa"/>
            <w:vMerge w:val="restart"/>
            <w:tcBorders>
              <w:top w:val="double" w:color="auto" w:sz="4" w:space="0"/>
              <w:left w:val="single" w:color="auto" w:sz="6" w:space="0"/>
              <w:bottom w:val="single" w:color="auto" w:sz="6" w:space="0"/>
              <w:right w:val="double" w:color="auto" w:sz="4" w:space="0"/>
            </w:tcBorders>
            <w:vAlign w:val="center"/>
          </w:tcPr>
          <w:p>
            <w:pPr>
              <w:autoSpaceDE w:val="0"/>
              <w:autoSpaceDN w:val="0"/>
              <w:adjustRightInd w:val="0"/>
              <w:snapToGrid w:val="0"/>
              <w:spacing w:line="360" w:lineRule="auto"/>
              <w:ind w:right="-20"/>
              <w:jc w:val="center"/>
              <w:rPr>
                <w:rFonts w:ascii="宋体" w:hAnsi="宋体" w:cs="微软雅黑"/>
                <w:color w:val="auto"/>
                <w:kern w:val="0"/>
                <w:position w:val="-1"/>
                <w:szCs w:val="21"/>
                <w:highlight w:val="none"/>
              </w:rPr>
            </w:pPr>
            <w:r>
              <w:rPr>
                <w:rFonts w:hint="eastAsia" w:ascii="宋体" w:hAnsi="宋体" w:cs="微软雅黑"/>
                <w:color w:val="auto"/>
                <w:kern w:val="0"/>
                <w:position w:val="-1"/>
                <w:szCs w:val="21"/>
                <w:highlight w:val="none"/>
              </w:rPr>
              <w:t>备注</w:t>
            </w:r>
          </w:p>
        </w:tc>
      </w:tr>
      <w:tr>
        <w:tblPrEx>
          <w:tblCellMar>
            <w:top w:w="0" w:type="dxa"/>
            <w:left w:w="0" w:type="dxa"/>
            <w:bottom w:w="0" w:type="dxa"/>
            <w:right w:w="0" w:type="dxa"/>
          </w:tblCellMar>
        </w:tblPrEx>
        <w:trPr>
          <w:trHeight w:val="415" w:hRule="exact"/>
        </w:trPr>
        <w:tc>
          <w:tcPr>
            <w:tcW w:w="1716" w:type="dxa"/>
            <w:gridSpan w:val="2"/>
            <w:vMerge w:val="continue"/>
            <w:tcBorders>
              <w:left w:val="double" w:color="auto" w:sz="4" w:space="0"/>
              <w:bottom w:val="single" w:color="auto" w:sz="6" w:space="0"/>
              <w:right w:val="single" w:color="auto" w:sz="6" w:space="0"/>
            </w:tcBorders>
          </w:tcPr>
          <w:p>
            <w:pPr>
              <w:autoSpaceDE w:val="0"/>
              <w:autoSpaceDN w:val="0"/>
              <w:adjustRightInd w:val="0"/>
              <w:snapToGrid w:val="0"/>
              <w:spacing w:line="360" w:lineRule="auto"/>
              <w:ind w:left="352" w:right="-20"/>
              <w:jc w:val="left"/>
              <w:rPr>
                <w:rFonts w:ascii="宋体" w:hAnsi="宋体"/>
                <w:color w:val="auto"/>
                <w:kern w:val="0"/>
                <w:szCs w:val="21"/>
                <w:highlight w:val="none"/>
              </w:rPr>
            </w:pPr>
          </w:p>
        </w:tc>
        <w:tc>
          <w:tcPr>
            <w:tcW w:w="2126" w:type="dxa"/>
            <w:vMerge w:val="continue"/>
            <w:tcBorders>
              <w:top w:val="single" w:color="auto" w:sz="6" w:space="0"/>
              <w:left w:val="single" w:color="auto" w:sz="6" w:space="0"/>
              <w:bottom w:val="single" w:color="auto" w:sz="6" w:space="0"/>
              <w:right w:val="single" w:color="auto" w:sz="4" w:space="0"/>
            </w:tcBorders>
            <w:vAlign w:val="center"/>
          </w:tcPr>
          <w:p>
            <w:pPr>
              <w:autoSpaceDE w:val="0"/>
              <w:autoSpaceDN w:val="0"/>
              <w:adjustRightInd w:val="0"/>
              <w:snapToGrid w:val="0"/>
              <w:spacing w:line="360" w:lineRule="auto"/>
              <w:ind w:right="-20"/>
              <w:jc w:val="center"/>
              <w:rPr>
                <w:rFonts w:ascii="宋体" w:hAnsi="宋体"/>
                <w:color w:val="auto"/>
                <w:kern w:val="0"/>
                <w:szCs w:val="21"/>
                <w:highlight w:val="none"/>
              </w:rPr>
            </w:pPr>
          </w:p>
        </w:tc>
        <w:tc>
          <w:tcPr>
            <w:tcW w:w="2292" w:type="dxa"/>
            <w:vMerge w:val="continue"/>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napToGrid w:val="0"/>
              <w:spacing w:line="360" w:lineRule="auto"/>
              <w:ind w:right="-20"/>
              <w:jc w:val="center"/>
              <w:rPr>
                <w:rFonts w:ascii="宋体" w:hAnsi="宋体"/>
                <w:color w:val="auto"/>
                <w:kern w:val="0"/>
                <w:szCs w:val="21"/>
                <w:highlight w:val="none"/>
              </w:rPr>
            </w:pPr>
          </w:p>
        </w:tc>
        <w:tc>
          <w:tcPr>
            <w:tcW w:w="910" w:type="dxa"/>
            <w:tcBorders>
              <w:top w:val="single" w:color="auto" w:sz="6" w:space="0"/>
              <w:left w:val="single" w:color="auto" w:sz="4" w:space="0"/>
              <w:bottom w:val="single" w:color="auto" w:sz="6" w:space="0"/>
              <w:right w:val="single" w:color="auto" w:sz="4" w:space="0"/>
            </w:tcBorders>
            <w:vAlign w:val="center"/>
          </w:tcPr>
          <w:p>
            <w:pPr>
              <w:autoSpaceDE w:val="0"/>
              <w:autoSpaceDN w:val="0"/>
              <w:adjustRightInd w:val="0"/>
              <w:snapToGrid w:val="0"/>
              <w:spacing w:line="360" w:lineRule="auto"/>
              <w:ind w:right="-20"/>
              <w:jc w:val="center"/>
              <w:rPr>
                <w:rFonts w:ascii="宋体" w:hAnsi="宋体"/>
                <w:color w:val="auto"/>
                <w:kern w:val="0"/>
                <w:szCs w:val="21"/>
                <w:highlight w:val="none"/>
              </w:rPr>
            </w:pPr>
            <w:r>
              <w:rPr>
                <w:rFonts w:hint="eastAsia" w:ascii="宋体" w:hAnsi="宋体" w:cs="微软雅黑"/>
                <w:color w:val="auto"/>
                <w:kern w:val="0"/>
                <w:position w:val="-1"/>
                <w:szCs w:val="21"/>
                <w:highlight w:val="none"/>
              </w:rPr>
              <w:t>单价</w:t>
            </w:r>
          </w:p>
        </w:tc>
        <w:tc>
          <w:tcPr>
            <w:tcW w:w="916" w:type="dxa"/>
            <w:tcBorders>
              <w:top w:val="single" w:color="auto" w:sz="6" w:space="0"/>
              <w:left w:val="single" w:color="auto" w:sz="4" w:space="0"/>
              <w:bottom w:val="single" w:color="auto" w:sz="6" w:space="0"/>
              <w:right w:val="single" w:color="auto" w:sz="6" w:space="0"/>
            </w:tcBorders>
            <w:vAlign w:val="center"/>
          </w:tcPr>
          <w:p>
            <w:pPr>
              <w:autoSpaceDE w:val="0"/>
              <w:autoSpaceDN w:val="0"/>
              <w:adjustRightInd w:val="0"/>
              <w:snapToGrid w:val="0"/>
              <w:spacing w:line="360" w:lineRule="auto"/>
              <w:ind w:left="70" w:right="-20"/>
              <w:jc w:val="center"/>
              <w:rPr>
                <w:rFonts w:ascii="宋体" w:hAnsi="宋体"/>
                <w:color w:val="auto"/>
                <w:kern w:val="0"/>
                <w:szCs w:val="21"/>
                <w:highlight w:val="none"/>
              </w:rPr>
            </w:pPr>
            <w:r>
              <w:rPr>
                <w:rFonts w:hint="eastAsia" w:ascii="宋体" w:hAnsi="宋体"/>
                <w:color w:val="auto"/>
                <w:kern w:val="0"/>
                <w:szCs w:val="21"/>
                <w:highlight w:val="none"/>
              </w:rPr>
              <w:t>小计</w:t>
            </w:r>
          </w:p>
        </w:tc>
        <w:tc>
          <w:tcPr>
            <w:tcW w:w="914" w:type="dxa"/>
            <w:vMerge w:val="continue"/>
            <w:tcBorders>
              <w:top w:val="single" w:color="auto" w:sz="6" w:space="0"/>
              <w:left w:val="single" w:color="auto" w:sz="6" w:space="0"/>
              <w:bottom w:val="single" w:color="auto" w:sz="6" w:space="0"/>
              <w:right w:val="double" w:color="auto" w:sz="4" w:space="0"/>
            </w:tcBorders>
          </w:tcPr>
          <w:p>
            <w:pPr>
              <w:autoSpaceDE w:val="0"/>
              <w:autoSpaceDN w:val="0"/>
              <w:adjustRightInd w:val="0"/>
              <w:snapToGrid w:val="0"/>
              <w:spacing w:line="360" w:lineRule="auto"/>
              <w:ind w:left="422" w:right="-20"/>
              <w:jc w:val="left"/>
              <w:rPr>
                <w:rFonts w:ascii="宋体" w:hAnsi="宋体"/>
                <w:color w:val="auto"/>
                <w:kern w:val="0"/>
                <w:szCs w:val="21"/>
                <w:highlight w:val="none"/>
              </w:rPr>
            </w:pPr>
          </w:p>
        </w:tc>
      </w:tr>
      <w:tr>
        <w:tblPrEx>
          <w:tblCellMar>
            <w:top w:w="0" w:type="dxa"/>
            <w:left w:w="0" w:type="dxa"/>
            <w:bottom w:w="0" w:type="dxa"/>
            <w:right w:w="0" w:type="dxa"/>
          </w:tblCellMar>
        </w:tblPrEx>
        <w:trPr>
          <w:trHeight w:val="378" w:hRule="exact"/>
        </w:trPr>
        <w:tc>
          <w:tcPr>
            <w:tcW w:w="333" w:type="dxa"/>
            <w:tcBorders>
              <w:top w:val="single" w:color="auto" w:sz="6" w:space="0"/>
              <w:left w:val="double" w:color="auto" w:sz="4" w:space="0"/>
              <w:bottom w:val="single" w:color="auto" w:sz="6" w:space="0"/>
              <w:right w:val="single" w:color="auto" w:sz="6" w:space="0"/>
            </w:tcBorders>
            <w:vAlign w:val="center"/>
          </w:tcPr>
          <w:p>
            <w:pPr>
              <w:jc w:val="center"/>
              <w:rPr>
                <w:rFonts w:ascii="宋体" w:hAnsi="宋体" w:cs="宋体"/>
                <w:color w:val="auto"/>
                <w:highlight w:val="none"/>
              </w:rPr>
            </w:pPr>
            <w:r>
              <w:rPr>
                <w:rFonts w:hint="eastAsia" w:ascii="宋体" w:hAnsi="宋体" w:cs="宋体"/>
                <w:color w:val="auto"/>
                <w:highlight w:val="none"/>
              </w:rPr>
              <w:t>1</w:t>
            </w:r>
          </w:p>
        </w:tc>
        <w:tc>
          <w:tcPr>
            <w:tcW w:w="13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宋体" w:hAnsi="宋体"/>
                <w:color w:val="auto"/>
                <w:kern w:val="0"/>
                <w:szCs w:val="21"/>
                <w:highlight w:val="none"/>
              </w:rPr>
            </w:pPr>
          </w:p>
        </w:tc>
        <w:tc>
          <w:tcPr>
            <w:tcW w:w="212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宋体" w:hAnsi="宋体"/>
                <w:color w:val="auto"/>
                <w:kern w:val="0"/>
                <w:szCs w:val="21"/>
                <w:highlight w:val="none"/>
              </w:rPr>
            </w:pPr>
          </w:p>
        </w:tc>
        <w:tc>
          <w:tcPr>
            <w:tcW w:w="2292"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360" w:lineRule="auto"/>
              <w:jc w:val="left"/>
              <w:rPr>
                <w:rFonts w:ascii="宋体" w:hAnsi="宋体"/>
                <w:color w:val="auto"/>
                <w:kern w:val="0"/>
                <w:szCs w:val="21"/>
                <w:highlight w:val="none"/>
              </w:rPr>
            </w:pPr>
          </w:p>
        </w:tc>
        <w:tc>
          <w:tcPr>
            <w:tcW w:w="91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highlight w:val="none"/>
              </w:rPr>
            </w:pPr>
          </w:p>
        </w:tc>
        <w:tc>
          <w:tcPr>
            <w:tcW w:w="9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highlight w:val="none"/>
              </w:rPr>
            </w:pPr>
          </w:p>
        </w:tc>
        <w:tc>
          <w:tcPr>
            <w:tcW w:w="914" w:type="dxa"/>
            <w:tcBorders>
              <w:top w:val="single" w:color="auto" w:sz="6" w:space="0"/>
              <w:left w:val="single" w:color="auto" w:sz="6" w:space="0"/>
              <w:bottom w:val="single" w:color="auto" w:sz="6" w:space="0"/>
              <w:right w:val="double" w:color="auto" w:sz="4" w:space="0"/>
            </w:tcBorders>
          </w:tcPr>
          <w:p>
            <w:pPr>
              <w:autoSpaceDE w:val="0"/>
              <w:autoSpaceDN w:val="0"/>
              <w:adjustRightInd w:val="0"/>
              <w:snapToGrid w:val="0"/>
              <w:spacing w:line="360" w:lineRule="auto"/>
              <w:jc w:val="left"/>
              <w:rPr>
                <w:rFonts w:ascii="宋体" w:hAnsi="宋体"/>
                <w:color w:val="auto"/>
                <w:kern w:val="0"/>
                <w:szCs w:val="21"/>
                <w:highlight w:val="none"/>
              </w:rPr>
            </w:pPr>
          </w:p>
        </w:tc>
      </w:tr>
      <w:tr>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pPr>
              <w:jc w:val="center"/>
              <w:rPr>
                <w:rFonts w:ascii="宋体" w:hAnsi="宋体" w:cs="宋体"/>
                <w:color w:val="auto"/>
                <w:highlight w:val="none"/>
              </w:rPr>
            </w:pPr>
            <w:r>
              <w:rPr>
                <w:rFonts w:hint="eastAsia" w:ascii="宋体" w:hAnsi="宋体" w:cs="宋体"/>
                <w:color w:val="auto"/>
                <w:highlight w:val="none"/>
              </w:rPr>
              <w:t>2</w:t>
            </w:r>
          </w:p>
        </w:tc>
        <w:tc>
          <w:tcPr>
            <w:tcW w:w="13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宋体" w:hAnsi="宋体"/>
                <w:color w:val="auto"/>
                <w:kern w:val="0"/>
                <w:szCs w:val="21"/>
                <w:highlight w:val="none"/>
              </w:rPr>
            </w:pPr>
          </w:p>
        </w:tc>
        <w:tc>
          <w:tcPr>
            <w:tcW w:w="212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宋体" w:hAnsi="宋体"/>
                <w:color w:val="auto"/>
                <w:kern w:val="0"/>
                <w:szCs w:val="21"/>
                <w:highlight w:val="none"/>
              </w:rPr>
            </w:pPr>
          </w:p>
        </w:tc>
        <w:tc>
          <w:tcPr>
            <w:tcW w:w="2292"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360" w:lineRule="auto"/>
              <w:jc w:val="left"/>
              <w:rPr>
                <w:rFonts w:ascii="宋体" w:hAnsi="宋体"/>
                <w:color w:val="auto"/>
                <w:kern w:val="0"/>
                <w:szCs w:val="21"/>
                <w:highlight w:val="none"/>
              </w:rPr>
            </w:pPr>
          </w:p>
        </w:tc>
        <w:tc>
          <w:tcPr>
            <w:tcW w:w="91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highlight w:val="none"/>
              </w:rPr>
            </w:pPr>
          </w:p>
        </w:tc>
        <w:tc>
          <w:tcPr>
            <w:tcW w:w="9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highlight w:val="none"/>
              </w:rPr>
            </w:pPr>
          </w:p>
        </w:tc>
        <w:tc>
          <w:tcPr>
            <w:tcW w:w="914" w:type="dxa"/>
            <w:tcBorders>
              <w:top w:val="single" w:color="auto" w:sz="6" w:space="0"/>
              <w:left w:val="single" w:color="auto" w:sz="6" w:space="0"/>
              <w:bottom w:val="single" w:color="auto" w:sz="6" w:space="0"/>
              <w:right w:val="double" w:color="auto" w:sz="4" w:space="0"/>
            </w:tcBorders>
          </w:tcPr>
          <w:p>
            <w:pPr>
              <w:autoSpaceDE w:val="0"/>
              <w:autoSpaceDN w:val="0"/>
              <w:adjustRightInd w:val="0"/>
              <w:snapToGrid w:val="0"/>
              <w:spacing w:line="360" w:lineRule="auto"/>
              <w:jc w:val="left"/>
              <w:rPr>
                <w:rFonts w:ascii="宋体" w:hAnsi="宋体"/>
                <w:color w:val="auto"/>
                <w:kern w:val="0"/>
                <w:szCs w:val="21"/>
                <w:highlight w:val="none"/>
              </w:rPr>
            </w:pPr>
          </w:p>
        </w:tc>
      </w:tr>
      <w:tr>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pPr>
              <w:jc w:val="center"/>
              <w:rPr>
                <w:rFonts w:ascii="宋体" w:hAnsi="宋体" w:cs="宋体"/>
                <w:color w:val="auto"/>
                <w:highlight w:val="none"/>
              </w:rPr>
            </w:pPr>
            <w:r>
              <w:rPr>
                <w:rFonts w:hint="eastAsia" w:ascii="宋体" w:hAnsi="宋体" w:cs="宋体"/>
                <w:color w:val="auto"/>
                <w:highlight w:val="none"/>
              </w:rPr>
              <w:t>3</w:t>
            </w:r>
          </w:p>
        </w:tc>
        <w:tc>
          <w:tcPr>
            <w:tcW w:w="13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宋体" w:hAnsi="宋体"/>
                <w:color w:val="auto"/>
                <w:kern w:val="0"/>
                <w:szCs w:val="21"/>
                <w:highlight w:val="none"/>
              </w:rPr>
            </w:pPr>
          </w:p>
        </w:tc>
        <w:tc>
          <w:tcPr>
            <w:tcW w:w="212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宋体" w:hAnsi="宋体"/>
                <w:color w:val="auto"/>
                <w:kern w:val="0"/>
                <w:szCs w:val="21"/>
                <w:highlight w:val="none"/>
              </w:rPr>
            </w:pPr>
          </w:p>
        </w:tc>
        <w:tc>
          <w:tcPr>
            <w:tcW w:w="2292"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360" w:lineRule="auto"/>
              <w:jc w:val="left"/>
              <w:rPr>
                <w:rFonts w:ascii="宋体" w:hAnsi="宋体"/>
                <w:color w:val="auto"/>
                <w:kern w:val="0"/>
                <w:szCs w:val="21"/>
                <w:highlight w:val="none"/>
              </w:rPr>
            </w:pPr>
          </w:p>
        </w:tc>
        <w:tc>
          <w:tcPr>
            <w:tcW w:w="910"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highlight w:val="none"/>
              </w:rPr>
            </w:pPr>
          </w:p>
        </w:tc>
        <w:tc>
          <w:tcPr>
            <w:tcW w:w="9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highlight w:val="none"/>
              </w:rPr>
            </w:pPr>
          </w:p>
        </w:tc>
        <w:tc>
          <w:tcPr>
            <w:tcW w:w="914" w:type="dxa"/>
            <w:tcBorders>
              <w:top w:val="single" w:color="auto" w:sz="6" w:space="0"/>
              <w:left w:val="single" w:color="auto" w:sz="6" w:space="0"/>
              <w:bottom w:val="single" w:color="auto" w:sz="6" w:space="0"/>
              <w:right w:val="double" w:color="auto" w:sz="4" w:space="0"/>
            </w:tcBorders>
          </w:tcPr>
          <w:p>
            <w:pPr>
              <w:autoSpaceDE w:val="0"/>
              <w:autoSpaceDN w:val="0"/>
              <w:adjustRightInd w:val="0"/>
              <w:snapToGrid w:val="0"/>
              <w:spacing w:line="360" w:lineRule="auto"/>
              <w:jc w:val="left"/>
              <w:rPr>
                <w:rFonts w:ascii="宋体" w:hAnsi="宋体"/>
                <w:color w:val="auto"/>
                <w:kern w:val="0"/>
                <w:szCs w:val="21"/>
                <w:highlight w:val="none"/>
              </w:rPr>
            </w:pPr>
          </w:p>
        </w:tc>
      </w:tr>
      <w:tr>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pPr>
              <w:jc w:val="center"/>
              <w:rPr>
                <w:rFonts w:ascii="宋体" w:hAnsi="宋体" w:cs="宋体"/>
                <w:color w:val="auto"/>
                <w:highlight w:val="none"/>
              </w:rPr>
            </w:pPr>
            <w:r>
              <w:rPr>
                <w:rFonts w:hint="eastAsia" w:ascii="宋体" w:hAnsi="宋体" w:cs="宋体"/>
                <w:color w:val="auto"/>
                <w:highlight w:val="none"/>
              </w:rPr>
              <w:t>4</w:t>
            </w:r>
          </w:p>
        </w:tc>
        <w:tc>
          <w:tcPr>
            <w:tcW w:w="13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宋体" w:hAnsi="宋体"/>
                <w:color w:val="auto"/>
                <w:kern w:val="0"/>
                <w:szCs w:val="21"/>
                <w:highlight w:val="none"/>
              </w:rPr>
            </w:pPr>
          </w:p>
        </w:tc>
        <w:tc>
          <w:tcPr>
            <w:tcW w:w="212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宋体" w:hAnsi="宋体"/>
                <w:color w:val="auto"/>
                <w:kern w:val="0"/>
                <w:szCs w:val="21"/>
                <w:highlight w:val="none"/>
              </w:rPr>
            </w:pPr>
          </w:p>
        </w:tc>
        <w:tc>
          <w:tcPr>
            <w:tcW w:w="2292"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360" w:lineRule="auto"/>
              <w:jc w:val="left"/>
              <w:rPr>
                <w:rFonts w:ascii="宋体" w:hAnsi="宋体"/>
                <w:color w:val="auto"/>
                <w:kern w:val="0"/>
                <w:szCs w:val="21"/>
                <w:highlight w:val="none"/>
              </w:rPr>
            </w:pPr>
          </w:p>
        </w:tc>
        <w:tc>
          <w:tcPr>
            <w:tcW w:w="910"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highlight w:val="none"/>
              </w:rPr>
            </w:pPr>
          </w:p>
        </w:tc>
        <w:tc>
          <w:tcPr>
            <w:tcW w:w="9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highlight w:val="none"/>
              </w:rPr>
            </w:pPr>
          </w:p>
        </w:tc>
        <w:tc>
          <w:tcPr>
            <w:tcW w:w="914" w:type="dxa"/>
            <w:tcBorders>
              <w:top w:val="single" w:color="auto" w:sz="6" w:space="0"/>
              <w:left w:val="single" w:color="auto" w:sz="6" w:space="0"/>
              <w:bottom w:val="single" w:color="auto" w:sz="6" w:space="0"/>
              <w:right w:val="double" w:color="auto" w:sz="4" w:space="0"/>
            </w:tcBorders>
          </w:tcPr>
          <w:p>
            <w:pPr>
              <w:autoSpaceDE w:val="0"/>
              <w:autoSpaceDN w:val="0"/>
              <w:adjustRightInd w:val="0"/>
              <w:snapToGrid w:val="0"/>
              <w:spacing w:line="360" w:lineRule="auto"/>
              <w:jc w:val="left"/>
              <w:rPr>
                <w:rFonts w:ascii="宋体" w:hAnsi="宋体"/>
                <w:color w:val="auto"/>
                <w:kern w:val="0"/>
                <w:szCs w:val="21"/>
                <w:highlight w:val="none"/>
              </w:rPr>
            </w:pPr>
          </w:p>
        </w:tc>
      </w:tr>
      <w:tr>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pPr>
              <w:jc w:val="center"/>
              <w:rPr>
                <w:rFonts w:ascii="宋体" w:hAnsi="宋体" w:cs="宋体"/>
                <w:color w:val="auto"/>
                <w:highlight w:val="none"/>
              </w:rPr>
            </w:pPr>
            <w:r>
              <w:rPr>
                <w:rFonts w:hint="eastAsia" w:ascii="宋体" w:hAnsi="宋体" w:cs="宋体"/>
                <w:color w:val="auto"/>
                <w:highlight w:val="none"/>
              </w:rPr>
              <w:t>5</w:t>
            </w:r>
          </w:p>
        </w:tc>
        <w:tc>
          <w:tcPr>
            <w:tcW w:w="1383"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napToGrid w:val="0"/>
              <w:spacing w:line="360" w:lineRule="auto"/>
              <w:jc w:val="center"/>
              <w:rPr>
                <w:rFonts w:ascii="宋体" w:hAnsi="宋体"/>
                <w:color w:val="auto"/>
                <w:kern w:val="0"/>
                <w:szCs w:val="21"/>
                <w:highlight w:val="none"/>
              </w:rPr>
            </w:pPr>
          </w:p>
        </w:tc>
        <w:tc>
          <w:tcPr>
            <w:tcW w:w="212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宋体" w:hAnsi="宋体"/>
                <w:color w:val="auto"/>
                <w:kern w:val="0"/>
                <w:szCs w:val="21"/>
                <w:highlight w:val="none"/>
              </w:rPr>
            </w:pPr>
          </w:p>
        </w:tc>
        <w:tc>
          <w:tcPr>
            <w:tcW w:w="2292" w:type="dxa"/>
            <w:tcBorders>
              <w:top w:val="single" w:color="auto" w:sz="4" w:space="0"/>
              <w:left w:val="single" w:color="auto" w:sz="4" w:space="0"/>
              <w:bottom w:val="single" w:color="auto" w:sz="4" w:space="0"/>
              <w:right w:val="single" w:color="auto" w:sz="4" w:space="0"/>
            </w:tcBorders>
          </w:tcPr>
          <w:p>
            <w:pPr>
              <w:autoSpaceDE w:val="0"/>
              <w:autoSpaceDN w:val="0"/>
              <w:adjustRightInd w:val="0"/>
              <w:snapToGrid w:val="0"/>
              <w:spacing w:line="360" w:lineRule="auto"/>
              <w:jc w:val="left"/>
              <w:rPr>
                <w:rFonts w:ascii="宋体" w:hAnsi="宋体"/>
                <w:color w:val="auto"/>
                <w:kern w:val="0"/>
                <w:szCs w:val="21"/>
                <w:highlight w:val="none"/>
              </w:rPr>
            </w:pPr>
          </w:p>
        </w:tc>
        <w:tc>
          <w:tcPr>
            <w:tcW w:w="910"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highlight w:val="none"/>
              </w:rPr>
            </w:pPr>
          </w:p>
        </w:tc>
        <w:tc>
          <w:tcPr>
            <w:tcW w:w="9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highlight w:val="none"/>
              </w:rPr>
            </w:pPr>
          </w:p>
        </w:tc>
        <w:tc>
          <w:tcPr>
            <w:tcW w:w="914" w:type="dxa"/>
            <w:tcBorders>
              <w:top w:val="single" w:color="auto" w:sz="6" w:space="0"/>
              <w:left w:val="single" w:color="auto" w:sz="6" w:space="0"/>
              <w:bottom w:val="single" w:color="auto" w:sz="6" w:space="0"/>
              <w:right w:val="double" w:color="auto" w:sz="4" w:space="0"/>
            </w:tcBorders>
          </w:tcPr>
          <w:p>
            <w:pPr>
              <w:autoSpaceDE w:val="0"/>
              <w:autoSpaceDN w:val="0"/>
              <w:adjustRightInd w:val="0"/>
              <w:snapToGrid w:val="0"/>
              <w:spacing w:line="360" w:lineRule="auto"/>
              <w:jc w:val="left"/>
              <w:rPr>
                <w:rFonts w:ascii="宋体" w:hAnsi="宋体"/>
                <w:color w:val="auto"/>
                <w:kern w:val="0"/>
                <w:szCs w:val="21"/>
                <w:highlight w:val="none"/>
              </w:rPr>
            </w:pPr>
          </w:p>
        </w:tc>
      </w:tr>
      <w:tr>
        <w:tblPrEx>
          <w:tblCellMar>
            <w:top w:w="0" w:type="dxa"/>
            <w:left w:w="0" w:type="dxa"/>
            <w:bottom w:w="0" w:type="dxa"/>
            <w:right w:w="0" w:type="dxa"/>
          </w:tblCellMar>
        </w:tblPrEx>
        <w:trPr>
          <w:trHeight w:val="415" w:hRule="exact"/>
        </w:trPr>
        <w:tc>
          <w:tcPr>
            <w:tcW w:w="333" w:type="dxa"/>
            <w:tcBorders>
              <w:top w:val="single" w:color="auto" w:sz="6" w:space="0"/>
              <w:left w:val="double" w:color="auto" w:sz="4" w:space="0"/>
              <w:bottom w:val="single" w:color="auto" w:sz="6" w:space="0"/>
              <w:right w:val="single" w:color="auto" w:sz="6" w:space="0"/>
            </w:tcBorders>
            <w:vAlign w:val="center"/>
          </w:tcPr>
          <w:p>
            <w:pPr>
              <w:jc w:val="center"/>
              <w:rPr>
                <w:color w:val="auto"/>
                <w:highlight w:val="none"/>
              </w:rPr>
            </w:pPr>
            <w:r>
              <w:rPr>
                <w:color w:val="auto"/>
                <w:highlight w:val="none"/>
              </w:rPr>
              <w:t>…</w:t>
            </w:r>
          </w:p>
        </w:tc>
        <w:tc>
          <w:tcPr>
            <w:tcW w:w="1383"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ind w:left="527" w:right="507"/>
              <w:jc w:val="center"/>
              <w:rPr>
                <w:rFonts w:ascii="宋体" w:hAnsi="宋体"/>
                <w:color w:val="auto"/>
                <w:kern w:val="0"/>
                <w:szCs w:val="21"/>
                <w:highlight w:val="none"/>
              </w:rPr>
            </w:pPr>
          </w:p>
        </w:tc>
        <w:tc>
          <w:tcPr>
            <w:tcW w:w="2126" w:type="dxa"/>
            <w:tcBorders>
              <w:top w:val="single" w:color="auto" w:sz="6" w:space="0"/>
              <w:left w:val="single" w:color="auto" w:sz="6" w:space="0"/>
              <w:bottom w:val="single" w:color="auto" w:sz="6" w:space="0"/>
              <w:right w:val="single" w:color="auto" w:sz="4" w:space="0"/>
            </w:tcBorders>
          </w:tcPr>
          <w:p>
            <w:pPr>
              <w:autoSpaceDE w:val="0"/>
              <w:autoSpaceDN w:val="0"/>
              <w:adjustRightInd w:val="0"/>
              <w:snapToGrid w:val="0"/>
              <w:spacing w:line="360" w:lineRule="auto"/>
              <w:jc w:val="left"/>
              <w:rPr>
                <w:rFonts w:ascii="宋体" w:hAnsi="宋体"/>
                <w:color w:val="auto"/>
                <w:kern w:val="0"/>
                <w:szCs w:val="21"/>
                <w:highlight w:val="none"/>
              </w:rPr>
            </w:pPr>
          </w:p>
        </w:tc>
        <w:tc>
          <w:tcPr>
            <w:tcW w:w="2292" w:type="dxa"/>
            <w:tcBorders>
              <w:top w:val="single" w:color="auto" w:sz="4" w:space="0"/>
              <w:left w:val="single" w:color="auto" w:sz="4" w:space="0"/>
              <w:bottom w:val="single" w:color="auto" w:sz="6" w:space="0"/>
              <w:right w:val="single" w:color="auto" w:sz="4" w:space="0"/>
            </w:tcBorders>
          </w:tcPr>
          <w:p>
            <w:pPr>
              <w:autoSpaceDE w:val="0"/>
              <w:autoSpaceDN w:val="0"/>
              <w:adjustRightInd w:val="0"/>
              <w:snapToGrid w:val="0"/>
              <w:spacing w:line="360" w:lineRule="auto"/>
              <w:jc w:val="left"/>
              <w:rPr>
                <w:rFonts w:ascii="宋体" w:hAnsi="宋体"/>
                <w:color w:val="auto"/>
                <w:kern w:val="0"/>
                <w:szCs w:val="21"/>
                <w:highlight w:val="none"/>
              </w:rPr>
            </w:pPr>
          </w:p>
        </w:tc>
        <w:tc>
          <w:tcPr>
            <w:tcW w:w="910" w:type="dxa"/>
            <w:tcBorders>
              <w:top w:val="single" w:color="auto" w:sz="6" w:space="0"/>
              <w:left w:val="single" w:color="auto" w:sz="4"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highlight w:val="none"/>
              </w:rPr>
            </w:pPr>
          </w:p>
        </w:tc>
        <w:tc>
          <w:tcPr>
            <w:tcW w:w="916" w:type="dxa"/>
            <w:tcBorders>
              <w:top w:val="single" w:color="auto" w:sz="6" w:space="0"/>
              <w:left w:val="single" w:color="auto" w:sz="6" w:space="0"/>
              <w:bottom w:val="single" w:color="auto" w:sz="6"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highlight w:val="none"/>
              </w:rPr>
            </w:pPr>
          </w:p>
        </w:tc>
        <w:tc>
          <w:tcPr>
            <w:tcW w:w="914" w:type="dxa"/>
            <w:tcBorders>
              <w:top w:val="single" w:color="auto" w:sz="6" w:space="0"/>
              <w:left w:val="single" w:color="auto" w:sz="6" w:space="0"/>
              <w:bottom w:val="single" w:color="auto" w:sz="6" w:space="0"/>
              <w:right w:val="double" w:color="auto" w:sz="4" w:space="0"/>
            </w:tcBorders>
          </w:tcPr>
          <w:p>
            <w:pPr>
              <w:autoSpaceDE w:val="0"/>
              <w:autoSpaceDN w:val="0"/>
              <w:adjustRightInd w:val="0"/>
              <w:snapToGrid w:val="0"/>
              <w:spacing w:line="360" w:lineRule="auto"/>
              <w:jc w:val="left"/>
              <w:rPr>
                <w:rFonts w:ascii="宋体" w:hAnsi="宋体"/>
                <w:color w:val="auto"/>
                <w:kern w:val="0"/>
                <w:szCs w:val="21"/>
                <w:highlight w:val="none"/>
              </w:rPr>
            </w:pPr>
          </w:p>
        </w:tc>
      </w:tr>
      <w:tr>
        <w:tblPrEx>
          <w:tblCellMar>
            <w:top w:w="0" w:type="dxa"/>
            <w:left w:w="0" w:type="dxa"/>
            <w:bottom w:w="0" w:type="dxa"/>
            <w:right w:w="0" w:type="dxa"/>
          </w:tblCellMar>
        </w:tblPrEx>
        <w:trPr>
          <w:trHeight w:val="415" w:hRule="exact"/>
        </w:trPr>
        <w:tc>
          <w:tcPr>
            <w:tcW w:w="7044" w:type="dxa"/>
            <w:gridSpan w:val="5"/>
            <w:tcBorders>
              <w:top w:val="single" w:color="auto" w:sz="6" w:space="0"/>
              <w:left w:val="double" w:color="auto" w:sz="4" w:space="0"/>
              <w:bottom w:val="double" w:color="auto" w:sz="4" w:space="0"/>
              <w:right w:val="single" w:color="auto" w:sz="6" w:space="0"/>
            </w:tcBorders>
            <w:vAlign w:val="center"/>
          </w:tcPr>
          <w:p>
            <w:pPr>
              <w:autoSpaceDE w:val="0"/>
              <w:autoSpaceDN w:val="0"/>
              <w:adjustRightInd w:val="0"/>
              <w:snapToGrid w:val="0"/>
              <w:spacing w:line="360" w:lineRule="auto"/>
              <w:jc w:val="center"/>
              <w:rPr>
                <w:rFonts w:ascii="宋体" w:hAnsi="宋体"/>
                <w:color w:val="auto"/>
                <w:kern w:val="0"/>
                <w:szCs w:val="21"/>
                <w:highlight w:val="none"/>
              </w:rPr>
            </w:pPr>
            <w:r>
              <w:rPr>
                <w:rFonts w:hint="eastAsia" w:ascii="宋体" w:hAnsi="宋体" w:cs="微软雅黑"/>
                <w:color w:val="auto"/>
                <w:kern w:val="0"/>
                <w:position w:val="-1"/>
                <w:szCs w:val="21"/>
                <w:highlight w:val="none"/>
              </w:rPr>
              <w:t>报价（元）：</w:t>
            </w:r>
          </w:p>
        </w:tc>
        <w:tc>
          <w:tcPr>
            <w:tcW w:w="916" w:type="dxa"/>
            <w:tcBorders>
              <w:top w:val="single" w:color="auto" w:sz="6" w:space="0"/>
              <w:left w:val="single" w:color="auto" w:sz="6" w:space="0"/>
              <w:bottom w:val="double" w:color="auto" w:sz="4" w:space="0"/>
              <w:right w:val="single" w:color="auto" w:sz="6" w:space="0"/>
            </w:tcBorders>
          </w:tcPr>
          <w:p>
            <w:pPr>
              <w:autoSpaceDE w:val="0"/>
              <w:autoSpaceDN w:val="0"/>
              <w:adjustRightInd w:val="0"/>
              <w:snapToGrid w:val="0"/>
              <w:spacing w:line="360" w:lineRule="auto"/>
              <w:jc w:val="left"/>
              <w:rPr>
                <w:rFonts w:ascii="宋体" w:hAnsi="宋体"/>
                <w:color w:val="auto"/>
                <w:kern w:val="0"/>
                <w:szCs w:val="21"/>
                <w:highlight w:val="none"/>
              </w:rPr>
            </w:pPr>
          </w:p>
        </w:tc>
        <w:tc>
          <w:tcPr>
            <w:tcW w:w="914" w:type="dxa"/>
            <w:tcBorders>
              <w:top w:val="single" w:color="auto" w:sz="6" w:space="0"/>
              <w:left w:val="single" w:color="auto" w:sz="6" w:space="0"/>
              <w:bottom w:val="double" w:color="auto" w:sz="4" w:space="0"/>
              <w:right w:val="double" w:color="auto" w:sz="4" w:space="0"/>
            </w:tcBorders>
          </w:tcPr>
          <w:p>
            <w:pPr>
              <w:autoSpaceDE w:val="0"/>
              <w:autoSpaceDN w:val="0"/>
              <w:adjustRightInd w:val="0"/>
              <w:snapToGrid w:val="0"/>
              <w:spacing w:line="360" w:lineRule="auto"/>
              <w:jc w:val="left"/>
              <w:rPr>
                <w:rFonts w:ascii="宋体" w:hAnsi="宋体"/>
                <w:color w:val="auto"/>
                <w:kern w:val="0"/>
                <w:szCs w:val="21"/>
                <w:highlight w:val="none"/>
              </w:rPr>
            </w:pPr>
          </w:p>
        </w:tc>
      </w:tr>
    </w:tbl>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备注：（1）</w:t>
      </w:r>
      <w:r>
        <w:rPr>
          <w:rFonts w:hint="eastAsia" w:ascii="宋体" w:hAnsi="宋体"/>
          <w:b/>
          <w:color w:val="auto"/>
          <w:szCs w:val="21"/>
          <w:highlight w:val="none"/>
        </w:rPr>
        <w:t>本表应对应</w:t>
      </w:r>
      <w:r>
        <w:rPr>
          <w:rFonts w:hint="eastAsia" w:ascii="宋体" w:hAnsi="宋体"/>
          <w:color w:val="auto"/>
          <w:szCs w:val="21"/>
          <w:highlight w:val="none"/>
        </w:rPr>
        <w:t>“</w:t>
      </w:r>
      <w:r>
        <w:rPr>
          <w:rFonts w:hint="eastAsia" w:ascii="宋体" w:hAnsi="宋体"/>
          <w:b/>
          <w:color w:val="auto"/>
          <w:szCs w:val="21"/>
          <w:highlight w:val="none"/>
        </w:rPr>
        <w:t>报价表</w:t>
      </w:r>
      <w:r>
        <w:rPr>
          <w:rFonts w:hint="eastAsia" w:ascii="宋体" w:hAnsi="宋体"/>
          <w:color w:val="auto"/>
          <w:szCs w:val="21"/>
          <w:highlight w:val="none"/>
        </w:rPr>
        <w:t>”</w:t>
      </w:r>
      <w:r>
        <w:rPr>
          <w:rFonts w:hint="eastAsia" w:ascii="宋体" w:hAnsi="宋体"/>
          <w:b/>
          <w:color w:val="auto"/>
          <w:szCs w:val="21"/>
          <w:highlight w:val="none"/>
        </w:rPr>
        <w:t>，按包填写</w:t>
      </w:r>
      <w:r>
        <w:rPr>
          <w:rFonts w:hint="eastAsia" w:ascii="宋体" w:hAnsi="宋体"/>
          <w:color w:val="auto"/>
          <w:szCs w:val="21"/>
          <w:highlight w:val="none"/>
        </w:rPr>
        <w:t>。供应商如果不提供分项报价明细表，其</w:t>
      </w:r>
      <w:r>
        <w:rPr>
          <w:rFonts w:hint="eastAsia" w:ascii="宋体" w:hAnsi="宋体"/>
          <w:b/>
          <w:color w:val="auto"/>
          <w:szCs w:val="21"/>
          <w:highlight w:val="none"/>
        </w:rPr>
        <w:t>响应无效</w:t>
      </w:r>
      <w:r>
        <w:rPr>
          <w:rFonts w:hint="eastAsia" w:ascii="宋体" w:hAnsi="宋体"/>
          <w:color w:val="auto"/>
          <w:szCs w:val="21"/>
          <w:highlight w:val="none"/>
        </w:rPr>
        <w:t>。</w:t>
      </w:r>
    </w:p>
    <w:p>
      <w:pPr>
        <w:adjustRightInd w:val="0"/>
        <w:snapToGrid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（2）不得填写“免费”或“赠与”，也不得进行“零”报价，否则</w:t>
      </w:r>
      <w:r>
        <w:rPr>
          <w:rFonts w:hint="eastAsia" w:ascii="宋体" w:hAnsi="宋体"/>
          <w:b/>
          <w:color w:val="auto"/>
          <w:szCs w:val="21"/>
          <w:highlight w:val="none"/>
        </w:rPr>
        <w:t>响应无效</w:t>
      </w:r>
      <w:r>
        <w:rPr>
          <w:rFonts w:hint="eastAsia" w:ascii="宋体" w:hAnsi="宋体"/>
          <w:color w:val="auto"/>
          <w:szCs w:val="21"/>
          <w:highlight w:val="none"/>
        </w:rPr>
        <w:t>。</w:t>
      </w:r>
    </w:p>
    <w:p>
      <w:pPr>
        <w:adjustRightInd w:val="0"/>
        <w:snapToGrid w:val="0"/>
        <w:spacing w:line="360" w:lineRule="auto"/>
        <w:rPr>
          <w:rFonts w:ascii="宋体" w:hAnsi="宋体"/>
          <w:color w:val="auto"/>
          <w:szCs w:val="21"/>
          <w:highlight w:val="none"/>
        </w:rPr>
      </w:pP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供应商名称（盖单位公章）：</w:t>
      </w:r>
    </w:p>
    <w:p>
      <w:pPr>
        <w:adjustRightInd w:val="0"/>
        <w:snapToGrid w:val="0"/>
        <w:spacing w:line="360" w:lineRule="auto"/>
        <w:rPr>
          <w:rFonts w:ascii="宋体" w:hAnsi="宋体"/>
          <w:color w:val="auto"/>
          <w:szCs w:val="21"/>
          <w:highlight w:val="non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或其授权的代理人（签字或印章）：</w:t>
      </w:r>
      <w:r>
        <w:rPr>
          <w:rFonts w:hint="eastAsia" w:ascii="宋体" w:hAnsi="宋体"/>
          <w:color w:val="auto"/>
          <w:szCs w:val="21"/>
          <w:highlight w:val="none"/>
          <w:u w:val="single"/>
        </w:rPr>
        <w:t xml:space="preserve">       </w:t>
      </w:r>
    </w:p>
    <w:p>
      <w:pPr>
        <w:adjustRightInd w:val="0"/>
        <w:snapToGrid w:val="0"/>
        <w:spacing w:line="360" w:lineRule="auto"/>
        <w:rPr>
          <w:rFonts w:ascii="黑体" w:hAnsi="黑体" w:eastAsia="黑体"/>
          <w:bCs/>
          <w:color w:val="auto"/>
          <w:sz w:val="30"/>
          <w:szCs w:val="30"/>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pStyle w:val="5"/>
        <w:tabs>
          <w:tab w:val="left" w:pos="0"/>
        </w:tabs>
        <w:jc w:val="center"/>
        <w:rPr>
          <w:color w:val="auto"/>
          <w:highlight w:val="none"/>
        </w:rPr>
      </w:pPr>
      <w:r>
        <w:rPr>
          <w:color w:val="auto"/>
          <w:highlight w:val="none"/>
        </w:rPr>
        <w:br w:type="page"/>
      </w:r>
      <w:bookmarkStart w:id="169" w:name="_Toc26216"/>
      <w:bookmarkEnd w:id="169"/>
      <w:bookmarkStart w:id="170" w:name="_Toc19324"/>
      <w:bookmarkEnd w:id="170"/>
      <w:bookmarkStart w:id="171" w:name="_Toc22201157"/>
    </w:p>
    <w:p>
      <w:pPr>
        <w:pStyle w:val="5"/>
        <w:numPr>
          <w:ilvl w:val="1"/>
          <w:numId w:val="0"/>
        </w:numPr>
        <w:tabs>
          <w:tab w:val="left" w:pos="0"/>
        </w:tabs>
        <w:ind w:leftChars="0"/>
        <w:jc w:val="center"/>
        <w:rPr>
          <w:rFonts w:ascii="黑体" w:hAnsi="黑体" w:eastAsia="黑体"/>
          <w:color w:val="auto"/>
          <w:sz w:val="28"/>
          <w:szCs w:val="28"/>
          <w:highlight w:val="none"/>
        </w:rPr>
      </w:pPr>
      <w:bookmarkStart w:id="172" w:name="_Toc7902"/>
      <w:bookmarkStart w:id="173" w:name="_Toc34637800"/>
      <w:bookmarkStart w:id="174" w:name="_Toc27763"/>
      <w:r>
        <w:rPr>
          <w:rFonts w:hint="eastAsia" w:ascii="黑体" w:hAnsi="黑体" w:eastAsia="黑体"/>
          <w:color w:val="auto"/>
          <w:sz w:val="28"/>
          <w:szCs w:val="28"/>
          <w:highlight w:val="none"/>
        </w:rPr>
        <w:t>六、采购需求的响应</w:t>
      </w:r>
      <w:bookmarkEnd w:id="171"/>
      <w:bookmarkEnd w:id="172"/>
      <w:bookmarkEnd w:id="173"/>
      <w:bookmarkEnd w:id="174"/>
    </w:p>
    <w:p>
      <w:pPr>
        <w:adjustRightInd w:val="0"/>
        <w:snapToGrid w:val="0"/>
        <w:spacing w:line="360" w:lineRule="auto"/>
        <w:rPr>
          <w:rFonts w:ascii="宋体" w:hAnsi="宋体"/>
          <w:b/>
          <w:color w:val="auto"/>
          <w:szCs w:val="21"/>
          <w:highlight w:val="none"/>
        </w:rPr>
      </w:pPr>
    </w:p>
    <w:p>
      <w:pPr>
        <w:adjustRightInd w:val="0"/>
        <w:snapToGrid w:val="0"/>
        <w:spacing w:line="360" w:lineRule="auto"/>
        <w:rPr>
          <w:b/>
          <w:color w:val="auto"/>
          <w:highlight w:val="none"/>
        </w:rPr>
      </w:pPr>
      <w:r>
        <w:rPr>
          <w:rFonts w:hint="eastAsia" w:ascii="宋体" w:hAnsi="宋体"/>
          <w:b/>
          <w:color w:val="auto"/>
          <w:szCs w:val="21"/>
          <w:highlight w:val="none"/>
        </w:rPr>
        <w:t>编制说明</w:t>
      </w:r>
      <w:r>
        <w:rPr>
          <w:rFonts w:hint="eastAsia" w:ascii="宋体" w:hAnsi="宋体"/>
          <w:bCs/>
          <w:color w:val="auto"/>
          <w:szCs w:val="21"/>
          <w:highlight w:val="none"/>
        </w:rPr>
        <w:t>：</w:t>
      </w:r>
      <w:r>
        <w:rPr>
          <w:rFonts w:hint="eastAsia"/>
          <w:b/>
          <w:color w:val="auto"/>
          <w:highlight w:val="none"/>
        </w:rPr>
        <w:t>供应商应按</w:t>
      </w:r>
      <w:r>
        <w:rPr>
          <w:rFonts w:hint="eastAsia"/>
          <w:b/>
          <w:color w:val="auto"/>
          <w:highlight w:val="none"/>
          <w:lang w:eastAsia="zh-CN"/>
        </w:rPr>
        <w:t>磋商</w:t>
      </w:r>
      <w:r>
        <w:rPr>
          <w:rFonts w:hint="eastAsia"/>
          <w:b/>
          <w:color w:val="auto"/>
          <w:highlight w:val="none"/>
        </w:rPr>
        <w:t>文件第三章采购需求自行编写采购需求响应文件（其内容可包括，且不限于详细的技术指标、售后服务和技术服务的组织及保证措施等，格式自拟）。</w:t>
      </w:r>
    </w:p>
    <w:p>
      <w:pPr>
        <w:rPr>
          <w:color w:val="auto"/>
          <w:highlight w:val="none"/>
        </w:rPr>
      </w:pPr>
    </w:p>
    <w:p>
      <w:pPr>
        <w:pStyle w:val="14"/>
        <w:tabs>
          <w:tab w:val="left" w:pos="6208"/>
        </w:tabs>
        <w:adjustRightInd w:val="0"/>
        <w:snapToGrid w:val="0"/>
        <w:spacing w:line="360" w:lineRule="auto"/>
        <w:ind w:left="-101" w:leftChars="-42"/>
        <w:rPr>
          <w:rFonts w:ascii="宋体" w:hAnsi="宋体"/>
          <w:bCs/>
          <w:color w:val="auto"/>
          <w:sz w:val="21"/>
          <w:szCs w:val="21"/>
          <w:highlight w:val="none"/>
        </w:rPr>
      </w:pPr>
    </w:p>
    <w:p>
      <w:pPr>
        <w:adjustRightInd w:val="0"/>
        <w:snapToGrid w:val="0"/>
        <w:spacing w:line="360" w:lineRule="auto"/>
        <w:rPr>
          <w:rFonts w:ascii="宋体" w:hAnsi="宋体"/>
          <w:color w:val="auto"/>
          <w:szCs w:val="21"/>
          <w:highlight w:val="none"/>
        </w:rPr>
      </w:pP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供应商名称（盖单位公章）：</w:t>
      </w:r>
    </w:p>
    <w:p>
      <w:pPr>
        <w:adjustRightInd w:val="0"/>
        <w:snapToGrid w:val="0"/>
        <w:spacing w:line="360" w:lineRule="auto"/>
        <w:rPr>
          <w:rFonts w:ascii="宋体" w:hAnsi="宋体"/>
          <w:color w:val="auto"/>
          <w:szCs w:val="21"/>
          <w:highlight w:val="none"/>
          <w:u w:val="singl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或其授权的代理人（签字或印章）：</w:t>
      </w:r>
      <w:r>
        <w:rPr>
          <w:rFonts w:hint="eastAsia" w:ascii="宋体" w:hAnsi="宋体"/>
          <w:color w:val="auto"/>
          <w:szCs w:val="21"/>
          <w:highlight w:val="none"/>
          <w:u w:val="single"/>
        </w:rPr>
        <w:t xml:space="preserve">             </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pPr>
        <w:rPr>
          <w:color w:val="auto"/>
          <w:highlight w:val="none"/>
        </w:rPr>
      </w:pPr>
    </w:p>
    <w:p>
      <w:pPr>
        <w:rPr>
          <w:color w:val="auto"/>
          <w:highlight w:val="none"/>
        </w:rPr>
      </w:pPr>
    </w:p>
    <w:p>
      <w:pPr>
        <w:pStyle w:val="6"/>
        <w:rPr>
          <w:rFonts w:ascii="宋体" w:hAnsi="宋体"/>
          <w:color w:val="auto"/>
          <w:sz w:val="21"/>
          <w:szCs w:val="21"/>
          <w:highlight w:val="none"/>
        </w:rPr>
      </w:pPr>
      <w:bookmarkStart w:id="175" w:name="_Toc34637801"/>
      <w:bookmarkStart w:id="176" w:name="_Toc25918"/>
      <w:bookmarkStart w:id="177" w:name="_Toc13824"/>
      <w:bookmarkStart w:id="178" w:name="_Toc22201158"/>
      <w:r>
        <w:rPr>
          <w:rFonts w:hint="eastAsia" w:ascii="宋体" w:hAnsi="宋体"/>
          <w:color w:val="auto"/>
          <w:sz w:val="21"/>
          <w:szCs w:val="21"/>
          <w:highlight w:val="none"/>
        </w:rPr>
        <w:t>附件6-1 响应-览表</w:t>
      </w:r>
      <w:bookmarkEnd w:id="175"/>
      <w:bookmarkEnd w:id="176"/>
      <w:bookmarkEnd w:id="177"/>
      <w:bookmarkEnd w:id="178"/>
    </w:p>
    <w:p>
      <w:pPr>
        <w:adjustRightInd w:val="0"/>
        <w:snapToGrid w:val="0"/>
        <w:spacing w:before="156" w:beforeLines="50" w:line="360" w:lineRule="auto"/>
        <w:jc w:val="center"/>
        <w:rPr>
          <w:rFonts w:ascii="黑体" w:hAnsi="黑体" w:eastAsia="黑体"/>
          <w:b/>
          <w:bCs/>
          <w:color w:val="auto"/>
          <w:sz w:val="28"/>
          <w:szCs w:val="28"/>
          <w:highlight w:val="none"/>
        </w:rPr>
      </w:pPr>
      <w:r>
        <w:rPr>
          <w:rFonts w:hint="eastAsia" w:ascii="黑体" w:hAnsi="黑体" w:eastAsia="黑体"/>
          <w:b/>
          <w:bCs/>
          <w:color w:val="auto"/>
          <w:sz w:val="28"/>
          <w:szCs w:val="28"/>
          <w:highlight w:val="none"/>
        </w:rPr>
        <w:t>响应-览表</w:t>
      </w:r>
    </w:p>
    <w:p>
      <w:pPr>
        <w:jc w:val="center"/>
        <w:rPr>
          <w:rFonts w:ascii="宋体" w:hAnsi="宋体"/>
          <w:color w:val="auto"/>
          <w:szCs w:val="21"/>
          <w:highlight w:val="none"/>
        </w:rPr>
      </w:pPr>
    </w:p>
    <w:tbl>
      <w:tblPr>
        <w:tblStyle w:val="24"/>
        <w:tblW w:w="9010"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29"/>
        <w:gridCol w:w="957"/>
        <w:gridCol w:w="2124"/>
        <w:gridCol w:w="2127"/>
        <w:gridCol w:w="1623"/>
        <w:gridCol w:w="175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46" w:hRule="atLeast"/>
        </w:trPr>
        <w:tc>
          <w:tcPr>
            <w:tcW w:w="429" w:type="dxa"/>
            <w:vMerge w:val="restart"/>
            <w:vAlign w:val="center"/>
          </w:tcPr>
          <w:p>
            <w:pPr>
              <w:jc w:val="center"/>
              <w:rPr>
                <w:color w:val="auto"/>
                <w:szCs w:val="21"/>
                <w:highlight w:val="none"/>
              </w:rPr>
            </w:pPr>
            <w:r>
              <w:rPr>
                <w:rFonts w:hint="eastAsia"/>
                <w:color w:val="auto"/>
                <w:szCs w:val="21"/>
                <w:highlight w:val="none"/>
              </w:rPr>
              <w:t xml:space="preserve">包号 </w:t>
            </w:r>
          </w:p>
        </w:tc>
        <w:tc>
          <w:tcPr>
            <w:tcW w:w="957" w:type="dxa"/>
            <w:vMerge w:val="restart"/>
            <w:tcBorders>
              <w:right w:val="single" w:color="auto" w:sz="4" w:space="0"/>
            </w:tcBorders>
            <w:vAlign w:val="center"/>
          </w:tcPr>
          <w:p>
            <w:pPr>
              <w:jc w:val="center"/>
              <w:rPr>
                <w:color w:val="auto"/>
                <w:szCs w:val="21"/>
                <w:highlight w:val="none"/>
              </w:rPr>
            </w:pPr>
            <w:r>
              <w:rPr>
                <w:rFonts w:hint="eastAsia"/>
                <w:color w:val="auto"/>
                <w:szCs w:val="21"/>
                <w:highlight w:val="none"/>
              </w:rPr>
              <w:t>包名称</w:t>
            </w:r>
          </w:p>
        </w:tc>
        <w:tc>
          <w:tcPr>
            <w:tcW w:w="2124" w:type="dxa"/>
            <w:vMerge w:val="restart"/>
            <w:tcBorders>
              <w:left w:val="single" w:color="auto" w:sz="4" w:space="0"/>
            </w:tcBorders>
            <w:vAlign w:val="center"/>
          </w:tcPr>
          <w:p>
            <w:pPr>
              <w:jc w:val="center"/>
              <w:rPr>
                <w:color w:val="auto"/>
                <w:szCs w:val="21"/>
                <w:highlight w:val="none"/>
              </w:rPr>
            </w:pPr>
            <w:r>
              <w:rPr>
                <w:rFonts w:hint="eastAsia"/>
                <w:color w:val="auto"/>
                <w:szCs w:val="21"/>
                <w:highlight w:val="none"/>
              </w:rPr>
              <w:t>分项项目名称</w:t>
            </w:r>
          </w:p>
          <w:p>
            <w:pPr>
              <w:jc w:val="center"/>
              <w:rPr>
                <w:color w:val="auto"/>
                <w:szCs w:val="21"/>
                <w:highlight w:val="none"/>
              </w:rPr>
            </w:pPr>
            <w:r>
              <w:rPr>
                <w:rFonts w:hint="eastAsia"/>
                <w:color w:val="auto"/>
                <w:szCs w:val="21"/>
                <w:highlight w:val="none"/>
              </w:rPr>
              <w:t>（条目号/品目名称）</w:t>
            </w:r>
          </w:p>
        </w:tc>
        <w:tc>
          <w:tcPr>
            <w:tcW w:w="2127" w:type="dxa"/>
            <w:vMerge w:val="restart"/>
            <w:vAlign w:val="center"/>
          </w:tcPr>
          <w:p>
            <w:pPr>
              <w:jc w:val="center"/>
              <w:rPr>
                <w:color w:val="auto"/>
                <w:szCs w:val="21"/>
                <w:highlight w:val="none"/>
              </w:rPr>
            </w:pPr>
            <w:r>
              <w:rPr>
                <w:rFonts w:hint="eastAsia"/>
                <w:color w:val="auto"/>
                <w:szCs w:val="21"/>
                <w:highlight w:val="none"/>
              </w:rPr>
              <w:t>主要技术参数或规格</w:t>
            </w:r>
          </w:p>
        </w:tc>
        <w:tc>
          <w:tcPr>
            <w:tcW w:w="1623" w:type="dxa"/>
            <w:vMerge w:val="restart"/>
            <w:vAlign w:val="center"/>
          </w:tcPr>
          <w:p>
            <w:pPr>
              <w:jc w:val="center"/>
              <w:rPr>
                <w:rFonts w:hint="eastAsia"/>
                <w:color w:val="auto"/>
                <w:szCs w:val="21"/>
                <w:highlight w:val="none"/>
                <w:lang w:val="en-US" w:eastAsia="zh-CN"/>
              </w:rPr>
            </w:pPr>
            <w:r>
              <w:rPr>
                <w:rFonts w:hint="eastAsia"/>
                <w:color w:val="auto"/>
                <w:szCs w:val="21"/>
                <w:highlight w:val="none"/>
                <w:lang w:val="en-US" w:eastAsia="zh-CN"/>
              </w:rPr>
              <w:t>项目</w:t>
            </w:r>
          </w:p>
          <w:p>
            <w:pPr>
              <w:jc w:val="center"/>
              <w:rPr>
                <w:rFonts w:hint="default" w:eastAsia="宋体"/>
                <w:color w:val="auto"/>
                <w:szCs w:val="21"/>
                <w:highlight w:val="none"/>
                <w:lang w:val="en-US" w:eastAsia="zh-CN"/>
              </w:rPr>
            </w:pPr>
            <w:r>
              <w:rPr>
                <w:rFonts w:hint="eastAsia"/>
                <w:color w:val="auto"/>
                <w:szCs w:val="21"/>
                <w:highlight w:val="none"/>
                <w:lang w:val="en-US" w:eastAsia="zh-CN"/>
              </w:rPr>
              <w:t>要求</w:t>
            </w:r>
          </w:p>
        </w:tc>
        <w:tc>
          <w:tcPr>
            <w:tcW w:w="1750" w:type="dxa"/>
            <w:vMerge w:val="restart"/>
            <w:vAlign w:val="center"/>
          </w:tcPr>
          <w:p>
            <w:pPr>
              <w:jc w:val="center"/>
              <w:rPr>
                <w:color w:val="auto"/>
                <w:szCs w:val="21"/>
                <w:highlight w:val="none"/>
              </w:rPr>
            </w:pPr>
            <w:r>
              <w:rPr>
                <w:rFonts w:hint="eastAsia"/>
                <w:color w:val="auto"/>
                <w:szCs w:val="21"/>
                <w:highlight w:val="none"/>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4" w:hRule="atLeast"/>
        </w:trPr>
        <w:tc>
          <w:tcPr>
            <w:tcW w:w="429" w:type="dxa"/>
            <w:vMerge w:val="continue"/>
            <w:vAlign w:val="center"/>
          </w:tcPr>
          <w:p>
            <w:pPr>
              <w:jc w:val="center"/>
              <w:rPr>
                <w:color w:val="auto"/>
                <w:szCs w:val="21"/>
                <w:highlight w:val="none"/>
              </w:rPr>
            </w:pPr>
          </w:p>
        </w:tc>
        <w:tc>
          <w:tcPr>
            <w:tcW w:w="957" w:type="dxa"/>
            <w:vMerge w:val="continue"/>
            <w:tcBorders>
              <w:right w:val="single" w:color="auto" w:sz="4" w:space="0"/>
            </w:tcBorders>
            <w:vAlign w:val="center"/>
          </w:tcPr>
          <w:p>
            <w:pPr>
              <w:jc w:val="center"/>
              <w:rPr>
                <w:color w:val="auto"/>
                <w:szCs w:val="21"/>
                <w:highlight w:val="none"/>
              </w:rPr>
            </w:pPr>
          </w:p>
        </w:tc>
        <w:tc>
          <w:tcPr>
            <w:tcW w:w="2124" w:type="dxa"/>
            <w:vMerge w:val="continue"/>
            <w:tcBorders>
              <w:left w:val="single" w:color="auto" w:sz="4" w:space="0"/>
            </w:tcBorders>
            <w:vAlign w:val="center"/>
          </w:tcPr>
          <w:p>
            <w:pPr>
              <w:jc w:val="center"/>
              <w:rPr>
                <w:color w:val="auto"/>
                <w:szCs w:val="21"/>
                <w:highlight w:val="none"/>
              </w:rPr>
            </w:pPr>
          </w:p>
        </w:tc>
        <w:tc>
          <w:tcPr>
            <w:tcW w:w="2127" w:type="dxa"/>
            <w:vMerge w:val="continue"/>
            <w:vAlign w:val="center"/>
          </w:tcPr>
          <w:p>
            <w:pPr>
              <w:jc w:val="center"/>
              <w:rPr>
                <w:color w:val="auto"/>
                <w:szCs w:val="21"/>
                <w:highlight w:val="none"/>
              </w:rPr>
            </w:pPr>
          </w:p>
        </w:tc>
        <w:tc>
          <w:tcPr>
            <w:tcW w:w="1623" w:type="dxa"/>
            <w:vMerge w:val="continue"/>
            <w:vAlign w:val="center"/>
          </w:tcPr>
          <w:p>
            <w:pPr>
              <w:jc w:val="center"/>
              <w:rPr>
                <w:color w:val="auto"/>
                <w:szCs w:val="21"/>
                <w:highlight w:val="none"/>
              </w:rPr>
            </w:pPr>
          </w:p>
        </w:tc>
        <w:tc>
          <w:tcPr>
            <w:tcW w:w="1750" w:type="dxa"/>
            <w:vMerge w:val="continue"/>
          </w:tcPr>
          <w:p>
            <w:pPr>
              <w:rPr>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9" w:type="dxa"/>
          </w:tcPr>
          <w:p>
            <w:pPr>
              <w:rPr>
                <w:color w:val="auto"/>
                <w:szCs w:val="21"/>
                <w:highlight w:val="none"/>
              </w:rPr>
            </w:pPr>
          </w:p>
        </w:tc>
        <w:tc>
          <w:tcPr>
            <w:tcW w:w="957" w:type="dxa"/>
            <w:tcBorders>
              <w:right w:val="single" w:color="auto" w:sz="4" w:space="0"/>
            </w:tcBorders>
          </w:tcPr>
          <w:p>
            <w:pPr>
              <w:rPr>
                <w:color w:val="auto"/>
                <w:szCs w:val="21"/>
                <w:highlight w:val="none"/>
              </w:rPr>
            </w:pPr>
          </w:p>
        </w:tc>
        <w:tc>
          <w:tcPr>
            <w:tcW w:w="2124" w:type="dxa"/>
            <w:tcBorders>
              <w:left w:val="single" w:color="auto" w:sz="4" w:space="0"/>
            </w:tcBorders>
          </w:tcPr>
          <w:p>
            <w:pPr>
              <w:rPr>
                <w:color w:val="auto"/>
                <w:szCs w:val="21"/>
                <w:highlight w:val="none"/>
              </w:rPr>
            </w:pPr>
          </w:p>
        </w:tc>
        <w:tc>
          <w:tcPr>
            <w:tcW w:w="2127" w:type="dxa"/>
          </w:tcPr>
          <w:p>
            <w:pPr>
              <w:rPr>
                <w:color w:val="auto"/>
                <w:szCs w:val="21"/>
                <w:highlight w:val="none"/>
              </w:rPr>
            </w:pPr>
          </w:p>
        </w:tc>
        <w:tc>
          <w:tcPr>
            <w:tcW w:w="1623" w:type="dxa"/>
          </w:tcPr>
          <w:p>
            <w:pPr>
              <w:rPr>
                <w:color w:val="auto"/>
                <w:szCs w:val="21"/>
                <w:highlight w:val="none"/>
              </w:rPr>
            </w:pPr>
          </w:p>
        </w:tc>
        <w:tc>
          <w:tcPr>
            <w:tcW w:w="1750" w:type="dxa"/>
          </w:tcPr>
          <w:p>
            <w:pPr>
              <w:rPr>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9" w:type="dxa"/>
          </w:tcPr>
          <w:p>
            <w:pPr>
              <w:rPr>
                <w:color w:val="auto"/>
                <w:szCs w:val="21"/>
                <w:highlight w:val="none"/>
              </w:rPr>
            </w:pPr>
          </w:p>
        </w:tc>
        <w:tc>
          <w:tcPr>
            <w:tcW w:w="957" w:type="dxa"/>
            <w:tcBorders>
              <w:right w:val="single" w:color="auto" w:sz="4" w:space="0"/>
            </w:tcBorders>
          </w:tcPr>
          <w:p>
            <w:pPr>
              <w:rPr>
                <w:color w:val="auto"/>
                <w:szCs w:val="21"/>
                <w:highlight w:val="none"/>
              </w:rPr>
            </w:pPr>
          </w:p>
        </w:tc>
        <w:tc>
          <w:tcPr>
            <w:tcW w:w="2124" w:type="dxa"/>
            <w:tcBorders>
              <w:left w:val="single" w:color="auto" w:sz="4" w:space="0"/>
            </w:tcBorders>
          </w:tcPr>
          <w:p>
            <w:pPr>
              <w:rPr>
                <w:color w:val="auto"/>
                <w:szCs w:val="21"/>
                <w:highlight w:val="none"/>
              </w:rPr>
            </w:pPr>
          </w:p>
        </w:tc>
        <w:tc>
          <w:tcPr>
            <w:tcW w:w="2127" w:type="dxa"/>
          </w:tcPr>
          <w:p>
            <w:pPr>
              <w:rPr>
                <w:color w:val="auto"/>
                <w:szCs w:val="21"/>
                <w:highlight w:val="none"/>
              </w:rPr>
            </w:pPr>
          </w:p>
        </w:tc>
        <w:tc>
          <w:tcPr>
            <w:tcW w:w="1623" w:type="dxa"/>
          </w:tcPr>
          <w:p>
            <w:pPr>
              <w:rPr>
                <w:color w:val="auto"/>
                <w:szCs w:val="21"/>
                <w:highlight w:val="none"/>
              </w:rPr>
            </w:pPr>
          </w:p>
        </w:tc>
        <w:tc>
          <w:tcPr>
            <w:tcW w:w="1750" w:type="dxa"/>
          </w:tcPr>
          <w:p>
            <w:pPr>
              <w:rPr>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9" w:type="dxa"/>
          </w:tcPr>
          <w:p>
            <w:pPr>
              <w:rPr>
                <w:color w:val="auto"/>
                <w:szCs w:val="21"/>
                <w:highlight w:val="none"/>
              </w:rPr>
            </w:pPr>
          </w:p>
        </w:tc>
        <w:tc>
          <w:tcPr>
            <w:tcW w:w="957" w:type="dxa"/>
            <w:tcBorders>
              <w:right w:val="single" w:color="auto" w:sz="4" w:space="0"/>
            </w:tcBorders>
          </w:tcPr>
          <w:p>
            <w:pPr>
              <w:rPr>
                <w:color w:val="auto"/>
                <w:szCs w:val="21"/>
                <w:highlight w:val="none"/>
              </w:rPr>
            </w:pPr>
          </w:p>
        </w:tc>
        <w:tc>
          <w:tcPr>
            <w:tcW w:w="2124" w:type="dxa"/>
            <w:tcBorders>
              <w:left w:val="single" w:color="auto" w:sz="4" w:space="0"/>
            </w:tcBorders>
          </w:tcPr>
          <w:p>
            <w:pPr>
              <w:rPr>
                <w:color w:val="auto"/>
                <w:szCs w:val="21"/>
                <w:highlight w:val="none"/>
              </w:rPr>
            </w:pPr>
          </w:p>
        </w:tc>
        <w:tc>
          <w:tcPr>
            <w:tcW w:w="2127" w:type="dxa"/>
          </w:tcPr>
          <w:p>
            <w:pPr>
              <w:rPr>
                <w:color w:val="auto"/>
                <w:szCs w:val="21"/>
                <w:highlight w:val="none"/>
              </w:rPr>
            </w:pPr>
          </w:p>
        </w:tc>
        <w:tc>
          <w:tcPr>
            <w:tcW w:w="1623" w:type="dxa"/>
          </w:tcPr>
          <w:p>
            <w:pPr>
              <w:rPr>
                <w:color w:val="auto"/>
                <w:szCs w:val="21"/>
                <w:highlight w:val="none"/>
              </w:rPr>
            </w:pPr>
          </w:p>
        </w:tc>
        <w:tc>
          <w:tcPr>
            <w:tcW w:w="1750" w:type="dxa"/>
          </w:tcPr>
          <w:p>
            <w:pPr>
              <w:rPr>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9" w:type="dxa"/>
          </w:tcPr>
          <w:p>
            <w:pPr>
              <w:rPr>
                <w:color w:val="auto"/>
                <w:szCs w:val="21"/>
                <w:highlight w:val="none"/>
              </w:rPr>
            </w:pPr>
          </w:p>
        </w:tc>
        <w:tc>
          <w:tcPr>
            <w:tcW w:w="957" w:type="dxa"/>
            <w:tcBorders>
              <w:right w:val="single" w:color="auto" w:sz="4" w:space="0"/>
            </w:tcBorders>
          </w:tcPr>
          <w:p>
            <w:pPr>
              <w:rPr>
                <w:color w:val="auto"/>
                <w:szCs w:val="21"/>
                <w:highlight w:val="none"/>
              </w:rPr>
            </w:pPr>
          </w:p>
        </w:tc>
        <w:tc>
          <w:tcPr>
            <w:tcW w:w="2124" w:type="dxa"/>
            <w:tcBorders>
              <w:left w:val="single" w:color="auto" w:sz="4" w:space="0"/>
            </w:tcBorders>
          </w:tcPr>
          <w:p>
            <w:pPr>
              <w:rPr>
                <w:color w:val="auto"/>
                <w:szCs w:val="21"/>
                <w:highlight w:val="none"/>
              </w:rPr>
            </w:pPr>
          </w:p>
        </w:tc>
        <w:tc>
          <w:tcPr>
            <w:tcW w:w="2127" w:type="dxa"/>
          </w:tcPr>
          <w:p>
            <w:pPr>
              <w:rPr>
                <w:color w:val="auto"/>
                <w:szCs w:val="21"/>
                <w:highlight w:val="none"/>
              </w:rPr>
            </w:pPr>
          </w:p>
        </w:tc>
        <w:tc>
          <w:tcPr>
            <w:tcW w:w="1623" w:type="dxa"/>
          </w:tcPr>
          <w:p>
            <w:pPr>
              <w:rPr>
                <w:color w:val="auto"/>
                <w:szCs w:val="21"/>
                <w:highlight w:val="none"/>
              </w:rPr>
            </w:pPr>
          </w:p>
        </w:tc>
        <w:tc>
          <w:tcPr>
            <w:tcW w:w="1750" w:type="dxa"/>
          </w:tcPr>
          <w:p>
            <w:pPr>
              <w:rPr>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20" w:hRule="atLeast"/>
        </w:trPr>
        <w:tc>
          <w:tcPr>
            <w:tcW w:w="429" w:type="dxa"/>
          </w:tcPr>
          <w:p>
            <w:pPr>
              <w:rPr>
                <w:color w:val="auto"/>
                <w:szCs w:val="21"/>
                <w:highlight w:val="none"/>
              </w:rPr>
            </w:pPr>
          </w:p>
        </w:tc>
        <w:tc>
          <w:tcPr>
            <w:tcW w:w="957" w:type="dxa"/>
            <w:tcBorders>
              <w:right w:val="single" w:color="auto" w:sz="4" w:space="0"/>
            </w:tcBorders>
          </w:tcPr>
          <w:p>
            <w:pPr>
              <w:rPr>
                <w:color w:val="auto"/>
                <w:szCs w:val="21"/>
                <w:highlight w:val="none"/>
              </w:rPr>
            </w:pPr>
          </w:p>
        </w:tc>
        <w:tc>
          <w:tcPr>
            <w:tcW w:w="2124" w:type="dxa"/>
            <w:tcBorders>
              <w:left w:val="single" w:color="auto" w:sz="4" w:space="0"/>
            </w:tcBorders>
          </w:tcPr>
          <w:p>
            <w:pPr>
              <w:rPr>
                <w:color w:val="auto"/>
                <w:szCs w:val="21"/>
                <w:highlight w:val="none"/>
              </w:rPr>
            </w:pPr>
          </w:p>
        </w:tc>
        <w:tc>
          <w:tcPr>
            <w:tcW w:w="2127" w:type="dxa"/>
          </w:tcPr>
          <w:p>
            <w:pPr>
              <w:rPr>
                <w:color w:val="auto"/>
                <w:szCs w:val="21"/>
                <w:highlight w:val="none"/>
              </w:rPr>
            </w:pPr>
          </w:p>
        </w:tc>
        <w:tc>
          <w:tcPr>
            <w:tcW w:w="1623" w:type="dxa"/>
          </w:tcPr>
          <w:p>
            <w:pPr>
              <w:rPr>
                <w:color w:val="auto"/>
                <w:szCs w:val="21"/>
                <w:highlight w:val="none"/>
              </w:rPr>
            </w:pPr>
          </w:p>
        </w:tc>
        <w:tc>
          <w:tcPr>
            <w:tcW w:w="1750" w:type="dxa"/>
          </w:tcPr>
          <w:p>
            <w:pPr>
              <w:rPr>
                <w:color w:val="auto"/>
                <w:szCs w:val="21"/>
                <w:highlight w:val="none"/>
              </w:rPr>
            </w:pPr>
          </w:p>
        </w:tc>
      </w:tr>
    </w:tbl>
    <w:p>
      <w:pPr>
        <w:adjustRightInd w:val="0"/>
        <w:snapToGrid w:val="0"/>
        <w:spacing w:line="360" w:lineRule="auto"/>
        <w:rPr>
          <w:color w:val="auto"/>
          <w:highlight w:val="none"/>
        </w:rPr>
      </w:pPr>
    </w:p>
    <w:p>
      <w:pPr>
        <w:adjustRightInd w:val="0"/>
        <w:snapToGrid w:val="0"/>
        <w:spacing w:line="360" w:lineRule="auto"/>
        <w:rPr>
          <w:rFonts w:ascii="宋体" w:hAnsi="宋体"/>
          <w:color w:val="auto"/>
          <w:szCs w:val="21"/>
          <w:highlight w:val="none"/>
        </w:rPr>
      </w:pPr>
    </w:p>
    <w:p>
      <w:pPr>
        <w:adjustRightInd w:val="0"/>
        <w:snapToGrid w:val="0"/>
        <w:spacing w:line="360" w:lineRule="auto"/>
        <w:rPr>
          <w:rFonts w:ascii="宋体" w:hAnsi="宋体"/>
          <w:color w:val="auto"/>
          <w:szCs w:val="21"/>
          <w:highlight w:val="none"/>
        </w:rPr>
      </w:pPr>
    </w:p>
    <w:p>
      <w:pPr>
        <w:adjustRightInd w:val="0"/>
        <w:snapToGrid w:val="0"/>
        <w:spacing w:line="360" w:lineRule="auto"/>
        <w:rPr>
          <w:rFonts w:ascii="黑体" w:hAnsi="宋体" w:eastAsia="黑体"/>
          <w:color w:val="auto"/>
          <w:sz w:val="28"/>
          <w:szCs w:val="28"/>
          <w:highlight w:val="none"/>
        </w:rPr>
        <w:sectPr>
          <w:pgSz w:w="11906" w:h="16838"/>
          <w:pgMar w:top="1474" w:right="1361" w:bottom="1474"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5"/>
        <w:numPr>
          <w:ilvl w:val="1"/>
          <w:numId w:val="0"/>
        </w:numPr>
        <w:tabs>
          <w:tab w:val="left" w:pos="0"/>
        </w:tabs>
        <w:ind w:leftChars="0"/>
        <w:jc w:val="center"/>
        <w:rPr>
          <w:rFonts w:ascii="黑体" w:hAnsi="黑体" w:eastAsia="黑体"/>
          <w:color w:val="auto"/>
          <w:sz w:val="28"/>
          <w:szCs w:val="28"/>
          <w:highlight w:val="none"/>
        </w:rPr>
      </w:pPr>
      <w:bookmarkStart w:id="179" w:name="_Toc12552"/>
      <w:bookmarkStart w:id="180" w:name="_Toc22201159"/>
      <w:bookmarkStart w:id="181" w:name="_Toc34637802"/>
      <w:bookmarkStart w:id="182" w:name="_Toc28923"/>
      <w:r>
        <w:rPr>
          <w:rFonts w:hint="eastAsia" w:ascii="黑体" w:hAnsi="黑体" w:eastAsia="黑体"/>
          <w:color w:val="auto"/>
          <w:sz w:val="28"/>
          <w:szCs w:val="28"/>
          <w:highlight w:val="none"/>
        </w:rPr>
        <w:t>七、合同条款偏离表</w:t>
      </w:r>
      <w:bookmarkEnd w:id="179"/>
      <w:bookmarkEnd w:id="180"/>
      <w:bookmarkEnd w:id="181"/>
      <w:bookmarkEnd w:id="182"/>
    </w:p>
    <w:p>
      <w:pPr>
        <w:adjustRightInd w:val="0"/>
        <w:snapToGrid w:val="0"/>
        <w:spacing w:before="156" w:beforeLines="50" w:line="360" w:lineRule="auto"/>
        <w:rPr>
          <w:rFonts w:ascii="宋体" w:hAnsi="宋体"/>
          <w:color w:val="auto"/>
          <w:szCs w:val="21"/>
          <w:highlight w:val="none"/>
          <w:u w:val="single"/>
        </w:rPr>
      </w:pPr>
      <w:r>
        <w:rPr>
          <w:rFonts w:hint="eastAsia" w:ascii="宋体" w:hAnsi="宋体"/>
          <w:color w:val="auto"/>
          <w:spacing w:val="28"/>
          <w:szCs w:val="21"/>
          <w:highlight w:val="none"/>
        </w:rPr>
        <w:t>采购代理编号</w:t>
      </w:r>
      <w:r>
        <w:rPr>
          <w:rFonts w:hint="eastAsia" w:ascii="宋体" w:hAnsi="宋体"/>
          <w:color w:val="auto"/>
          <w:szCs w:val="21"/>
          <w:highlight w:val="non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项目名称：</w:t>
      </w:r>
      <w:r>
        <w:rPr>
          <w:rFonts w:hint="eastAsia" w:ascii="宋体" w:hAnsi="宋体"/>
          <w:color w:val="auto"/>
          <w:szCs w:val="21"/>
          <w:highlight w:val="none"/>
          <w:u w:val="single"/>
        </w:rPr>
        <w:t xml:space="preserve">                  </w:t>
      </w:r>
    </w:p>
    <w:p>
      <w:pPr>
        <w:adjustRightInd w:val="0"/>
        <w:snapToGrid w:val="0"/>
        <w:spacing w:before="50" w:line="360" w:lineRule="auto"/>
        <w:rPr>
          <w:rFonts w:ascii="宋体" w:hAnsi="宋体"/>
          <w:color w:val="auto"/>
          <w:szCs w:val="21"/>
          <w:highlight w:val="none"/>
          <w:u w:val="single"/>
        </w:rPr>
      </w:pPr>
      <w:r>
        <w:rPr>
          <w:rFonts w:hint="eastAsia" w:ascii="宋体" w:hAnsi="宋体"/>
          <w:color w:val="auto"/>
          <w:szCs w:val="21"/>
          <w:highlight w:val="none"/>
        </w:rPr>
        <w:t>包           号：</w:t>
      </w:r>
      <w:r>
        <w:rPr>
          <w:rFonts w:hint="eastAsia" w:ascii="宋体" w:hAnsi="宋体"/>
          <w:color w:val="auto"/>
          <w:szCs w:val="21"/>
          <w:highlight w:val="none"/>
          <w:u w:val="single"/>
        </w:rPr>
        <w:t xml:space="preserve">__    ________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包名称：</w:t>
      </w:r>
      <w:r>
        <w:rPr>
          <w:rFonts w:hint="eastAsia" w:ascii="宋体" w:hAnsi="宋体"/>
          <w:color w:val="auto"/>
          <w:szCs w:val="21"/>
          <w:highlight w:val="none"/>
          <w:u w:val="single"/>
        </w:rPr>
        <w:t>___          _______</w:t>
      </w:r>
    </w:p>
    <w:tbl>
      <w:tblPr>
        <w:tblStyle w:val="24"/>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595"/>
        <w:gridCol w:w="2410"/>
        <w:gridCol w:w="1985"/>
        <w:gridCol w:w="2082"/>
        <w:gridCol w:w="1942"/>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595" w:type="dxa"/>
            <w:vAlign w:val="center"/>
          </w:tcPr>
          <w:p>
            <w:pPr>
              <w:adjustRightInd w:val="0"/>
              <w:snapToGrid w:val="0"/>
              <w:spacing w:before="50" w:line="360" w:lineRule="auto"/>
              <w:ind w:left="-101" w:leftChars="-42"/>
              <w:jc w:val="center"/>
              <w:rPr>
                <w:rFonts w:ascii="宋体" w:hAnsi="宋体"/>
                <w:color w:val="auto"/>
                <w:szCs w:val="21"/>
                <w:highlight w:val="none"/>
              </w:rPr>
            </w:pPr>
            <w:r>
              <w:rPr>
                <w:rFonts w:hint="eastAsia" w:ascii="宋体" w:hAnsi="宋体"/>
                <w:bCs/>
                <w:color w:val="auto"/>
                <w:szCs w:val="21"/>
                <w:highlight w:val="none"/>
              </w:rPr>
              <w:t>序</w:t>
            </w:r>
            <w:r>
              <w:rPr>
                <w:rFonts w:hint="eastAsia" w:ascii="宋体" w:hAnsi="宋体"/>
                <w:color w:val="auto"/>
                <w:szCs w:val="21"/>
                <w:highlight w:val="none"/>
              </w:rPr>
              <w:t>号</w:t>
            </w:r>
          </w:p>
        </w:tc>
        <w:tc>
          <w:tcPr>
            <w:tcW w:w="2410" w:type="dxa"/>
            <w:vAlign w:val="center"/>
          </w:tcPr>
          <w:p>
            <w:pPr>
              <w:adjustRightInd w:val="0"/>
              <w:snapToGrid w:val="0"/>
              <w:spacing w:before="50" w:line="360" w:lineRule="auto"/>
              <w:ind w:left="-101" w:leftChars="-42"/>
              <w:jc w:val="center"/>
              <w:rPr>
                <w:rFonts w:ascii="宋体" w:hAnsi="宋体"/>
                <w:color w:val="auto"/>
                <w:szCs w:val="21"/>
                <w:highlight w:val="none"/>
              </w:rPr>
            </w:pPr>
            <w:r>
              <w:rPr>
                <w:rFonts w:hint="eastAsia" w:ascii="宋体" w:hAnsi="宋体"/>
                <w:color w:val="auto"/>
                <w:szCs w:val="21"/>
                <w:highlight w:val="none"/>
                <w:lang w:eastAsia="zh-CN"/>
              </w:rPr>
              <w:t>磋商</w:t>
            </w:r>
            <w:r>
              <w:rPr>
                <w:rFonts w:hint="eastAsia" w:ascii="宋体" w:hAnsi="宋体"/>
                <w:color w:val="auto"/>
                <w:szCs w:val="21"/>
                <w:highlight w:val="none"/>
              </w:rPr>
              <w:t>文件章节</w:t>
            </w:r>
            <w:r>
              <w:rPr>
                <w:rFonts w:hint="eastAsia" w:ascii="宋体" w:hAnsi="宋体"/>
                <w:bCs/>
                <w:color w:val="auto"/>
                <w:szCs w:val="21"/>
                <w:highlight w:val="none"/>
              </w:rPr>
              <w:t>条</w:t>
            </w:r>
            <w:r>
              <w:rPr>
                <w:rFonts w:hint="eastAsia" w:ascii="宋体" w:hAnsi="宋体"/>
                <w:color w:val="auto"/>
                <w:szCs w:val="21"/>
                <w:highlight w:val="none"/>
              </w:rPr>
              <w:t>款号</w:t>
            </w:r>
          </w:p>
        </w:tc>
        <w:tc>
          <w:tcPr>
            <w:tcW w:w="1985" w:type="dxa"/>
            <w:vAlign w:val="center"/>
          </w:tcPr>
          <w:p>
            <w:pPr>
              <w:adjustRightInd w:val="0"/>
              <w:snapToGrid w:val="0"/>
              <w:spacing w:before="50" w:line="360" w:lineRule="auto"/>
              <w:ind w:left="-101" w:leftChars="-42"/>
              <w:jc w:val="center"/>
              <w:rPr>
                <w:rFonts w:ascii="宋体" w:hAnsi="宋体"/>
                <w:color w:val="auto"/>
                <w:szCs w:val="21"/>
                <w:highlight w:val="none"/>
              </w:rPr>
            </w:pPr>
            <w:r>
              <w:rPr>
                <w:rFonts w:hint="eastAsia" w:ascii="宋体" w:hAnsi="宋体"/>
                <w:color w:val="auto"/>
                <w:szCs w:val="21"/>
                <w:highlight w:val="none"/>
                <w:lang w:eastAsia="zh-CN"/>
              </w:rPr>
              <w:t>磋商</w:t>
            </w:r>
            <w:r>
              <w:rPr>
                <w:rFonts w:hint="eastAsia"/>
                <w:color w:val="auto"/>
                <w:highlight w:val="none"/>
              </w:rPr>
              <w:t>文件要求</w:t>
            </w:r>
          </w:p>
        </w:tc>
        <w:tc>
          <w:tcPr>
            <w:tcW w:w="2082" w:type="dxa"/>
            <w:tcBorders>
              <w:right w:val="single" w:color="auto" w:sz="4" w:space="0"/>
            </w:tcBorders>
            <w:vAlign w:val="center"/>
          </w:tcPr>
          <w:p>
            <w:pPr>
              <w:adjustRightInd w:val="0"/>
              <w:snapToGrid w:val="0"/>
              <w:spacing w:before="50" w:line="360" w:lineRule="auto"/>
              <w:jc w:val="center"/>
              <w:rPr>
                <w:rFonts w:ascii="宋体" w:hAnsi="宋体"/>
                <w:color w:val="auto"/>
                <w:szCs w:val="21"/>
                <w:highlight w:val="none"/>
              </w:rPr>
            </w:pPr>
            <w:r>
              <w:rPr>
                <w:rFonts w:hint="eastAsia"/>
                <w:color w:val="auto"/>
                <w:highlight w:val="none"/>
              </w:rPr>
              <w:t>响应文件的应答</w:t>
            </w:r>
          </w:p>
        </w:tc>
        <w:tc>
          <w:tcPr>
            <w:tcW w:w="1942" w:type="dxa"/>
            <w:tcBorders>
              <w:left w:val="single" w:color="auto" w:sz="4" w:space="0"/>
            </w:tcBorders>
            <w:vAlign w:val="center"/>
          </w:tcPr>
          <w:p>
            <w:pPr>
              <w:adjustRightInd w:val="0"/>
              <w:snapToGrid w:val="0"/>
              <w:spacing w:before="50" w:line="360" w:lineRule="auto"/>
              <w:ind w:left="-101" w:leftChars="-42"/>
              <w:jc w:val="center"/>
              <w:rPr>
                <w:rFonts w:ascii="宋体" w:hAnsi="宋体"/>
                <w:color w:val="auto"/>
                <w:szCs w:val="21"/>
                <w:highlight w:val="none"/>
              </w:rPr>
            </w:pPr>
            <w:r>
              <w:rPr>
                <w:rFonts w:hint="eastAsia" w:ascii="宋体" w:hAnsi="宋体"/>
                <w:color w:val="auto"/>
                <w:szCs w:val="21"/>
                <w:highlight w:val="none"/>
              </w:rPr>
              <w:t>偏离说明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2410" w:type="dxa"/>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1985" w:type="dxa"/>
          </w:tcPr>
          <w:p>
            <w:pPr>
              <w:adjustRightInd w:val="0"/>
              <w:snapToGrid w:val="0"/>
              <w:spacing w:before="50" w:line="360" w:lineRule="auto"/>
              <w:rPr>
                <w:color w:val="auto"/>
                <w:highlight w:val="none"/>
              </w:rPr>
            </w:pPr>
          </w:p>
        </w:tc>
        <w:tc>
          <w:tcPr>
            <w:tcW w:w="2082" w:type="dxa"/>
            <w:tcBorders>
              <w:right w:val="single" w:color="auto" w:sz="4" w:space="0"/>
            </w:tcBorders>
          </w:tcPr>
          <w:p>
            <w:pPr>
              <w:adjustRightInd w:val="0"/>
              <w:snapToGrid w:val="0"/>
              <w:spacing w:before="50" w:line="360" w:lineRule="auto"/>
              <w:rPr>
                <w:color w:val="auto"/>
                <w:highlight w:val="none"/>
              </w:rPr>
            </w:pPr>
          </w:p>
        </w:tc>
        <w:tc>
          <w:tcPr>
            <w:tcW w:w="1942" w:type="dxa"/>
            <w:tcBorders>
              <w:left w:val="single" w:color="auto" w:sz="4" w:space="0"/>
            </w:tcBorders>
          </w:tcPr>
          <w:p>
            <w:pPr>
              <w:adjustRightInd w:val="0"/>
              <w:snapToGrid w:val="0"/>
              <w:spacing w:before="50" w:line="360" w:lineRule="auto"/>
              <w:ind w:left="-101" w:leftChars="-42"/>
              <w:jc w:val="center"/>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2410" w:type="dxa"/>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1985" w:type="dxa"/>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2082" w:type="dxa"/>
            <w:tcBorders>
              <w:right w:val="single" w:color="auto" w:sz="4" w:space="0"/>
            </w:tcBorders>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1942" w:type="dxa"/>
            <w:tcBorders>
              <w:left w:val="single" w:color="auto" w:sz="4" w:space="0"/>
            </w:tcBorders>
            <w:vAlign w:val="center"/>
          </w:tcPr>
          <w:p>
            <w:pPr>
              <w:adjustRightInd w:val="0"/>
              <w:snapToGrid w:val="0"/>
              <w:spacing w:before="50" w:line="360" w:lineRule="auto"/>
              <w:ind w:left="-101" w:leftChars="-42"/>
              <w:jc w:val="center"/>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2410" w:type="dxa"/>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1985" w:type="dxa"/>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2082" w:type="dxa"/>
            <w:tcBorders>
              <w:right w:val="single" w:color="auto" w:sz="4" w:space="0"/>
            </w:tcBorders>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1942" w:type="dxa"/>
            <w:tcBorders>
              <w:left w:val="single" w:color="auto" w:sz="4" w:space="0"/>
            </w:tcBorders>
            <w:vAlign w:val="center"/>
          </w:tcPr>
          <w:p>
            <w:pPr>
              <w:adjustRightInd w:val="0"/>
              <w:snapToGrid w:val="0"/>
              <w:spacing w:before="50" w:line="360" w:lineRule="auto"/>
              <w:ind w:left="-101" w:leftChars="-42"/>
              <w:jc w:val="center"/>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2410" w:type="dxa"/>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1985" w:type="dxa"/>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2082" w:type="dxa"/>
            <w:tcBorders>
              <w:right w:val="single" w:color="auto" w:sz="4" w:space="0"/>
            </w:tcBorders>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1942" w:type="dxa"/>
            <w:tcBorders>
              <w:left w:val="single" w:color="auto" w:sz="4" w:space="0"/>
            </w:tcBorders>
            <w:vAlign w:val="center"/>
          </w:tcPr>
          <w:p>
            <w:pPr>
              <w:adjustRightInd w:val="0"/>
              <w:snapToGrid w:val="0"/>
              <w:spacing w:before="50" w:line="360" w:lineRule="auto"/>
              <w:ind w:left="-101" w:leftChars="-42"/>
              <w:jc w:val="center"/>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2410" w:type="dxa"/>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1985" w:type="dxa"/>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2082" w:type="dxa"/>
            <w:tcBorders>
              <w:right w:val="single" w:color="auto" w:sz="4" w:space="0"/>
            </w:tcBorders>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1942" w:type="dxa"/>
            <w:tcBorders>
              <w:left w:val="single" w:color="auto" w:sz="4" w:space="0"/>
            </w:tcBorders>
            <w:vAlign w:val="center"/>
          </w:tcPr>
          <w:p>
            <w:pPr>
              <w:adjustRightInd w:val="0"/>
              <w:snapToGrid w:val="0"/>
              <w:spacing w:before="50" w:line="360" w:lineRule="auto"/>
              <w:ind w:left="-101" w:leftChars="-42"/>
              <w:jc w:val="center"/>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2410" w:type="dxa"/>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1985" w:type="dxa"/>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2082" w:type="dxa"/>
            <w:tcBorders>
              <w:right w:val="single" w:color="auto" w:sz="4" w:space="0"/>
            </w:tcBorders>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1942" w:type="dxa"/>
            <w:tcBorders>
              <w:left w:val="single" w:color="auto" w:sz="4" w:space="0"/>
            </w:tcBorders>
            <w:vAlign w:val="center"/>
          </w:tcPr>
          <w:p>
            <w:pPr>
              <w:adjustRightInd w:val="0"/>
              <w:snapToGrid w:val="0"/>
              <w:spacing w:before="50" w:line="360" w:lineRule="auto"/>
              <w:ind w:left="-101" w:leftChars="-42"/>
              <w:jc w:val="center"/>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95" w:type="dxa"/>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2410" w:type="dxa"/>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1985" w:type="dxa"/>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4024" w:type="dxa"/>
            <w:gridSpan w:val="2"/>
            <w:vAlign w:val="center"/>
          </w:tcPr>
          <w:p>
            <w:pPr>
              <w:adjustRightInd w:val="0"/>
              <w:snapToGrid w:val="0"/>
              <w:spacing w:before="50" w:line="360" w:lineRule="auto"/>
              <w:ind w:firstLine="482" w:firstLineChars="200"/>
              <w:jc w:val="left"/>
              <w:rPr>
                <w:rFonts w:ascii="宋体" w:hAnsi="宋体"/>
                <w:b/>
                <w:color w:val="auto"/>
                <w:szCs w:val="21"/>
                <w:highlight w:val="none"/>
              </w:rPr>
            </w:pPr>
            <w:r>
              <w:rPr>
                <w:rFonts w:hint="eastAsia" w:ascii="宋体" w:hAnsi="宋体"/>
                <w:b/>
                <w:color w:val="auto"/>
                <w:szCs w:val="21"/>
                <w:highlight w:val="none"/>
              </w:rPr>
              <w:t>供应商保证：除本合同条款偏离表列出的偏离外，我单位对</w:t>
            </w:r>
            <w:r>
              <w:rPr>
                <w:rFonts w:hint="eastAsia" w:ascii="宋体" w:hAnsi="宋体"/>
                <w:b/>
                <w:color w:val="auto"/>
                <w:szCs w:val="21"/>
                <w:highlight w:val="none"/>
                <w:lang w:eastAsia="zh-CN"/>
              </w:rPr>
              <w:t>磋商</w:t>
            </w:r>
            <w:r>
              <w:rPr>
                <w:rFonts w:hint="eastAsia" w:ascii="宋体" w:hAnsi="宋体"/>
                <w:b/>
                <w:color w:val="auto"/>
                <w:szCs w:val="21"/>
                <w:highlight w:val="none"/>
              </w:rPr>
              <w:t>文件的其他商务、合同条款完全响应，无偏离。</w:t>
            </w:r>
          </w:p>
        </w:tc>
      </w:tr>
    </w:tbl>
    <w:p>
      <w:pPr>
        <w:adjustRightInd w:val="0"/>
        <w:snapToGrid w:val="0"/>
        <w:spacing w:before="50" w:line="360" w:lineRule="auto"/>
        <w:ind w:left="-101" w:leftChars="-42"/>
        <w:rPr>
          <w:rFonts w:ascii="宋体" w:hAnsi="宋体"/>
          <w:color w:val="auto"/>
          <w:szCs w:val="21"/>
          <w:highlight w:val="none"/>
        </w:rPr>
      </w:pPr>
      <w:r>
        <w:rPr>
          <w:rFonts w:hint="eastAsia" w:ascii="宋体" w:hAnsi="宋体"/>
          <w:b/>
          <w:color w:val="auto"/>
          <w:szCs w:val="21"/>
          <w:highlight w:val="none"/>
        </w:rPr>
        <w:t>备注</w:t>
      </w:r>
      <w:r>
        <w:rPr>
          <w:rFonts w:hint="eastAsia" w:ascii="宋体" w:hAnsi="宋体"/>
          <w:color w:val="auto"/>
          <w:szCs w:val="21"/>
          <w:highlight w:val="none"/>
        </w:rPr>
        <w:t>：（1）供应商应根据</w:t>
      </w:r>
      <w:r>
        <w:rPr>
          <w:rFonts w:hint="eastAsia" w:ascii="宋体" w:hAnsi="宋体"/>
          <w:color w:val="auto"/>
          <w:szCs w:val="21"/>
          <w:highlight w:val="none"/>
          <w:lang w:eastAsia="zh-CN"/>
        </w:rPr>
        <w:t>磋商</w:t>
      </w:r>
      <w:r>
        <w:rPr>
          <w:rFonts w:hint="eastAsia" w:ascii="宋体" w:hAnsi="宋体"/>
          <w:color w:val="auto"/>
          <w:szCs w:val="21"/>
          <w:highlight w:val="none"/>
        </w:rPr>
        <w:t>文件第四章</w:t>
      </w:r>
      <w:r>
        <w:rPr>
          <w:rFonts w:hint="eastAsia" w:ascii="华文宋体" w:hAnsi="华文宋体" w:eastAsia="华文宋体"/>
          <w:color w:val="auto"/>
          <w:szCs w:val="21"/>
          <w:highlight w:val="none"/>
        </w:rPr>
        <w:t>“</w:t>
      </w:r>
      <w:r>
        <w:rPr>
          <w:rFonts w:hint="eastAsia" w:ascii="宋体" w:hAnsi="宋体"/>
          <w:color w:val="auto"/>
          <w:szCs w:val="21"/>
          <w:highlight w:val="none"/>
        </w:rPr>
        <w:t>合同草案条款</w:t>
      </w:r>
      <w:r>
        <w:rPr>
          <w:rFonts w:hint="eastAsia" w:ascii="华文宋体" w:hAnsi="华文宋体" w:eastAsia="华文宋体"/>
          <w:color w:val="auto"/>
          <w:szCs w:val="21"/>
          <w:highlight w:val="none"/>
        </w:rPr>
        <w:t>”</w:t>
      </w:r>
      <w:r>
        <w:rPr>
          <w:rFonts w:hint="eastAsia" w:ascii="宋体" w:hAnsi="宋体"/>
          <w:color w:val="auto"/>
          <w:szCs w:val="21"/>
          <w:highlight w:val="none"/>
        </w:rPr>
        <w:t>填写本表；</w:t>
      </w:r>
    </w:p>
    <w:p>
      <w:pPr>
        <w:adjustRightInd w:val="0"/>
        <w:snapToGrid w:val="0"/>
        <w:spacing w:before="50" w:line="360" w:lineRule="auto"/>
        <w:ind w:left="-101" w:leftChars="-42" w:firstLine="480" w:firstLineChars="200"/>
        <w:rPr>
          <w:rFonts w:ascii="宋体" w:hAnsi="宋体"/>
          <w:b/>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供应商如果对</w:t>
      </w:r>
      <w:r>
        <w:rPr>
          <w:rFonts w:hint="eastAsia" w:ascii="宋体" w:hAnsi="宋体"/>
          <w:b/>
          <w:color w:val="auto"/>
          <w:szCs w:val="21"/>
          <w:highlight w:val="none"/>
          <w:lang w:eastAsia="zh-CN"/>
        </w:rPr>
        <w:t>磋商</w:t>
      </w:r>
      <w:r>
        <w:rPr>
          <w:rFonts w:hint="eastAsia" w:ascii="宋体" w:hAnsi="宋体"/>
          <w:b/>
          <w:color w:val="auto"/>
          <w:szCs w:val="21"/>
          <w:highlight w:val="none"/>
        </w:rPr>
        <w:t>文件第四章“合同草案条款”的响应有偏离，应将偏离条款逐条如实应答，并作出说明；</w:t>
      </w:r>
    </w:p>
    <w:p>
      <w:pPr>
        <w:adjustRightInd w:val="0"/>
        <w:snapToGrid w:val="0"/>
        <w:spacing w:before="50" w:line="360" w:lineRule="auto"/>
        <w:ind w:left="-101" w:leftChars="-42" w:firstLine="480" w:firstLineChars="200"/>
        <w:rPr>
          <w:rFonts w:ascii="宋体" w:hAnsi="宋体"/>
          <w:color w:val="auto"/>
          <w:szCs w:val="21"/>
          <w:highlight w:val="none"/>
        </w:rPr>
      </w:pPr>
      <w:r>
        <w:rPr>
          <w:rFonts w:hint="eastAsia" w:ascii="宋体" w:hAnsi="宋体"/>
          <w:color w:val="auto"/>
          <w:szCs w:val="21"/>
          <w:highlight w:val="none"/>
        </w:rPr>
        <w:t>（3）如不提供此表，则视为供应商不满足</w:t>
      </w:r>
      <w:r>
        <w:rPr>
          <w:rFonts w:hint="eastAsia" w:ascii="宋体" w:hAnsi="宋体"/>
          <w:color w:val="auto"/>
          <w:szCs w:val="21"/>
          <w:highlight w:val="none"/>
          <w:lang w:eastAsia="zh-CN"/>
        </w:rPr>
        <w:t>磋商</w:t>
      </w:r>
      <w:r>
        <w:rPr>
          <w:rFonts w:hint="eastAsia" w:ascii="宋体" w:hAnsi="宋体"/>
          <w:color w:val="auto"/>
          <w:szCs w:val="21"/>
          <w:highlight w:val="none"/>
        </w:rPr>
        <w:t>文件第四章的所有条款要求，其</w:t>
      </w:r>
      <w:r>
        <w:rPr>
          <w:rFonts w:hint="eastAsia" w:ascii="宋体" w:hAnsi="宋体"/>
          <w:b/>
          <w:color w:val="auto"/>
          <w:szCs w:val="21"/>
          <w:highlight w:val="none"/>
        </w:rPr>
        <w:t>响应无效</w:t>
      </w:r>
      <w:r>
        <w:rPr>
          <w:rFonts w:hint="eastAsia" w:ascii="宋体" w:hAnsi="宋体"/>
          <w:color w:val="auto"/>
          <w:szCs w:val="21"/>
          <w:highlight w:val="none"/>
        </w:rPr>
        <w:t>。</w:t>
      </w:r>
    </w:p>
    <w:p>
      <w:pPr>
        <w:adjustRightInd w:val="0"/>
        <w:snapToGrid w:val="0"/>
        <w:spacing w:before="50" w:line="360" w:lineRule="auto"/>
        <w:rPr>
          <w:rFonts w:ascii="宋体" w:hAnsi="宋体"/>
          <w:color w:val="auto"/>
          <w:szCs w:val="21"/>
          <w:highlight w:val="none"/>
        </w:rPr>
      </w:pPr>
    </w:p>
    <w:p>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供应商名称（盖单位公章）：</w:t>
      </w:r>
    </w:p>
    <w:p>
      <w:pPr>
        <w:adjustRightInd w:val="0"/>
        <w:snapToGrid w:val="0"/>
        <w:spacing w:before="50" w:line="360" w:lineRule="auto"/>
        <w:rPr>
          <w:rFonts w:ascii="宋体" w:hAnsi="宋体"/>
          <w:color w:val="auto"/>
          <w:szCs w:val="21"/>
          <w:highlight w:val="non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或其授权的代理人（签字或印章）：</w:t>
      </w:r>
      <w:r>
        <w:rPr>
          <w:rFonts w:hint="eastAsia" w:ascii="宋体" w:hAnsi="宋体"/>
          <w:color w:val="auto"/>
          <w:szCs w:val="21"/>
          <w:highlight w:val="none"/>
          <w:u w:val="single"/>
        </w:rPr>
        <w:t xml:space="preserve">                     </w:t>
      </w:r>
    </w:p>
    <w:p>
      <w:pPr>
        <w:rPr>
          <w:color w:val="auto"/>
          <w:highlight w:val="none"/>
        </w:rPr>
      </w:pPr>
      <w:r>
        <w:rPr>
          <w:rFonts w:hint="eastAsia"/>
          <w:color w:val="auto"/>
          <w:highlight w:val="none"/>
        </w:rPr>
        <w:t>日       期：          年        月      _日</w:t>
      </w:r>
    </w:p>
    <w:p>
      <w:pPr>
        <w:pStyle w:val="5"/>
        <w:numPr>
          <w:ilvl w:val="1"/>
          <w:numId w:val="0"/>
        </w:numPr>
        <w:tabs>
          <w:tab w:val="left" w:pos="0"/>
        </w:tabs>
        <w:ind w:leftChars="0"/>
        <w:jc w:val="center"/>
        <w:rPr>
          <w:rFonts w:ascii="黑体" w:eastAsia="黑体"/>
          <w:color w:val="auto"/>
          <w:sz w:val="28"/>
          <w:szCs w:val="28"/>
          <w:highlight w:val="none"/>
        </w:rPr>
      </w:pPr>
      <w:r>
        <w:rPr>
          <w:rFonts w:ascii="黑体" w:eastAsia="黑体"/>
          <w:color w:val="auto"/>
          <w:sz w:val="28"/>
          <w:szCs w:val="28"/>
          <w:highlight w:val="none"/>
        </w:rPr>
        <w:br w:type="page"/>
      </w:r>
      <w:bookmarkStart w:id="183" w:name="_Toc22201160"/>
      <w:bookmarkStart w:id="184" w:name="_Toc30029"/>
      <w:bookmarkStart w:id="185" w:name="_Toc4055"/>
      <w:bookmarkStart w:id="186" w:name="_Toc34637803"/>
      <w:r>
        <w:rPr>
          <w:rFonts w:hint="eastAsia" w:ascii="黑体" w:eastAsia="黑体"/>
          <w:color w:val="auto"/>
          <w:sz w:val="28"/>
          <w:szCs w:val="28"/>
          <w:highlight w:val="none"/>
        </w:rPr>
        <w:t>八、采购需求偏离表</w:t>
      </w:r>
      <w:bookmarkEnd w:id="183"/>
      <w:bookmarkEnd w:id="184"/>
      <w:bookmarkEnd w:id="185"/>
      <w:bookmarkEnd w:id="186"/>
    </w:p>
    <w:p>
      <w:pPr>
        <w:adjustRightInd w:val="0"/>
        <w:snapToGrid w:val="0"/>
        <w:spacing w:before="156" w:beforeLines="50" w:line="360" w:lineRule="auto"/>
        <w:rPr>
          <w:rFonts w:ascii="宋体" w:hAnsi="宋体"/>
          <w:color w:val="auto"/>
          <w:szCs w:val="21"/>
          <w:highlight w:val="none"/>
          <w:u w:val="single"/>
        </w:rPr>
      </w:pPr>
      <w:r>
        <w:rPr>
          <w:rFonts w:hint="eastAsia" w:ascii="宋体" w:hAnsi="宋体"/>
          <w:color w:val="auto"/>
          <w:spacing w:val="28"/>
          <w:szCs w:val="21"/>
          <w:highlight w:val="none"/>
        </w:rPr>
        <w:t>采购代理编号</w:t>
      </w:r>
      <w:r>
        <w:rPr>
          <w:rFonts w:hint="eastAsia" w:ascii="宋体" w:hAnsi="宋体"/>
          <w:color w:val="auto"/>
          <w:szCs w:val="21"/>
          <w:highlight w:val="none"/>
        </w:rPr>
        <w:t>:</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 xml:space="preserve">     项目名称：</w:t>
      </w:r>
      <w:r>
        <w:rPr>
          <w:rFonts w:hint="eastAsia" w:ascii="宋体" w:hAnsi="宋体"/>
          <w:color w:val="auto"/>
          <w:szCs w:val="21"/>
          <w:highlight w:val="none"/>
          <w:u w:val="single"/>
        </w:rPr>
        <w:t xml:space="preserve">                  </w:t>
      </w:r>
    </w:p>
    <w:p>
      <w:pPr>
        <w:adjustRightInd w:val="0"/>
        <w:snapToGrid w:val="0"/>
        <w:spacing w:before="156" w:beforeLines="50" w:line="360" w:lineRule="auto"/>
        <w:rPr>
          <w:rFonts w:ascii="宋体" w:hAnsi="宋体"/>
          <w:color w:val="auto"/>
          <w:szCs w:val="21"/>
          <w:highlight w:val="none"/>
          <w:u w:val="single"/>
        </w:rPr>
      </w:pPr>
      <w:r>
        <w:rPr>
          <w:rFonts w:hint="eastAsia" w:ascii="宋体" w:hAnsi="宋体"/>
          <w:color w:val="auto"/>
          <w:szCs w:val="21"/>
          <w:highlight w:val="none"/>
        </w:rPr>
        <w:t>包           号：</w:t>
      </w:r>
      <w:r>
        <w:rPr>
          <w:rFonts w:hint="eastAsia" w:ascii="宋体" w:hAnsi="宋体"/>
          <w:color w:val="auto"/>
          <w:szCs w:val="21"/>
          <w:highlight w:val="none"/>
          <w:u w:val="single"/>
        </w:rPr>
        <w:t xml:space="preserve">__    ________ </w:t>
      </w:r>
      <w:r>
        <w:rPr>
          <w:rFonts w:hint="eastAsia" w:ascii="宋体" w:hAnsi="宋体"/>
          <w:color w:val="auto"/>
          <w:szCs w:val="21"/>
          <w:highlight w:val="none"/>
        </w:rPr>
        <w:t xml:space="preserve">     </w:t>
      </w:r>
      <w:r>
        <w:rPr>
          <w:rFonts w:hint="eastAsia" w:ascii="宋体" w:hAnsi="宋体"/>
          <w:color w:val="auto"/>
          <w:szCs w:val="21"/>
          <w:highlight w:val="none"/>
          <w:lang w:val="en-US" w:eastAsia="zh-CN"/>
        </w:rPr>
        <w:t xml:space="preserve">         </w:t>
      </w:r>
      <w:r>
        <w:rPr>
          <w:rFonts w:hint="eastAsia" w:ascii="宋体" w:hAnsi="宋体"/>
          <w:color w:val="auto"/>
          <w:szCs w:val="21"/>
          <w:highlight w:val="none"/>
        </w:rPr>
        <w:t>包名称：</w:t>
      </w:r>
      <w:r>
        <w:rPr>
          <w:rFonts w:hint="eastAsia" w:ascii="宋体" w:hAnsi="宋体"/>
          <w:color w:val="auto"/>
          <w:szCs w:val="21"/>
          <w:highlight w:val="none"/>
          <w:u w:val="single"/>
        </w:rPr>
        <w:t>___          _______</w:t>
      </w:r>
    </w:p>
    <w:tbl>
      <w:tblPr>
        <w:tblStyle w:val="24"/>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410"/>
        <w:gridCol w:w="1985"/>
        <w:gridCol w:w="2126"/>
        <w:gridCol w:w="175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vAlign w:val="center"/>
          </w:tcPr>
          <w:p>
            <w:pPr>
              <w:adjustRightInd w:val="0"/>
              <w:snapToGrid w:val="0"/>
              <w:spacing w:before="50" w:line="360" w:lineRule="auto"/>
              <w:ind w:left="-101" w:leftChars="-42"/>
              <w:jc w:val="center"/>
              <w:rPr>
                <w:rFonts w:ascii="宋体" w:hAnsi="宋体"/>
                <w:color w:val="auto"/>
                <w:szCs w:val="21"/>
                <w:highlight w:val="none"/>
              </w:rPr>
            </w:pPr>
            <w:r>
              <w:rPr>
                <w:rFonts w:hint="eastAsia" w:ascii="宋体" w:hAnsi="宋体"/>
                <w:bCs/>
                <w:color w:val="auto"/>
                <w:szCs w:val="21"/>
                <w:highlight w:val="none"/>
              </w:rPr>
              <w:t>序</w:t>
            </w:r>
            <w:r>
              <w:rPr>
                <w:rFonts w:hint="eastAsia" w:ascii="宋体" w:hAnsi="宋体"/>
                <w:color w:val="auto"/>
                <w:szCs w:val="21"/>
                <w:highlight w:val="none"/>
              </w:rPr>
              <w:t>号</w:t>
            </w:r>
          </w:p>
        </w:tc>
        <w:tc>
          <w:tcPr>
            <w:tcW w:w="2410" w:type="dxa"/>
            <w:vAlign w:val="center"/>
          </w:tcPr>
          <w:p>
            <w:pPr>
              <w:adjustRightInd w:val="0"/>
              <w:snapToGrid w:val="0"/>
              <w:spacing w:before="50" w:line="360" w:lineRule="auto"/>
              <w:ind w:left="-101" w:leftChars="-42"/>
              <w:jc w:val="center"/>
              <w:rPr>
                <w:rFonts w:ascii="宋体" w:hAnsi="宋体"/>
                <w:color w:val="auto"/>
                <w:szCs w:val="21"/>
                <w:highlight w:val="none"/>
              </w:rPr>
            </w:pPr>
            <w:r>
              <w:rPr>
                <w:rFonts w:hint="eastAsia" w:ascii="宋体" w:hAnsi="宋体"/>
                <w:color w:val="auto"/>
                <w:szCs w:val="21"/>
                <w:highlight w:val="none"/>
                <w:lang w:eastAsia="zh-CN"/>
              </w:rPr>
              <w:t>磋商</w:t>
            </w:r>
            <w:r>
              <w:rPr>
                <w:rFonts w:hint="eastAsia" w:ascii="宋体" w:hAnsi="宋体"/>
                <w:color w:val="auto"/>
                <w:szCs w:val="21"/>
                <w:highlight w:val="none"/>
              </w:rPr>
              <w:t>文件章节</w:t>
            </w:r>
            <w:r>
              <w:rPr>
                <w:rFonts w:hint="eastAsia" w:ascii="宋体" w:hAnsi="宋体"/>
                <w:bCs/>
                <w:color w:val="auto"/>
                <w:szCs w:val="21"/>
                <w:highlight w:val="none"/>
              </w:rPr>
              <w:t>条</w:t>
            </w:r>
            <w:r>
              <w:rPr>
                <w:rFonts w:hint="eastAsia" w:ascii="宋体" w:hAnsi="宋体"/>
                <w:color w:val="auto"/>
                <w:szCs w:val="21"/>
                <w:highlight w:val="none"/>
              </w:rPr>
              <w:t>款号</w:t>
            </w:r>
          </w:p>
        </w:tc>
        <w:tc>
          <w:tcPr>
            <w:tcW w:w="1985" w:type="dxa"/>
            <w:tcBorders>
              <w:right w:val="single" w:color="auto" w:sz="4" w:space="0"/>
            </w:tcBorders>
          </w:tcPr>
          <w:p>
            <w:pPr>
              <w:adjustRightInd w:val="0"/>
              <w:snapToGrid w:val="0"/>
              <w:spacing w:before="50" w:line="360" w:lineRule="auto"/>
              <w:jc w:val="center"/>
              <w:rPr>
                <w:color w:val="auto"/>
                <w:highlight w:val="none"/>
              </w:rPr>
            </w:pPr>
            <w:r>
              <w:rPr>
                <w:rFonts w:hint="eastAsia" w:ascii="宋体" w:hAnsi="宋体"/>
                <w:color w:val="auto"/>
                <w:szCs w:val="21"/>
                <w:highlight w:val="none"/>
                <w:lang w:eastAsia="zh-CN"/>
              </w:rPr>
              <w:t>磋商</w:t>
            </w:r>
            <w:r>
              <w:rPr>
                <w:rFonts w:hint="eastAsia"/>
                <w:color w:val="auto"/>
                <w:highlight w:val="none"/>
              </w:rPr>
              <w:t>文件要求</w:t>
            </w:r>
          </w:p>
        </w:tc>
        <w:tc>
          <w:tcPr>
            <w:tcW w:w="2126" w:type="dxa"/>
            <w:tcBorders>
              <w:left w:val="single" w:color="auto" w:sz="4" w:space="0"/>
            </w:tcBorders>
          </w:tcPr>
          <w:p>
            <w:pPr>
              <w:adjustRightInd w:val="0"/>
              <w:snapToGrid w:val="0"/>
              <w:spacing w:before="50" w:line="360" w:lineRule="auto"/>
              <w:jc w:val="center"/>
              <w:rPr>
                <w:color w:val="auto"/>
                <w:highlight w:val="none"/>
              </w:rPr>
            </w:pPr>
            <w:r>
              <w:rPr>
                <w:rFonts w:hint="eastAsia" w:ascii="宋体" w:hAnsi="宋体"/>
                <w:color w:val="auto"/>
                <w:szCs w:val="21"/>
                <w:highlight w:val="none"/>
              </w:rPr>
              <w:t>响应</w:t>
            </w:r>
            <w:r>
              <w:rPr>
                <w:rFonts w:hint="eastAsia"/>
                <w:color w:val="auto"/>
                <w:highlight w:val="none"/>
              </w:rPr>
              <w:t>文件应答</w:t>
            </w:r>
          </w:p>
        </w:tc>
        <w:tc>
          <w:tcPr>
            <w:tcW w:w="1756" w:type="dxa"/>
            <w:vAlign w:val="center"/>
          </w:tcPr>
          <w:p>
            <w:pPr>
              <w:adjustRightInd w:val="0"/>
              <w:snapToGrid w:val="0"/>
              <w:spacing w:before="50" w:line="360" w:lineRule="auto"/>
              <w:ind w:left="-101" w:leftChars="-42"/>
              <w:jc w:val="center"/>
              <w:rPr>
                <w:rFonts w:ascii="宋体" w:hAnsi="宋体"/>
                <w:color w:val="auto"/>
                <w:szCs w:val="21"/>
                <w:highlight w:val="none"/>
              </w:rPr>
            </w:pPr>
            <w:r>
              <w:rPr>
                <w:rFonts w:hint="eastAsia" w:ascii="宋体" w:hAnsi="宋体"/>
                <w:color w:val="auto"/>
                <w:szCs w:val="21"/>
                <w:highlight w:val="none"/>
              </w:rPr>
              <w:t>偏离说明</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2410" w:type="dxa"/>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1985" w:type="dxa"/>
            <w:tcBorders>
              <w:right w:val="single" w:color="auto" w:sz="4" w:space="0"/>
            </w:tcBorders>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2126" w:type="dxa"/>
            <w:tcBorders>
              <w:left w:val="single" w:color="auto" w:sz="4" w:space="0"/>
            </w:tcBorders>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1756" w:type="dxa"/>
            <w:vAlign w:val="center"/>
          </w:tcPr>
          <w:p>
            <w:pPr>
              <w:adjustRightInd w:val="0"/>
              <w:snapToGrid w:val="0"/>
              <w:spacing w:before="50" w:line="360" w:lineRule="auto"/>
              <w:ind w:left="-101" w:leftChars="-42"/>
              <w:jc w:val="center"/>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2410" w:type="dxa"/>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1985" w:type="dxa"/>
            <w:tcBorders>
              <w:right w:val="single" w:color="auto" w:sz="4" w:space="0"/>
            </w:tcBorders>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2126" w:type="dxa"/>
            <w:tcBorders>
              <w:left w:val="single" w:color="auto" w:sz="4" w:space="0"/>
            </w:tcBorders>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1756" w:type="dxa"/>
            <w:vAlign w:val="center"/>
          </w:tcPr>
          <w:p>
            <w:pPr>
              <w:adjustRightInd w:val="0"/>
              <w:snapToGrid w:val="0"/>
              <w:spacing w:before="50" w:line="360" w:lineRule="auto"/>
              <w:ind w:left="-101" w:leftChars="-42"/>
              <w:jc w:val="center"/>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2410" w:type="dxa"/>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1985" w:type="dxa"/>
            <w:tcBorders>
              <w:right w:val="single" w:color="auto" w:sz="4" w:space="0"/>
            </w:tcBorders>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2126" w:type="dxa"/>
            <w:tcBorders>
              <w:left w:val="single" w:color="auto" w:sz="4" w:space="0"/>
            </w:tcBorders>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1756" w:type="dxa"/>
            <w:vAlign w:val="center"/>
          </w:tcPr>
          <w:p>
            <w:pPr>
              <w:adjustRightInd w:val="0"/>
              <w:snapToGrid w:val="0"/>
              <w:spacing w:before="50" w:line="360" w:lineRule="auto"/>
              <w:ind w:left="-101" w:leftChars="-42"/>
              <w:jc w:val="center"/>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2410" w:type="dxa"/>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1985" w:type="dxa"/>
            <w:tcBorders>
              <w:right w:val="single" w:color="auto" w:sz="4" w:space="0"/>
            </w:tcBorders>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2126" w:type="dxa"/>
            <w:tcBorders>
              <w:left w:val="single" w:color="auto" w:sz="4" w:space="0"/>
            </w:tcBorders>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1756" w:type="dxa"/>
            <w:vAlign w:val="center"/>
          </w:tcPr>
          <w:p>
            <w:pPr>
              <w:adjustRightInd w:val="0"/>
              <w:snapToGrid w:val="0"/>
              <w:spacing w:before="50" w:line="360" w:lineRule="auto"/>
              <w:ind w:left="-101" w:leftChars="-42"/>
              <w:jc w:val="center"/>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2410" w:type="dxa"/>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1985" w:type="dxa"/>
            <w:tcBorders>
              <w:right w:val="single" w:color="auto" w:sz="4" w:space="0"/>
            </w:tcBorders>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2126" w:type="dxa"/>
            <w:tcBorders>
              <w:left w:val="single" w:color="auto" w:sz="4" w:space="0"/>
            </w:tcBorders>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1756" w:type="dxa"/>
            <w:vAlign w:val="center"/>
          </w:tcPr>
          <w:p>
            <w:pPr>
              <w:adjustRightInd w:val="0"/>
              <w:snapToGrid w:val="0"/>
              <w:spacing w:before="50" w:line="360" w:lineRule="auto"/>
              <w:ind w:left="-101" w:leftChars="-42"/>
              <w:jc w:val="center"/>
              <w:rPr>
                <w:rFonts w:ascii="宋体" w:hAnsi="宋体"/>
                <w:color w:val="auto"/>
                <w:szCs w:val="21"/>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2410" w:type="dxa"/>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1985" w:type="dxa"/>
            <w:tcBorders>
              <w:right w:val="single" w:color="auto" w:sz="4" w:space="0"/>
            </w:tcBorders>
            <w:vAlign w:val="center"/>
          </w:tcPr>
          <w:p>
            <w:pPr>
              <w:adjustRightInd w:val="0"/>
              <w:snapToGrid w:val="0"/>
              <w:spacing w:before="50" w:line="360" w:lineRule="auto"/>
              <w:ind w:left="-101" w:leftChars="-42"/>
              <w:jc w:val="center"/>
              <w:rPr>
                <w:rFonts w:ascii="宋体" w:hAnsi="宋体"/>
                <w:color w:val="auto"/>
                <w:szCs w:val="21"/>
                <w:highlight w:val="none"/>
              </w:rPr>
            </w:pPr>
          </w:p>
        </w:tc>
        <w:tc>
          <w:tcPr>
            <w:tcW w:w="3882" w:type="dxa"/>
            <w:gridSpan w:val="2"/>
            <w:tcBorders>
              <w:left w:val="single" w:color="auto" w:sz="4" w:space="0"/>
            </w:tcBorders>
            <w:vAlign w:val="center"/>
          </w:tcPr>
          <w:p>
            <w:pPr>
              <w:adjustRightInd w:val="0"/>
              <w:snapToGrid w:val="0"/>
              <w:spacing w:before="50" w:line="360" w:lineRule="auto"/>
              <w:ind w:firstLine="482" w:firstLineChars="200"/>
              <w:rPr>
                <w:rFonts w:ascii="宋体" w:hAnsi="宋体"/>
                <w:color w:val="auto"/>
                <w:szCs w:val="21"/>
                <w:highlight w:val="none"/>
              </w:rPr>
            </w:pPr>
            <w:r>
              <w:rPr>
                <w:rFonts w:hint="eastAsia" w:ascii="宋体" w:hAnsi="宋体"/>
                <w:b/>
                <w:color w:val="auto"/>
                <w:szCs w:val="21"/>
                <w:highlight w:val="none"/>
              </w:rPr>
              <w:t>供应商保证：除本采购需求偏离表列出的偏离外，我单位对</w:t>
            </w:r>
            <w:r>
              <w:rPr>
                <w:rFonts w:hint="eastAsia" w:ascii="宋体" w:hAnsi="宋体"/>
                <w:b/>
                <w:color w:val="auto"/>
                <w:szCs w:val="21"/>
                <w:highlight w:val="none"/>
                <w:lang w:eastAsia="zh-CN"/>
              </w:rPr>
              <w:t>磋商</w:t>
            </w:r>
            <w:r>
              <w:rPr>
                <w:rFonts w:hint="eastAsia" w:ascii="宋体" w:hAnsi="宋体"/>
                <w:b/>
                <w:color w:val="auto"/>
                <w:szCs w:val="21"/>
                <w:highlight w:val="none"/>
              </w:rPr>
              <w:t>文件的其他采购需求条款完全响应，无偏离。</w:t>
            </w:r>
          </w:p>
        </w:tc>
      </w:tr>
    </w:tbl>
    <w:p>
      <w:pPr>
        <w:adjustRightInd w:val="0"/>
        <w:snapToGrid w:val="0"/>
        <w:spacing w:before="50" w:line="360" w:lineRule="auto"/>
        <w:ind w:left="-101" w:leftChars="-42"/>
        <w:rPr>
          <w:rFonts w:ascii="宋体" w:hAnsi="宋体"/>
          <w:color w:val="auto"/>
          <w:szCs w:val="21"/>
          <w:highlight w:val="none"/>
        </w:rPr>
      </w:pPr>
      <w:r>
        <w:rPr>
          <w:rFonts w:hint="eastAsia" w:ascii="宋体" w:hAnsi="宋体"/>
          <w:b/>
          <w:color w:val="auto"/>
          <w:szCs w:val="21"/>
          <w:highlight w:val="none"/>
        </w:rPr>
        <w:t>备注</w:t>
      </w:r>
      <w:r>
        <w:rPr>
          <w:rFonts w:hint="eastAsia" w:ascii="宋体" w:hAnsi="宋体"/>
          <w:color w:val="auto"/>
          <w:szCs w:val="21"/>
          <w:highlight w:val="none"/>
        </w:rPr>
        <w:t>：（1）供应商应根据</w:t>
      </w:r>
      <w:r>
        <w:rPr>
          <w:rFonts w:hint="eastAsia" w:ascii="宋体" w:hAnsi="宋体"/>
          <w:color w:val="auto"/>
          <w:szCs w:val="21"/>
          <w:highlight w:val="none"/>
          <w:lang w:eastAsia="zh-CN"/>
        </w:rPr>
        <w:t>磋商</w:t>
      </w:r>
      <w:r>
        <w:rPr>
          <w:rFonts w:hint="eastAsia" w:ascii="宋体" w:hAnsi="宋体"/>
          <w:color w:val="auto"/>
          <w:szCs w:val="21"/>
          <w:highlight w:val="none"/>
        </w:rPr>
        <w:t>文件第三章“采购需求”填写本表；</w:t>
      </w:r>
    </w:p>
    <w:p>
      <w:pPr>
        <w:adjustRightInd w:val="0"/>
        <w:snapToGrid w:val="0"/>
        <w:spacing w:before="50" w:line="360" w:lineRule="auto"/>
        <w:ind w:left="-101" w:leftChars="-42" w:firstLine="480" w:firstLineChars="200"/>
        <w:rPr>
          <w:rFonts w:ascii="宋体" w:hAnsi="宋体"/>
          <w:b/>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供应商如果对</w:t>
      </w:r>
      <w:r>
        <w:rPr>
          <w:rFonts w:hint="eastAsia" w:ascii="宋体" w:hAnsi="宋体"/>
          <w:b/>
          <w:color w:val="auto"/>
          <w:szCs w:val="21"/>
          <w:highlight w:val="none"/>
          <w:lang w:eastAsia="zh-CN"/>
        </w:rPr>
        <w:t>磋商</w:t>
      </w:r>
      <w:r>
        <w:rPr>
          <w:rFonts w:hint="eastAsia" w:ascii="宋体" w:hAnsi="宋体"/>
          <w:b/>
          <w:color w:val="auto"/>
          <w:szCs w:val="21"/>
          <w:highlight w:val="none"/>
        </w:rPr>
        <w:t>文件第三章“采购需求”的响应有偏离，应将偏离条款逐条如实应答，并作出说明；</w:t>
      </w:r>
    </w:p>
    <w:p>
      <w:pPr>
        <w:adjustRightInd w:val="0"/>
        <w:snapToGrid w:val="0"/>
        <w:spacing w:before="50" w:line="360" w:lineRule="auto"/>
        <w:ind w:left="-101" w:leftChars="-42" w:firstLine="480" w:firstLineChars="200"/>
        <w:rPr>
          <w:rFonts w:ascii="宋体" w:hAnsi="宋体"/>
          <w:color w:val="auto"/>
          <w:szCs w:val="21"/>
          <w:highlight w:val="none"/>
        </w:rPr>
      </w:pPr>
      <w:r>
        <w:rPr>
          <w:rFonts w:hint="eastAsia" w:ascii="宋体" w:hAnsi="宋体"/>
          <w:color w:val="auto"/>
          <w:szCs w:val="21"/>
          <w:highlight w:val="none"/>
        </w:rPr>
        <w:t>（3）如不提供此表，则视为供应商不满足</w:t>
      </w:r>
      <w:r>
        <w:rPr>
          <w:rFonts w:hint="eastAsia" w:ascii="宋体" w:hAnsi="宋体"/>
          <w:color w:val="auto"/>
          <w:szCs w:val="21"/>
          <w:highlight w:val="none"/>
          <w:lang w:eastAsia="zh-CN"/>
        </w:rPr>
        <w:t>磋商</w:t>
      </w:r>
      <w:r>
        <w:rPr>
          <w:rFonts w:hint="eastAsia" w:ascii="宋体" w:hAnsi="宋体"/>
          <w:color w:val="auto"/>
          <w:szCs w:val="21"/>
          <w:highlight w:val="none"/>
        </w:rPr>
        <w:t>文件第三章的所有条款要求，其</w:t>
      </w:r>
      <w:r>
        <w:rPr>
          <w:rFonts w:hint="eastAsia" w:ascii="宋体" w:hAnsi="宋体"/>
          <w:b/>
          <w:color w:val="auto"/>
          <w:szCs w:val="21"/>
          <w:highlight w:val="none"/>
        </w:rPr>
        <w:t>响应无效</w:t>
      </w:r>
      <w:r>
        <w:rPr>
          <w:rFonts w:hint="eastAsia" w:ascii="宋体" w:hAnsi="宋体"/>
          <w:color w:val="auto"/>
          <w:szCs w:val="21"/>
          <w:highlight w:val="none"/>
        </w:rPr>
        <w:t>。</w:t>
      </w:r>
    </w:p>
    <w:p>
      <w:pPr>
        <w:adjustRightInd w:val="0"/>
        <w:snapToGrid w:val="0"/>
        <w:spacing w:before="50" w:line="360" w:lineRule="auto"/>
        <w:rPr>
          <w:rFonts w:ascii="宋体" w:hAnsi="宋体"/>
          <w:color w:val="auto"/>
          <w:szCs w:val="21"/>
          <w:highlight w:val="none"/>
        </w:rPr>
      </w:pPr>
    </w:p>
    <w:p>
      <w:pPr>
        <w:adjustRightInd w:val="0"/>
        <w:snapToGrid w:val="0"/>
        <w:spacing w:before="50" w:line="360" w:lineRule="auto"/>
        <w:rPr>
          <w:rFonts w:ascii="宋体" w:hAnsi="宋体"/>
          <w:color w:val="auto"/>
          <w:szCs w:val="21"/>
          <w:highlight w:val="none"/>
        </w:rPr>
      </w:pPr>
    </w:p>
    <w:p>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供应商名称（盖单位公章）：</w:t>
      </w:r>
    </w:p>
    <w:p>
      <w:pPr>
        <w:adjustRightInd w:val="0"/>
        <w:snapToGrid w:val="0"/>
        <w:spacing w:before="50" w:line="360" w:lineRule="auto"/>
        <w:rPr>
          <w:rFonts w:ascii="宋体" w:hAnsi="宋体"/>
          <w:color w:val="auto"/>
          <w:szCs w:val="21"/>
          <w:highlight w:val="non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或其授权的代理人（签字或印章）：</w:t>
      </w:r>
      <w:r>
        <w:rPr>
          <w:rFonts w:hint="eastAsia" w:ascii="宋体" w:hAnsi="宋体"/>
          <w:color w:val="auto"/>
          <w:szCs w:val="21"/>
          <w:highlight w:val="none"/>
          <w:u w:val="single"/>
        </w:rPr>
        <w:t xml:space="preserve">                     </w:t>
      </w:r>
    </w:p>
    <w:p>
      <w:pPr>
        <w:adjustRightInd w:val="0"/>
        <w:snapToGrid w:val="0"/>
        <w:spacing w:before="50" w:line="360" w:lineRule="auto"/>
        <w:rPr>
          <w:rFonts w:ascii="宋体" w:hAnsi="宋体"/>
          <w:color w:val="auto"/>
          <w:szCs w:val="21"/>
          <w:highlight w:val="none"/>
        </w:rPr>
      </w:pPr>
      <w:r>
        <w:rPr>
          <w:rFonts w:hint="eastAsia" w:ascii="宋体" w:hAnsi="宋体"/>
          <w:color w:val="auto"/>
          <w:szCs w:val="21"/>
          <w:highlight w:val="none"/>
        </w:rPr>
        <w:t>日      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_日</w:t>
      </w:r>
    </w:p>
    <w:p>
      <w:pPr>
        <w:rPr>
          <w:color w:val="auto"/>
          <w:highlight w:val="none"/>
        </w:rPr>
      </w:pPr>
    </w:p>
    <w:p>
      <w:pPr>
        <w:pStyle w:val="5"/>
        <w:numPr>
          <w:ilvl w:val="1"/>
          <w:numId w:val="0"/>
        </w:numPr>
        <w:tabs>
          <w:tab w:val="left" w:pos="0"/>
        </w:tabs>
        <w:ind w:leftChars="0"/>
        <w:jc w:val="center"/>
        <w:rPr>
          <w:rFonts w:ascii="黑体" w:hAnsi="黑体" w:eastAsia="黑体"/>
          <w:color w:val="auto"/>
          <w:sz w:val="28"/>
          <w:szCs w:val="28"/>
          <w:highlight w:val="none"/>
        </w:rPr>
      </w:pPr>
      <w:r>
        <w:rPr>
          <w:color w:val="auto"/>
          <w:highlight w:val="none"/>
        </w:rPr>
        <w:br w:type="page"/>
      </w:r>
      <w:bookmarkStart w:id="187" w:name="_Toc16310"/>
      <w:bookmarkStart w:id="188" w:name="_Toc22201161"/>
      <w:bookmarkStart w:id="189" w:name="_Toc34637804"/>
      <w:bookmarkStart w:id="190" w:name="_Toc21760"/>
      <w:r>
        <w:rPr>
          <w:rFonts w:hint="eastAsia" w:ascii="黑体" w:hAnsi="黑体" w:eastAsia="黑体"/>
          <w:color w:val="auto"/>
          <w:sz w:val="28"/>
          <w:szCs w:val="28"/>
          <w:highlight w:val="none"/>
        </w:rPr>
        <w:t>九、享受政府采购政策优惠的证明资料</w:t>
      </w:r>
      <w:bookmarkEnd w:id="187"/>
      <w:bookmarkEnd w:id="188"/>
      <w:bookmarkEnd w:id="189"/>
      <w:bookmarkEnd w:id="190"/>
    </w:p>
    <w:p>
      <w:pPr>
        <w:adjustRightInd w:val="0"/>
        <w:snapToGrid w:val="0"/>
        <w:spacing w:line="360" w:lineRule="auto"/>
        <w:rPr>
          <w:rFonts w:ascii="黑体" w:hAnsi="华文中宋" w:eastAsia="黑体" w:cs="宋体"/>
          <w:bCs/>
          <w:color w:val="auto"/>
          <w:spacing w:val="6"/>
          <w:kern w:val="0"/>
          <w:szCs w:val="21"/>
          <w:highlight w:val="none"/>
        </w:rPr>
      </w:pPr>
    </w:p>
    <w:p>
      <w:pPr>
        <w:adjustRightInd w:val="0"/>
        <w:snapToGrid w:val="0"/>
        <w:spacing w:line="360" w:lineRule="auto"/>
        <w:ind w:firstLine="504" w:firstLineChars="200"/>
        <w:rPr>
          <w:rFonts w:ascii="宋体" w:hAnsi="宋体" w:cs="宋体"/>
          <w:bCs/>
          <w:color w:val="auto"/>
          <w:spacing w:val="6"/>
          <w:kern w:val="0"/>
          <w:szCs w:val="21"/>
          <w:highlight w:val="none"/>
        </w:rPr>
      </w:pPr>
      <w:r>
        <w:rPr>
          <w:rFonts w:hint="eastAsia" w:ascii="宋体" w:hAnsi="宋体" w:cs="宋体"/>
          <w:bCs/>
          <w:color w:val="auto"/>
          <w:spacing w:val="6"/>
          <w:kern w:val="0"/>
          <w:szCs w:val="21"/>
          <w:highlight w:val="none"/>
        </w:rPr>
        <w:t>供应商符合第二章第二节第</w:t>
      </w:r>
      <w:r>
        <w:rPr>
          <w:rFonts w:hint="eastAsia" w:ascii="宋体" w:hAnsi="宋体" w:cs="宋体"/>
          <w:bCs/>
          <w:color w:val="auto"/>
          <w:spacing w:val="6"/>
          <w:kern w:val="0"/>
          <w:szCs w:val="21"/>
          <w:highlight w:val="none"/>
          <w:lang w:val="en-US" w:eastAsia="zh-CN"/>
        </w:rPr>
        <w:t>9</w:t>
      </w:r>
      <w:r>
        <w:rPr>
          <w:rFonts w:hint="eastAsia" w:ascii="宋体" w:hAnsi="宋体" w:cs="宋体"/>
          <w:bCs/>
          <w:color w:val="auto"/>
          <w:spacing w:val="6"/>
          <w:kern w:val="0"/>
          <w:szCs w:val="21"/>
          <w:highlight w:val="none"/>
        </w:rPr>
        <w:t>条要求的，应提供下列证明资料，并填写相关数据。否则，评审时不予以考虑。</w:t>
      </w:r>
    </w:p>
    <w:p>
      <w:pPr>
        <w:adjustRightInd w:val="0"/>
        <w:snapToGrid w:val="0"/>
        <w:spacing w:line="360" w:lineRule="auto"/>
        <w:rPr>
          <w:rFonts w:ascii="黑体" w:hAnsi="华文中宋" w:eastAsia="黑体" w:cs="宋体"/>
          <w:bCs/>
          <w:color w:val="auto"/>
          <w:spacing w:val="6"/>
          <w:kern w:val="0"/>
          <w:szCs w:val="21"/>
          <w:highlight w:val="none"/>
        </w:rPr>
      </w:pPr>
    </w:p>
    <w:p>
      <w:pPr>
        <w:pStyle w:val="6"/>
        <w:rPr>
          <w:rFonts w:ascii="宋体" w:hAnsi="宋体"/>
          <w:color w:val="auto"/>
          <w:sz w:val="21"/>
          <w:szCs w:val="21"/>
          <w:highlight w:val="none"/>
        </w:rPr>
      </w:pPr>
      <w:bookmarkStart w:id="191" w:name="_Toc34637805"/>
      <w:bookmarkStart w:id="192" w:name="_Toc7760"/>
      <w:bookmarkStart w:id="193" w:name="_Toc22201162"/>
      <w:bookmarkStart w:id="194" w:name="_Toc21174"/>
      <w:r>
        <w:rPr>
          <w:rFonts w:hint="eastAsia" w:ascii="宋体" w:hAnsi="宋体"/>
          <w:color w:val="auto"/>
          <w:sz w:val="21"/>
          <w:szCs w:val="21"/>
          <w:highlight w:val="none"/>
        </w:rPr>
        <w:t>附件9-1小型、微型企业声明函</w:t>
      </w:r>
      <w:bookmarkEnd w:id="191"/>
      <w:bookmarkEnd w:id="192"/>
      <w:bookmarkEnd w:id="193"/>
      <w:bookmarkEnd w:id="194"/>
    </w:p>
    <w:p>
      <w:pPr>
        <w:widowControl/>
        <w:adjustRightInd w:val="0"/>
        <w:snapToGrid w:val="0"/>
        <w:spacing w:line="360" w:lineRule="auto"/>
        <w:jc w:val="center"/>
        <w:rPr>
          <w:rFonts w:ascii="黑体" w:hAnsi="黑体" w:eastAsia="黑体" w:cs="宋体"/>
          <w:b/>
          <w:bCs/>
          <w:color w:val="auto"/>
          <w:spacing w:val="6"/>
          <w:kern w:val="0"/>
          <w:sz w:val="28"/>
          <w:szCs w:val="28"/>
          <w:highlight w:val="none"/>
        </w:rPr>
      </w:pPr>
      <w:r>
        <w:rPr>
          <w:rFonts w:hint="eastAsia" w:ascii="黑体" w:hAnsi="黑体" w:eastAsia="黑体" w:cs="黑体"/>
          <w:b/>
          <w:bCs/>
          <w:color w:val="auto"/>
          <w:spacing w:val="6"/>
          <w:kern w:val="0"/>
          <w:sz w:val="28"/>
          <w:szCs w:val="28"/>
          <w:highlight w:val="none"/>
        </w:rPr>
        <w:t>小型、微型企业</w:t>
      </w:r>
      <w:r>
        <w:rPr>
          <w:rFonts w:hint="eastAsia" w:ascii="黑体" w:hAnsi="黑体" w:eastAsia="黑体" w:cs="宋体"/>
          <w:b/>
          <w:bCs/>
          <w:color w:val="auto"/>
          <w:spacing w:val="6"/>
          <w:kern w:val="0"/>
          <w:sz w:val="28"/>
          <w:szCs w:val="28"/>
          <w:highlight w:val="none"/>
        </w:rPr>
        <w:t>声明函</w:t>
      </w:r>
    </w:p>
    <w:p>
      <w:pPr>
        <w:widowControl/>
        <w:adjustRightInd w:val="0"/>
        <w:snapToGrid w:val="0"/>
        <w:spacing w:line="360" w:lineRule="auto"/>
        <w:jc w:val="center"/>
        <w:rPr>
          <w:rFonts w:ascii="宋体" w:hAnsi="宋体" w:cs="宋体"/>
          <w:b/>
          <w:color w:val="auto"/>
          <w:spacing w:val="6"/>
          <w:kern w:val="0"/>
          <w:szCs w:val="21"/>
          <w:highlight w:val="none"/>
        </w:rPr>
      </w:pPr>
      <w:r>
        <w:rPr>
          <w:rFonts w:hint="eastAsia" w:ascii="宋体" w:hAnsi="宋体" w:cs="宋体"/>
          <w:b/>
          <w:color w:val="auto"/>
          <w:spacing w:val="6"/>
          <w:kern w:val="0"/>
          <w:szCs w:val="21"/>
          <w:highlight w:val="none"/>
        </w:rPr>
        <w:t>(不满足以下条件的无需填写)</w:t>
      </w:r>
    </w:p>
    <w:p>
      <w:pPr>
        <w:widowControl/>
        <w:adjustRightInd w:val="0"/>
        <w:snapToGrid w:val="0"/>
        <w:spacing w:line="360" w:lineRule="auto"/>
        <w:ind w:firstLine="504" w:firstLineChars="200"/>
        <w:jc w:val="left"/>
        <w:rPr>
          <w:rFonts w:ascii="宋体" w:hAnsi="宋体" w:cs="宋体"/>
          <w:color w:val="auto"/>
          <w:spacing w:val="6"/>
          <w:kern w:val="0"/>
          <w:szCs w:val="21"/>
          <w:highlight w:val="none"/>
        </w:rPr>
      </w:pPr>
    </w:p>
    <w:p>
      <w:pPr>
        <w:widowControl/>
        <w:adjustRightInd w:val="0"/>
        <w:snapToGrid w:val="0"/>
        <w:spacing w:line="360" w:lineRule="auto"/>
        <w:ind w:firstLine="504" w:firstLineChars="200"/>
        <w:jc w:val="left"/>
        <w:rPr>
          <w:rFonts w:ascii="宋体" w:hAnsi="宋体" w:cs="宋体"/>
          <w:color w:val="auto"/>
          <w:kern w:val="0"/>
          <w:szCs w:val="21"/>
          <w:highlight w:val="none"/>
        </w:rPr>
      </w:pPr>
      <w:r>
        <w:rPr>
          <w:rFonts w:hint="eastAsia" w:ascii="宋体" w:hAnsi="宋体" w:cs="宋体"/>
          <w:color w:val="auto"/>
          <w:spacing w:val="6"/>
          <w:kern w:val="0"/>
          <w:szCs w:val="21"/>
          <w:highlight w:val="none"/>
        </w:rPr>
        <w:t>本公司郑重声明，根据《政府采购促进中小企业发展暂行办法》（财库[2011]181号）的规定，本公司为</w:t>
      </w:r>
      <w:r>
        <w:rPr>
          <w:rFonts w:hint="eastAsia" w:ascii="宋体" w:hAnsi="宋体" w:cs="宋体"/>
          <w:color w:val="auto"/>
          <w:spacing w:val="6"/>
          <w:kern w:val="0"/>
          <w:szCs w:val="21"/>
          <w:highlight w:val="none"/>
          <w:u w:val="single"/>
        </w:rPr>
        <w:t xml:space="preserve">    </w:t>
      </w:r>
      <w:r>
        <w:rPr>
          <w:rFonts w:hint="eastAsia" w:ascii="宋体" w:hAnsi="宋体" w:cs="宋体"/>
          <w:color w:val="auto"/>
          <w:spacing w:val="6"/>
          <w:kern w:val="0"/>
          <w:szCs w:val="21"/>
          <w:highlight w:val="none"/>
        </w:rPr>
        <w:t>（请填写：小型、微型）企业。即，本公司同时满足以下条件：</w:t>
      </w:r>
    </w:p>
    <w:p>
      <w:pPr>
        <w:widowControl/>
        <w:adjustRightInd w:val="0"/>
        <w:snapToGrid w:val="0"/>
        <w:spacing w:line="360" w:lineRule="auto"/>
        <w:ind w:firstLine="504" w:firstLineChars="200"/>
        <w:jc w:val="left"/>
        <w:rPr>
          <w:rFonts w:ascii="宋体" w:hAnsi="宋体" w:cs="宋体"/>
          <w:color w:val="auto"/>
          <w:kern w:val="0"/>
          <w:szCs w:val="21"/>
          <w:highlight w:val="none"/>
        </w:rPr>
      </w:pPr>
      <w:r>
        <w:rPr>
          <w:rFonts w:hint="eastAsia" w:ascii="宋体" w:hAnsi="宋体" w:cs="宋体"/>
          <w:color w:val="auto"/>
          <w:spacing w:val="6"/>
          <w:kern w:val="0"/>
          <w:szCs w:val="21"/>
          <w:highlight w:val="none"/>
        </w:rPr>
        <w:t>1.根据《工业和信息化部、国家统计局、国家发展和改革委员会、财政部关于印发中小企业划型标准规定的通知》（工信部联企业[2011]300号）规定的划分标准，本公司为</w:t>
      </w:r>
      <w:r>
        <w:rPr>
          <w:rFonts w:hint="eastAsia" w:ascii="宋体" w:hAnsi="宋体" w:cs="宋体"/>
          <w:color w:val="auto"/>
          <w:spacing w:val="6"/>
          <w:kern w:val="0"/>
          <w:szCs w:val="21"/>
          <w:highlight w:val="none"/>
          <w:u w:val="single"/>
        </w:rPr>
        <w:t xml:space="preserve">     </w:t>
      </w:r>
      <w:r>
        <w:rPr>
          <w:rFonts w:hint="eastAsia" w:ascii="宋体" w:hAnsi="宋体" w:cs="宋体"/>
          <w:color w:val="auto"/>
          <w:spacing w:val="6"/>
          <w:kern w:val="0"/>
          <w:szCs w:val="21"/>
          <w:highlight w:val="none"/>
        </w:rPr>
        <w:t>（请填写：小型、微型）企业。</w:t>
      </w:r>
    </w:p>
    <w:p>
      <w:pPr>
        <w:widowControl/>
        <w:adjustRightInd w:val="0"/>
        <w:snapToGrid w:val="0"/>
        <w:spacing w:line="360" w:lineRule="auto"/>
        <w:ind w:firstLine="504" w:firstLineChars="200"/>
        <w:jc w:val="left"/>
        <w:rPr>
          <w:rFonts w:ascii="宋体" w:hAnsi="宋体" w:cs="宋体"/>
          <w:color w:val="auto"/>
          <w:spacing w:val="6"/>
          <w:kern w:val="0"/>
          <w:szCs w:val="21"/>
          <w:highlight w:val="none"/>
        </w:rPr>
      </w:pPr>
      <w:r>
        <w:rPr>
          <w:rFonts w:hint="eastAsia" w:ascii="宋体" w:hAnsi="宋体" w:cs="宋体"/>
          <w:color w:val="auto"/>
          <w:spacing w:val="6"/>
          <w:kern w:val="0"/>
          <w:szCs w:val="21"/>
          <w:highlight w:val="none"/>
        </w:rPr>
        <w:t>2.本公司参加</w:t>
      </w:r>
      <w:r>
        <w:rPr>
          <w:rFonts w:hint="eastAsia" w:ascii="宋体" w:hAnsi="宋体" w:cs="宋体"/>
          <w:color w:val="auto"/>
          <w:spacing w:val="6"/>
          <w:kern w:val="0"/>
          <w:szCs w:val="21"/>
          <w:highlight w:val="none"/>
          <w:u w:val="single"/>
        </w:rPr>
        <w:t xml:space="preserve">            </w:t>
      </w:r>
      <w:r>
        <w:rPr>
          <w:rFonts w:hint="eastAsia" w:ascii="宋体" w:hAnsi="宋体" w:cs="宋体"/>
          <w:color w:val="auto"/>
          <w:spacing w:val="6"/>
          <w:kern w:val="0"/>
          <w:szCs w:val="21"/>
          <w:highlight w:val="none"/>
        </w:rPr>
        <w:t>单位的</w:t>
      </w:r>
      <w:r>
        <w:rPr>
          <w:rFonts w:hint="eastAsia" w:ascii="宋体" w:hAnsi="宋体" w:cs="宋体"/>
          <w:color w:val="auto"/>
          <w:spacing w:val="6"/>
          <w:kern w:val="0"/>
          <w:szCs w:val="21"/>
          <w:highlight w:val="none"/>
          <w:u w:val="single"/>
        </w:rPr>
        <w:t xml:space="preserve">          </w:t>
      </w:r>
      <w:r>
        <w:rPr>
          <w:rFonts w:hint="eastAsia" w:ascii="宋体" w:hAnsi="宋体" w:cs="宋体"/>
          <w:color w:val="auto"/>
          <w:spacing w:val="6"/>
          <w:kern w:val="0"/>
          <w:szCs w:val="21"/>
          <w:highlight w:val="none"/>
        </w:rPr>
        <w:t xml:space="preserve"> 项目采购活动提供由本企业承担工程、提供服务。</w:t>
      </w:r>
    </w:p>
    <w:p>
      <w:pPr>
        <w:widowControl/>
        <w:adjustRightInd w:val="0"/>
        <w:snapToGrid w:val="0"/>
        <w:spacing w:line="360" w:lineRule="auto"/>
        <w:ind w:firstLine="504" w:firstLineChars="200"/>
        <w:jc w:val="left"/>
        <w:rPr>
          <w:rFonts w:ascii="宋体" w:hAnsi="宋体" w:cs="宋体"/>
          <w:color w:val="auto"/>
          <w:spacing w:val="6"/>
          <w:kern w:val="0"/>
          <w:szCs w:val="21"/>
          <w:highlight w:val="none"/>
        </w:rPr>
      </w:pPr>
    </w:p>
    <w:p>
      <w:pPr>
        <w:widowControl/>
        <w:adjustRightInd w:val="0"/>
        <w:snapToGrid w:val="0"/>
        <w:spacing w:line="360" w:lineRule="auto"/>
        <w:ind w:firstLine="480" w:firstLineChars="200"/>
        <w:jc w:val="left"/>
        <w:rPr>
          <w:rFonts w:ascii="宋体" w:hAnsi="宋体" w:cs="宋体"/>
          <w:color w:val="auto"/>
          <w:kern w:val="0"/>
          <w:szCs w:val="21"/>
          <w:highlight w:val="none"/>
        </w:rPr>
      </w:pPr>
    </w:p>
    <w:p>
      <w:pPr>
        <w:widowControl/>
        <w:adjustRightInd w:val="0"/>
        <w:snapToGrid w:val="0"/>
        <w:spacing w:line="360" w:lineRule="auto"/>
        <w:ind w:firstLine="504" w:firstLineChars="200"/>
        <w:jc w:val="left"/>
        <w:rPr>
          <w:rFonts w:ascii="宋体" w:hAnsi="宋体" w:cs="宋体"/>
          <w:color w:val="auto"/>
          <w:kern w:val="0"/>
          <w:szCs w:val="21"/>
          <w:highlight w:val="none"/>
        </w:rPr>
      </w:pPr>
      <w:r>
        <w:rPr>
          <w:rFonts w:hint="eastAsia" w:ascii="宋体" w:hAnsi="宋体" w:cs="宋体"/>
          <w:color w:val="auto"/>
          <w:spacing w:val="6"/>
          <w:kern w:val="0"/>
          <w:szCs w:val="21"/>
          <w:highlight w:val="none"/>
        </w:rPr>
        <w:t>本公司对上述声明的真实性负责。如有虚假，将依法承担相应责任。</w:t>
      </w:r>
    </w:p>
    <w:p>
      <w:pPr>
        <w:widowControl/>
        <w:adjustRightInd w:val="0"/>
        <w:snapToGrid w:val="0"/>
        <w:spacing w:line="360" w:lineRule="auto"/>
        <w:ind w:firstLine="480" w:firstLineChars="200"/>
        <w:jc w:val="center"/>
        <w:rPr>
          <w:rFonts w:ascii="宋体" w:hAnsi="宋体" w:cs="宋体"/>
          <w:color w:val="auto"/>
          <w:kern w:val="0"/>
          <w:szCs w:val="21"/>
          <w:highlight w:val="none"/>
        </w:rPr>
      </w:pPr>
    </w:p>
    <w:p>
      <w:pPr>
        <w:widowControl/>
        <w:adjustRightInd w:val="0"/>
        <w:snapToGrid w:val="0"/>
        <w:spacing w:line="360" w:lineRule="auto"/>
        <w:ind w:firstLine="504" w:firstLineChars="200"/>
        <w:jc w:val="center"/>
        <w:rPr>
          <w:rFonts w:ascii="宋体" w:hAnsi="宋体" w:cs="宋体"/>
          <w:color w:val="auto"/>
          <w:spacing w:val="6"/>
          <w:kern w:val="0"/>
          <w:szCs w:val="21"/>
          <w:highlight w:val="none"/>
          <w:u w:val="single"/>
        </w:rPr>
      </w:pPr>
      <w:r>
        <w:rPr>
          <w:rFonts w:hint="eastAsia" w:ascii="宋体" w:hAnsi="宋体" w:cs="宋体"/>
          <w:color w:val="auto"/>
          <w:spacing w:val="6"/>
          <w:kern w:val="0"/>
          <w:szCs w:val="21"/>
          <w:highlight w:val="none"/>
        </w:rPr>
        <w:t xml:space="preserve">             供应商名称（盖单位公章）：</w:t>
      </w:r>
      <w:r>
        <w:rPr>
          <w:rFonts w:hint="eastAsia" w:ascii="宋体" w:hAnsi="宋体" w:cs="宋体"/>
          <w:color w:val="auto"/>
          <w:spacing w:val="6"/>
          <w:kern w:val="0"/>
          <w:szCs w:val="21"/>
          <w:highlight w:val="none"/>
          <w:u w:val="single"/>
        </w:rPr>
        <w:t xml:space="preserve">           </w:t>
      </w:r>
    </w:p>
    <w:p>
      <w:pPr>
        <w:widowControl/>
        <w:adjustRightInd w:val="0"/>
        <w:snapToGrid w:val="0"/>
        <w:spacing w:line="360" w:lineRule="auto"/>
        <w:ind w:firstLine="504" w:firstLineChars="200"/>
        <w:jc w:val="center"/>
        <w:rPr>
          <w:rFonts w:ascii="宋体" w:hAnsi="宋体" w:cs="宋体"/>
          <w:color w:val="auto"/>
          <w:spacing w:val="6"/>
          <w:kern w:val="0"/>
          <w:szCs w:val="21"/>
          <w:highlight w:val="none"/>
          <w:u w:val="single"/>
        </w:rPr>
      </w:pPr>
      <w:r>
        <w:rPr>
          <w:rFonts w:hint="eastAsia" w:ascii="宋体" w:hAnsi="宋体" w:cs="宋体"/>
          <w:color w:val="auto"/>
          <w:spacing w:val="6"/>
          <w:kern w:val="0"/>
          <w:szCs w:val="21"/>
          <w:highlight w:val="none"/>
        </w:rPr>
        <w:t xml:space="preserve">                   日 期：</w:t>
      </w:r>
      <w:r>
        <w:rPr>
          <w:rFonts w:hint="eastAsia" w:ascii="宋体" w:hAnsi="宋体" w:cs="宋体"/>
          <w:color w:val="auto"/>
          <w:spacing w:val="6"/>
          <w:kern w:val="0"/>
          <w:szCs w:val="21"/>
          <w:highlight w:val="none"/>
          <w:u w:val="single"/>
        </w:rPr>
        <w:t xml:space="preserve">              </w:t>
      </w:r>
    </w:p>
    <w:p>
      <w:pPr>
        <w:widowControl/>
        <w:adjustRightInd w:val="0"/>
        <w:snapToGrid w:val="0"/>
        <w:spacing w:line="360" w:lineRule="auto"/>
        <w:ind w:firstLine="506" w:firstLineChars="200"/>
        <w:jc w:val="center"/>
        <w:rPr>
          <w:rFonts w:ascii="宋体" w:hAnsi="宋体" w:cs="宋体"/>
          <w:b/>
          <w:color w:val="auto"/>
          <w:spacing w:val="6"/>
          <w:kern w:val="0"/>
          <w:szCs w:val="21"/>
          <w:highlight w:val="none"/>
          <w:u w:val="single"/>
        </w:rPr>
      </w:pPr>
    </w:p>
    <w:p>
      <w:pPr>
        <w:widowControl/>
        <w:adjustRightInd w:val="0"/>
        <w:snapToGrid w:val="0"/>
        <w:spacing w:line="360" w:lineRule="auto"/>
        <w:ind w:firstLine="506" w:firstLineChars="200"/>
        <w:jc w:val="left"/>
        <w:rPr>
          <w:rFonts w:hint="default" w:ascii="宋体" w:hAnsi="宋体" w:eastAsia="宋体" w:cs="宋体"/>
          <w:b/>
          <w:bCs/>
          <w:color w:val="auto"/>
          <w:spacing w:val="6"/>
          <w:kern w:val="0"/>
          <w:szCs w:val="21"/>
          <w:highlight w:val="none"/>
          <w:lang w:val="en-US" w:eastAsia="zh-CN"/>
        </w:rPr>
      </w:pPr>
      <w:r>
        <w:rPr>
          <w:rFonts w:hint="eastAsia" w:ascii="宋体" w:hAnsi="宋体" w:cs="宋体"/>
          <w:b/>
          <w:bCs/>
          <w:color w:val="auto"/>
          <w:spacing w:val="6"/>
          <w:kern w:val="0"/>
          <w:szCs w:val="21"/>
          <w:highlight w:val="none"/>
          <w:lang w:val="en-US" w:eastAsia="zh-CN"/>
        </w:rPr>
        <w:t>备注：需附企业属于中小微企业的相关证明材料（网上查询截图或相关文件材料）予以证明，未提供者不计入价格比例扣除计算。</w:t>
      </w:r>
    </w:p>
    <w:p>
      <w:pPr>
        <w:keepNext w:val="0"/>
        <w:keepLines w:val="0"/>
        <w:pageBreakBefore w:val="0"/>
        <w:widowControl w:val="0"/>
        <w:kinsoku/>
        <w:wordWrap/>
        <w:overflowPunct/>
        <w:topLinePunct w:val="0"/>
        <w:autoSpaceDE/>
        <w:autoSpaceDN/>
        <w:bidi w:val="0"/>
        <w:spacing w:line="300" w:lineRule="exact"/>
        <w:textAlignment w:val="auto"/>
        <w:rPr>
          <w:color w:val="auto"/>
          <w:highlight w:val="none"/>
        </w:rPr>
      </w:pPr>
      <w:r>
        <w:rPr>
          <w:rFonts w:ascii="宋体" w:cs="宋体"/>
          <w:color w:val="auto"/>
          <w:spacing w:val="6"/>
          <w:kern w:val="0"/>
          <w:highlight w:val="none"/>
        </w:rPr>
        <w:br w:type="page"/>
      </w:r>
    </w:p>
    <w:p>
      <w:pPr>
        <w:pStyle w:val="5"/>
        <w:numPr>
          <w:ilvl w:val="1"/>
          <w:numId w:val="0"/>
        </w:numPr>
        <w:tabs>
          <w:tab w:val="left" w:pos="0"/>
        </w:tabs>
        <w:adjustRightInd w:val="0"/>
        <w:snapToGrid w:val="0"/>
        <w:spacing w:before="156" w:beforeLines="50"/>
        <w:ind w:leftChars="0"/>
        <w:jc w:val="center"/>
        <w:rPr>
          <w:rFonts w:hint="eastAsia" w:ascii="黑体" w:hAnsi="黑体" w:eastAsia="黑体"/>
          <w:color w:val="auto"/>
          <w:sz w:val="28"/>
          <w:szCs w:val="28"/>
          <w:highlight w:val="none"/>
        </w:rPr>
      </w:pPr>
      <w:bookmarkStart w:id="195" w:name="_Toc15977"/>
      <w:bookmarkStart w:id="196" w:name="_Toc23486"/>
      <w:bookmarkStart w:id="197" w:name="_Toc34637809"/>
    </w:p>
    <w:p>
      <w:pPr>
        <w:pStyle w:val="5"/>
        <w:numPr>
          <w:ilvl w:val="1"/>
          <w:numId w:val="0"/>
        </w:numPr>
        <w:tabs>
          <w:tab w:val="left" w:pos="0"/>
        </w:tabs>
        <w:adjustRightInd w:val="0"/>
        <w:snapToGrid w:val="0"/>
        <w:spacing w:before="156" w:beforeLines="50"/>
        <w:ind w:leftChars="0"/>
        <w:jc w:val="center"/>
        <w:rPr>
          <w:rFonts w:hint="eastAsia" w:ascii="黑体" w:hAnsi="黑体" w:eastAsia="黑体"/>
          <w:color w:val="auto"/>
          <w:sz w:val="28"/>
          <w:szCs w:val="28"/>
          <w:highlight w:val="none"/>
        </w:rPr>
      </w:pPr>
    </w:p>
    <w:p>
      <w:pPr>
        <w:pStyle w:val="5"/>
        <w:numPr>
          <w:ilvl w:val="1"/>
          <w:numId w:val="0"/>
        </w:numPr>
        <w:tabs>
          <w:tab w:val="left" w:pos="0"/>
        </w:tabs>
        <w:adjustRightInd w:val="0"/>
        <w:snapToGrid w:val="0"/>
        <w:spacing w:before="156" w:beforeLines="50"/>
        <w:ind w:leftChars="0"/>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十、关于资格的说明(格式)</w:t>
      </w:r>
      <w:bookmarkEnd w:id="195"/>
      <w:bookmarkEnd w:id="196"/>
    </w:p>
    <w:p>
      <w:pPr>
        <w:pStyle w:val="8"/>
        <w:adjustRightInd w:val="0"/>
        <w:snapToGrid w:val="0"/>
        <w:spacing w:before="156" w:beforeLines="50" w:after="0" w:line="36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附件 供应商的资格条件更新材料(如有提供)</w:t>
      </w:r>
    </w:p>
    <w:p>
      <w:pPr>
        <w:adjustRightInd w:val="0"/>
        <w:snapToGrid w:val="0"/>
        <w:spacing w:before="156" w:beforeLines="50" w:line="360" w:lineRule="auto"/>
        <w:jc w:val="center"/>
        <w:rPr>
          <w:rFonts w:ascii="仿宋_GB2312" w:hAnsi="宋体" w:eastAsia="仿宋_GB2312"/>
          <w:b/>
          <w:color w:val="auto"/>
          <w:sz w:val="28"/>
          <w:szCs w:val="28"/>
          <w:highlight w:val="none"/>
        </w:rPr>
      </w:pPr>
      <w:r>
        <w:rPr>
          <w:rFonts w:hint="eastAsia" w:ascii="黑体" w:hAnsi="宋体" w:eastAsia="黑体"/>
          <w:b/>
          <w:color w:val="auto"/>
          <w:sz w:val="28"/>
          <w:szCs w:val="28"/>
          <w:highlight w:val="none"/>
        </w:rPr>
        <w:t>供应商的资格条件更新材料</w:t>
      </w:r>
    </w:p>
    <w:p>
      <w:pPr>
        <w:adjustRightInd w:val="0"/>
        <w:snapToGrid w:val="0"/>
        <w:spacing w:before="156" w:beforeLines="50" w:line="360" w:lineRule="auto"/>
        <w:rPr>
          <w:rFonts w:ascii="宋体" w:hAnsi="宋体"/>
          <w:color w:val="auto"/>
          <w:szCs w:val="21"/>
          <w:highlight w:val="none"/>
        </w:rPr>
      </w:pPr>
      <w:r>
        <w:rPr>
          <w:rFonts w:hint="eastAsia" w:ascii="宋体" w:hAnsi="宋体"/>
          <w:color w:val="auto"/>
          <w:szCs w:val="21"/>
          <w:highlight w:val="none"/>
        </w:rPr>
        <w:t>说明</w:t>
      </w:r>
      <w:r>
        <w:rPr>
          <w:rFonts w:hint="eastAsia" w:ascii="宋体" w:hAnsi="宋体"/>
          <w:color w:val="auto"/>
          <w:highlight w:val="none"/>
        </w:rPr>
        <w:t>：</w:t>
      </w:r>
      <w:r>
        <w:rPr>
          <w:rFonts w:hint="eastAsia" w:ascii="宋体" w:hAnsi="宋体" w:cs="宋体"/>
          <w:color w:val="auto"/>
          <w:kern w:val="0"/>
          <w:szCs w:val="21"/>
          <w:highlight w:val="none"/>
          <w:lang w:val="zh-CN"/>
        </w:rPr>
        <w:t>根据磋商文件第二章第二节第</w:t>
      </w:r>
      <w:r>
        <w:rPr>
          <w:rFonts w:hint="eastAsia" w:ascii="宋体" w:hAnsi="宋体" w:cs="宋体"/>
          <w:color w:val="auto"/>
          <w:kern w:val="0"/>
          <w:szCs w:val="21"/>
          <w:highlight w:val="none"/>
          <w:lang w:val="en-US" w:eastAsia="zh-CN"/>
        </w:rPr>
        <w:t>17</w:t>
      </w:r>
      <w:r>
        <w:rPr>
          <w:rFonts w:hint="eastAsia" w:ascii="宋体" w:hAnsi="宋体" w:cs="宋体"/>
          <w:color w:val="auto"/>
          <w:kern w:val="0"/>
          <w:szCs w:val="21"/>
          <w:highlight w:val="none"/>
          <w:lang w:val="zh-CN"/>
        </w:rPr>
        <w:t>.1款规定，被邀请的</w:t>
      </w:r>
      <w:r>
        <w:rPr>
          <w:rFonts w:hint="eastAsia" w:ascii="宋体" w:hAnsi="宋体"/>
          <w:color w:val="auto"/>
          <w:szCs w:val="21"/>
          <w:highlight w:val="none"/>
        </w:rPr>
        <w:t>供应商在提交资格证明材料</w:t>
      </w:r>
      <w:r>
        <w:rPr>
          <w:rFonts w:hint="eastAsia" w:ascii="宋体" w:hAnsi="宋体"/>
          <w:bCs/>
          <w:color w:val="auto"/>
          <w:szCs w:val="21"/>
          <w:highlight w:val="none"/>
        </w:rPr>
        <w:t>起</w:t>
      </w:r>
      <w:r>
        <w:rPr>
          <w:rFonts w:hint="eastAsia" w:ascii="宋体" w:hAnsi="宋体"/>
          <w:color w:val="auto"/>
          <w:szCs w:val="21"/>
          <w:highlight w:val="none"/>
        </w:rPr>
        <w:t>至</w:t>
      </w:r>
      <w:r>
        <w:rPr>
          <w:rFonts w:hint="eastAsia" w:ascii="宋体" w:hAnsi="宋体" w:cs="宋体"/>
          <w:color w:val="auto"/>
          <w:kern w:val="0"/>
          <w:szCs w:val="21"/>
          <w:highlight w:val="none"/>
        </w:rPr>
        <w:t>提交首次响应文件</w:t>
      </w:r>
      <w:r>
        <w:rPr>
          <w:rFonts w:hint="eastAsia" w:ascii="宋体" w:hAnsi="宋体"/>
          <w:color w:val="auto"/>
          <w:szCs w:val="21"/>
          <w:highlight w:val="none"/>
        </w:rPr>
        <w:t>止，其资格条件发生变化，影响或者可能影响资格条件的，应随本响应文件提供更新或者补充的资格证明材料。</w:t>
      </w:r>
    </w:p>
    <w:bookmarkEnd w:id="197"/>
    <w:p>
      <w:pPr>
        <w:pStyle w:val="5"/>
        <w:tabs>
          <w:tab w:val="left" w:pos="0"/>
        </w:tabs>
        <w:jc w:val="center"/>
        <w:rPr>
          <w:rFonts w:hint="eastAsia" w:ascii="黑体" w:hAnsi="黑体" w:eastAsia="黑体"/>
          <w:color w:val="auto"/>
          <w:sz w:val="28"/>
          <w:szCs w:val="28"/>
          <w:highlight w:val="none"/>
        </w:rPr>
        <w:sectPr>
          <w:footerReference r:id="rId15" w:type="even"/>
          <w:pgSz w:w="11906" w:h="16838"/>
          <w:pgMar w:top="1474" w:right="1474" w:bottom="1474"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198" w:name="_Toc34637810"/>
    </w:p>
    <w:p>
      <w:pPr>
        <w:pStyle w:val="5"/>
        <w:numPr>
          <w:ilvl w:val="1"/>
          <w:numId w:val="0"/>
        </w:numPr>
        <w:tabs>
          <w:tab w:val="left" w:pos="0"/>
        </w:tabs>
        <w:ind w:leftChars="0"/>
        <w:jc w:val="center"/>
        <w:rPr>
          <w:rFonts w:ascii="黑体" w:hAnsi="黑体" w:eastAsia="黑体"/>
          <w:color w:val="auto"/>
          <w:sz w:val="28"/>
          <w:szCs w:val="28"/>
          <w:highlight w:val="none"/>
        </w:rPr>
      </w:pPr>
      <w:bookmarkStart w:id="199" w:name="_Toc20363"/>
      <w:bookmarkStart w:id="200" w:name="_Toc10759"/>
      <w:r>
        <w:rPr>
          <w:rFonts w:hint="eastAsia" w:ascii="黑体" w:hAnsi="黑体" w:eastAsia="黑体"/>
          <w:color w:val="auto"/>
          <w:sz w:val="28"/>
          <w:szCs w:val="28"/>
          <w:highlight w:val="none"/>
        </w:rPr>
        <w:t>十一、响应标的符合</w:t>
      </w:r>
      <w:r>
        <w:rPr>
          <w:rFonts w:hint="eastAsia" w:ascii="黑体" w:hAnsi="黑体" w:eastAsia="黑体"/>
          <w:color w:val="auto"/>
          <w:sz w:val="28"/>
          <w:szCs w:val="28"/>
          <w:highlight w:val="none"/>
          <w:lang w:eastAsia="zh-CN"/>
        </w:rPr>
        <w:t>磋商</w:t>
      </w:r>
      <w:r>
        <w:rPr>
          <w:rFonts w:hint="eastAsia" w:ascii="黑体" w:hAnsi="黑体" w:eastAsia="黑体"/>
          <w:color w:val="auto"/>
          <w:sz w:val="28"/>
          <w:szCs w:val="28"/>
          <w:highlight w:val="none"/>
        </w:rPr>
        <w:t>文件规定的证明文件</w:t>
      </w:r>
      <w:bookmarkEnd w:id="198"/>
      <w:bookmarkEnd w:id="199"/>
      <w:bookmarkEnd w:id="200"/>
    </w:p>
    <w:p>
      <w:pPr>
        <w:adjustRightInd w:val="0"/>
        <w:snapToGrid w:val="0"/>
        <w:spacing w:line="360" w:lineRule="auto"/>
        <w:rPr>
          <w:rFonts w:ascii="宋体" w:hAnsi="宋体"/>
          <w:color w:val="auto"/>
          <w:szCs w:val="21"/>
          <w:highlight w:val="none"/>
        </w:rPr>
      </w:pPr>
    </w:p>
    <w:p>
      <w:pPr>
        <w:adjustRightInd w:val="0"/>
        <w:snapToGrid w:val="0"/>
        <w:spacing w:line="360" w:lineRule="auto"/>
        <w:rPr>
          <w:rFonts w:ascii="宋体" w:hAnsi="宋体"/>
          <w:color w:val="auto"/>
          <w:highlight w:val="none"/>
        </w:rPr>
      </w:pPr>
      <w:r>
        <w:rPr>
          <w:rFonts w:hint="eastAsia" w:ascii="宋体" w:hAnsi="宋体"/>
          <w:color w:val="auto"/>
          <w:szCs w:val="21"/>
          <w:highlight w:val="none"/>
        </w:rPr>
        <w:t>备注：提供第三章规定的证明材料复印件。</w:t>
      </w:r>
    </w:p>
    <w:p>
      <w:pPr>
        <w:widowControl/>
        <w:jc w:val="center"/>
        <w:rPr>
          <w:rFonts w:ascii="黑体" w:hAnsi="黑体" w:eastAsia="黑体"/>
          <w:b/>
          <w:color w:val="auto"/>
          <w:sz w:val="28"/>
          <w:szCs w:val="28"/>
          <w:highlight w:val="none"/>
        </w:rPr>
      </w:pPr>
      <w:r>
        <w:rPr>
          <w:rFonts w:ascii="黑体" w:eastAsia="黑体"/>
          <w:b/>
          <w:bCs/>
          <w:color w:val="auto"/>
          <w:sz w:val="28"/>
          <w:szCs w:val="28"/>
          <w:highlight w:val="none"/>
        </w:rPr>
        <w:br w:type="page"/>
      </w:r>
      <w:r>
        <w:rPr>
          <w:rFonts w:hint="eastAsia" w:ascii="黑体" w:hAnsi="黑体" w:eastAsia="黑体"/>
          <w:b/>
          <w:color w:val="auto"/>
          <w:sz w:val="28"/>
          <w:szCs w:val="28"/>
          <w:highlight w:val="none"/>
        </w:rPr>
        <w:t>十二、供应商认为需提供的其他资料</w:t>
      </w:r>
    </w:p>
    <w:p>
      <w:pPr>
        <w:adjustRightInd w:val="0"/>
        <w:snapToGrid w:val="0"/>
        <w:spacing w:before="156" w:beforeLines="50" w:line="360" w:lineRule="auto"/>
        <w:rPr>
          <w:rFonts w:ascii="宋体" w:hAnsi="宋体"/>
          <w:color w:val="auto"/>
          <w:highlight w:val="none"/>
        </w:rPr>
      </w:pPr>
    </w:p>
    <w:p>
      <w:pPr>
        <w:adjustRightInd w:val="0"/>
        <w:snapToGrid w:val="0"/>
        <w:spacing w:before="156" w:beforeLines="50" w:line="360" w:lineRule="auto"/>
        <w:rPr>
          <w:rFonts w:ascii="宋体" w:hAnsi="宋体"/>
          <w:color w:val="auto"/>
          <w:highlight w:val="none"/>
        </w:rPr>
      </w:pPr>
      <w:r>
        <w:rPr>
          <w:rFonts w:hint="eastAsia" w:ascii="宋体" w:hAnsi="宋体"/>
          <w:color w:val="auto"/>
          <w:highlight w:val="none"/>
        </w:rPr>
        <w:t>备注：供应商认为需提供的其他资料包括：</w:t>
      </w:r>
    </w:p>
    <w:p>
      <w:pPr>
        <w:adjustRightInd w:val="0"/>
        <w:snapToGrid w:val="0"/>
        <w:spacing w:before="156" w:beforeLines="50" w:line="360" w:lineRule="auto"/>
        <w:ind w:firstLine="480" w:firstLineChars="200"/>
        <w:rPr>
          <w:rFonts w:ascii="宋体" w:hAnsi="宋体"/>
          <w:color w:val="auto"/>
          <w:highlight w:val="none"/>
        </w:rPr>
      </w:pPr>
      <w:r>
        <w:rPr>
          <w:rFonts w:hint="eastAsia" w:ascii="宋体" w:hAnsi="宋体"/>
          <w:color w:val="auto"/>
          <w:highlight w:val="none"/>
        </w:rPr>
        <w:t>（1）</w:t>
      </w:r>
      <w:r>
        <w:rPr>
          <w:rFonts w:hint="eastAsia" w:ascii="宋体" w:hAnsi="宋体"/>
          <w:color w:val="auto"/>
          <w:highlight w:val="none"/>
          <w:lang w:eastAsia="zh-CN"/>
        </w:rPr>
        <w:t>磋商</w:t>
      </w:r>
      <w:r>
        <w:rPr>
          <w:rFonts w:hint="eastAsia" w:ascii="宋体" w:hAnsi="宋体"/>
          <w:color w:val="auto"/>
          <w:highlight w:val="none"/>
        </w:rPr>
        <w:t>文件第三章采购需求要求的其他资料；</w:t>
      </w:r>
    </w:p>
    <w:p>
      <w:pPr>
        <w:adjustRightInd w:val="0"/>
        <w:snapToGrid w:val="0"/>
        <w:spacing w:before="156" w:beforeLines="50" w:line="360" w:lineRule="auto"/>
        <w:ind w:firstLine="480" w:firstLineChars="200"/>
        <w:rPr>
          <w:rFonts w:ascii="宋体" w:hAnsi="宋体"/>
          <w:color w:val="auto"/>
          <w:highlight w:val="none"/>
        </w:rPr>
      </w:pPr>
      <w:r>
        <w:rPr>
          <w:rFonts w:hint="eastAsia" w:ascii="宋体" w:hAnsi="宋体"/>
          <w:color w:val="auto"/>
          <w:highlight w:val="none"/>
        </w:rPr>
        <w:t>（2）</w:t>
      </w:r>
      <w:r>
        <w:rPr>
          <w:rFonts w:hint="eastAsia" w:ascii="宋体" w:hAnsi="宋体"/>
          <w:color w:val="auto"/>
          <w:highlight w:val="none"/>
          <w:lang w:eastAsia="zh-CN"/>
        </w:rPr>
        <w:t>磋商</w:t>
      </w:r>
      <w:r>
        <w:rPr>
          <w:rFonts w:hint="eastAsia" w:ascii="宋体" w:hAnsi="宋体"/>
          <w:color w:val="auto"/>
          <w:highlight w:val="none"/>
        </w:rPr>
        <w:t>文件要求的其他相关资料。</w:t>
      </w:r>
    </w:p>
    <w:p>
      <w:pPr>
        <w:adjustRightInd w:val="0"/>
        <w:snapToGrid w:val="0"/>
        <w:spacing w:before="156" w:beforeLines="50" w:line="360" w:lineRule="auto"/>
        <w:rPr>
          <w:rFonts w:ascii="宋体" w:hAnsi="宋体"/>
          <w:color w:val="auto"/>
          <w:highlight w:val="none"/>
        </w:rPr>
      </w:pPr>
    </w:p>
    <w:p>
      <w:pPr>
        <w:rPr>
          <w:color w:val="auto"/>
          <w:highlight w:val="none"/>
        </w:rPr>
      </w:pPr>
    </w:p>
    <w:p>
      <w:pPr>
        <w:pStyle w:val="5"/>
        <w:numPr>
          <w:ilvl w:val="1"/>
          <w:numId w:val="0"/>
        </w:numPr>
        <w:tabs>
          <w:tab w:val="left" w:pos="0"/>
        </w:tabs>
        <w:ind w:leftChars="0"/>
        <w:jc w:val="center"/>
        <w:rPr>
          <w:rFonts w:hint="eastAsia" w:ascii="黑体" w:hAnsi="黑体" w:eastAsia="黑体"/>
          <w:color w:val="auto"/>
          <w:sz w:val="28"/>
          <w:szCs w:val="28"/>
          <w:highlight w:val="none"/>
          <w:lang w:eastAsia="zh-CN"/>
        </w:rPr>
      </w:pPr>
      <w:r>
        <w:rPr>
          <w:color w:val="auto"/>
          <w:highlight w:val="none"/>
        </w:rPr>
        <w:br w:type="page"/>
      </w:r>
      <w:bookmarkStart w:id="201" w:name="_Toc34637811"/>
      <w:bookmarkStart w:id="202" w:name="_Toc3731"/>
      <w:bookmarkStart w:id="203" w:name="_Toc27935"/>
      <w:r>
        <w:rPr>
          <w:rFonts w:hint="eastAsia" w:ascii="黑体" w:hAnsi="黑体" w:eastAsia="黑体"/>
          <w:color w:val="auto"/>
          <w:sz w:val="28"/>
          <w:szCs w:val="28"/>
          <w:highlight w:val="none"/>
        </w:rPr>
        <w:t>十</w:t>
      </w:r>
      <w:r>
        <w:rPr>
          <w:rFonts w:hint="eastAsia" w:ascii="黑体" w:hAnsi="黑体" w:eastAsia="黑体"/>
          <w:color w:val="auto"/>
          <w:sz w:val="28"/>
          <w:szCs w:val="28"/>
          <w:highlight w:val="none"/>
          <w:lang w:eastAsia="zh-CN"/>
        </w:rPr>
        <w:t>三</w:t>
      </w:r>
      <w:r>
        <w:rPr>
          <w:rFonts w:hint="eastAsia" w:ascii="黑体" w:hAnsi="黑体" w:eastAsia="黑体"/>
          <w:color w:val="auto"/>
          <w:sz w:val="28"/>
          <w:szCs w:val="28"/>
          <w:highlight w:val="none"/>
        </w:rPr>
        <w:t>、代理服务费承诺书</w:t>
      </w:r>
      <w:bookmarkEnd w:id="201"/>
      <w:bookmarkEnd w:id="202"/>
      <w:bookmarkEnd w:id="203"/>
    </w:p>
    <w:p>
      <w:pPr>
        <w:adjustRightInd w:val="0"/>
        <w:snapToGrid w:val="0"/>
        <w:spacing w:line="360" w:lineRule="auto"/>
        <w:rPr>
          <w:rFonts w:ascii="宋体" w:hAnsi="宋体" w:cs="仿宋_GB2312"/>
          <w:color w:val="auto"/>
          <w:szCs w:val="21"/>
          <w:highlight w:val="none"/>
        </w:rPr>
      </w:pPr>
    </w:p>
    <w:p>
      <w:pPr>
        <w:adjustRightInd w:val="0"/>
        <w:snapToGrid w:val="0"/>
        <w:spacing w:line="360" w:lineRule="auto"/>
        <w:rPr>
          <w:rFonts w:ascii="宋体" w:hAnsi="宋体"/>
          <w:color w:val="auto"/>
          <w:szCs w:val="21"/>
          <w:highlight w:val="none"/>
          <w:u w:val="single"/>
        </w:rPr>
      </w:pPr>
      <w:r>
        <w:rPr>
          <w:rFonts w:hint="eastAsia" w:ascii="宋体" w:hAnsi="宋体" w:cs="仿宋_GB2312"/>
          <w:color w:val="auto"/>
          <w:szCs w:val="21"/>
          <w:highlight w:val="none"/>
        </w:rPr>
        <w:t>致（采购代理机构）</w:t>
      </w:r>
      <w:r>
        <w:rPr>
          <w:rFonts w:hint="eastAsia" w:ascii="宋体" w:hAnsi="宋体" w:cs="仿宋_GB2312"/>
          <w:color w:val="auto"/>
          <w:szCs w:val="21"/>
          <w:highlight w:val="none"/>
          <w:u w:val="single"/>
        </w:rPr>
        <w:t xml:space="preserve">                 </w:t>
      </w:r>
      <w:r>
        <w:rPr>
          <w:rFonts w:hint="eastAsia" w:ascii="宋体" w:hAnsi="宋体" w:cs="仿宋_GB2312"/>
          <w:color w:val="auto"/>
          <w:szCs w:val="21"/>
          <w:highlight w:val="none"/>
        </w:rPr>
        <w:t xml:space="preserve"> ：</w:t>
      </w:r>
    </w:p>
    <w:p>
      <w:pPr>
        <w:adjustRightInd w:val="0"/>
        <w:snapToGrid w:val="0"/>
        <w:spacing w:line="360" w:lineRule="auto"/>
        <w:ind w:firstLine="480" w:firstLineChars="200"/>
        <w:rPr>
          <w:rFonts w:ascii="宋体" w:hAnsi="宋体"/>
          <w:color w:val="auto"/>
          <w:szCs w:val="21"/>
          <w:highlight w:val="none"/>
        </w:rPr>
      </w:pPr>
      <w:r>
        <w:rPr>
          <w:rFonts w:hint="eastAsia" w:ascii="宋体" w:hAnsi="宋体" w:cs="仿宋_GB2312"/>
          <w:color w:val="auto"/>
          <w:szCs w:val="21"/>
          <w:highlight w:val="none"/>
        </w:rPr>
        <w:t>我们在贵公司组织的</w:t>
      </w: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s="仿宋_GB2312"/>
          <w:color w:val="auto"/>
          <w:szCs w:val="21"/>
          <w:highlight w:val="none"/>
        </w:rPr>
        <w:t>采购代理编号：</w:t>
      </w:r>
      <w:r>
        <w:rPr>
          <w:rFonts w:hint="eastAsia"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s="仿宋_GB2312"/>
          <w:color w:val="auto"/>
          <w:szCs w:val="21"/>
          <w:highlight w:val="none"/>
        </w:rPr>
        <w:t>政府采购活动中若获成交，我们保证在收到成交通知书后5 个工作日内，按</w:t>
      </w:r>
      <w:r>
        <w:rPr>
          <w:rFonts w:hint="eastAsia" w:ascii="宋体" w:hAnsi="宋体" w:cs="仿宋_GB2312"/>
          <w:color w:val="auto"/>
          <w:szCs w:val="21"/>
          <w:highlight w:val="none"/>
          <w:lang w:eastAsia="zh-CN"/>
        </w:rPr>
        <w:t>磋商</w:t>
      </w:r>
      <w:r>
        <w:rPr>
          <w:rFonts w:hint="eastAsia" w:ascii="宋体" w:hAnsi="宋体" w:cs="仿宋_GB2312"/>
          <w:color w:val="auto"/>
          <w:szCs w:val="21"/>
          <w:highlight w:val="none"/>
        </w:rPr>
        <w:t>文件的规定，以支票、汇票或现金，向贵公司一次性支付代理服务费用。否则，</w:t>
      </w:r>
      <w:r>
        <w:rPr>
          <w:rFonts w:hint="eastAsia" w:ascii="宋体" w:hAnsi="宋体"/>
          <w:color w:val="auto"/>
          <w:szCs w:val="21"/>
          <w:highlight w:val="none"/>
        </w:rPr>
        <w:t>由此产生的一切法律后果和责任由我公司承担。我公司声明放弃对此提出任何异议和追索的权利。</w:t>
      </w:r>
    </w:p>
    <w:p>
      <w:pPr>
        <w:adjustRightInd w:val="0"/>
        <w:snapToGrid w:val="0"/>
        <w:spacing w:line="360" w:lineRule="auto"/>
        <w:ind w:firstLine="480" w:firstLineChars="200"/>
        <w:rPr>
          <w:rFonts w:ascii="宋体" w:hAnsi="宋体"/>
          <w:color w:val="auto"/>
          <w:szCs w:val="21"/>
          <w:highlight w:val="none"/>
        </w:rPr>
      </w:pPr>
      <w:r>
        <w:rPr>
          <w:rFonts w:hint="eastAsia" w:ascii="宋体" w:hAnsi="宋体"/>
          <w:color w:val="auto"/>
          <w:szCs w:val="21"/>
          <w:highlight w:val="none"/>
        </w:rPr>
        <w:t>特此承诺。</w:t>
      </w:r>
    </w:p>
    <w:p>
      <w:pPr>
        <w:adjustRightInd w:val="0"/>
        <w:snapToGrid w:val="0"/>
        <w:spacing w:line="360" w:lineRule="auto"/>
        <w:rPr>
          <w:rFonts w:ascii="宋体" w:hAnsi="宋体"/>
          <w:color w:val="auto"/>
          <w:szCs w:val="21"/>
          <w:highlight w:val="none"/>
        </w:rPr>
      </w:pPr>
    </w:p>
    <w:tbl>
      <w:tblPr>
        <w:tblStyle w:val="24"/>
        <w:tblW w:w="7797"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97" w:type="dxa"/>
            <w:shd w:val="clear" w:color="auto" w:fill="auto"/>
          </w:tcPr>
          <w:p>
            <w:pPr>
              <w:adjustRightInd w:val="0"/>
              <w:snapToGrid w:val="0"/>
              <w:spacing w:line="360" w:lineRule="auto"/>
              <w:jc w:val="center"/>
              <w:rPr>
                <w:rFonts w:ascii="黑体" w:hAnsi="黑体" w:eastAsia="黑体"/>
                <w:color w:val="auto"/>
                <w:kern w:val="0"/>
                <w:sz w:val="28"/>
                <w:szCs w:val="28"/>
                <w:highlight w:val="none"/>
                <w:u w:val="single"/>
              </w:rPr>
            </w:pPr>
            <w:r>
              <w:rPr>
                <w:rFonts w:ascii="黑体" w:hAnsi="黑体" w:eastAsia="黑体"/>
                <w:color w:val="auto"/>
                <w:kern w:val="0"/>
                <w:sz w:val="28"/>
                <w:szCs w:val="28"/>
                <w:highlight w:val="none"/>
                <w:u w:val="single"/>
              </w:rPr>
              <w:t>开具</w:t>
            </w:r>
            <w:r>
              <w:rPr>
                <w:rFonts w:hint="eastAsia" w:ascii="黑体" w:hAnsi="黑体" w:eastAsia="黑体"/>
                <w:color w:val="auto"/>
                <w:kern w:val="0"/>
                <w:sz w:val="28"/>
                <w:szCs w:val="28"/>
                <w:highlight w:val="none"/>
                <w:u w:val="single"/>
              </w:rPr>
              <w:t>发票信息</w:t>
            </w:r>
          </w:p>
          <w:p>
            <w:pPr>
              <w:adjustRightInd w:val="0"/>
              <w:snapToGrid w:val="0"/>
              <w:spacing w:line="360" w:lineRule="auto"/>
              <w:ind w:firstLine="480" w:firstLineChars="200"/>
              <w:rPr>
                <w:rFonts w:ascii="宋体" w:hAnsi="宋体"/>
                <w:color w:val="auto"/>
                <w:kern w:val="0"/>
                <w:sz w:val="2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 xml:space="preserve"> </w:t>
            </w:r>
            <w:r>
              <w:rPr>
                <w:rFonts w:ascii="宋体" w:hAnsi="宋体"/>
                <w:color w:val="auto"/>
                <w:kern w:val="0"/>
                <w:szCs w:val="21"/>
                <w:highlight w:val="none"/>
              </w:rPr>
              <w:t>增值税普通发票</w:t>
            </w:r>
          </w:p>
          <w:p>
            <w:pPr>
              <w:adjustRightInd w:val="0"/>
              <w:snapToGrid w:val="0"/>
              <w:spacing w:line="360" w:lineRule="auto"/>
              <w:ind w:firstLine="480" w:firstLineChars="200"/>
              <w:rPr>
                <w:rFonts w:ascii="宋体" w:hAnsi="宋体"/>
                <w:color w:val="auto"/>
                <w:kern w:val="0"/>
                <w:sz w:val="2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 xml:space="preserve"> </w:t>
            </w:r>
            <w:r>
              <w:rPr>
                <w:rFonts w:ascii="宋体" w:hAnsi="宋体"/>
                <w:color w:val="auto"/>
                <w:kern w:val="0"/>
                <w:szCs w:val="21"/>
                <w:highlight w:val="none"/>
              </w:rPr>
              <w:t>或按照以下信息开具增值税专用发票：</w:t>
            </w:r>
          </w:p>
          <w:p>
            <w:pPr>
              <w:adjustRightInd w:val="0"/>
              <w:snapToGrid w:val="0"/>
              <w:spacing w:line="360" w:lineRule="auto"/>
              <w:ind w:firstLine="480" w:firstLineChars="200"/>
              <w:rPr>
                <w:rFonts w:ascii="宋体" w:hAnsi="宋体"/>
                <w:color w:val="auto"/>
                <w:kern w:val="0"/>
                <w:sz w:val="20"/>
                <w:szCs w:val="21"/>
                <w:highlight w:val="none"/>
              </w:rPr>
            </w:pPr>
            <w:r>
              <w:rPr>
                <w:rFonts w:ascii="宋体" w:hAnsi="宋体"/>
                <w:color w:val="auto"/>
                <w:kern w:val="0"/>
                <w:szCs w:val="21"/>
                <w:highlight w:val="none"/>
              </w:rPr>
              <w:t>单位名称：</w:t>
            </w:r>
            <w:r>
              <w:rPr>
                <w:rFonts w:hint="eastAsia" w:ascii="宋体" w:hAnsi="宋体"/>
                <w:color w:val="auto"/>
                <w:kern w:val="0"/>
                <w:sz w:val="20"/>
                <w:szCs w:val="21"/>
                <w:highlight w:val="none"/>
                <w:u w:val="single"/>
              </w:rPr>
              <w:t xml:space="preserve">                   </w:t>
            </w:r>
          </w:p>
          <w:p>
            <w:pPr>
              <w:adjustRightInd w:val="0"/>
              <w:snapToGrid w:val="0"/>
              <w:spacing w:line="360" w:lineRule="auto"/>
              <w:ind w:firstLine="480" w:firstLineChars="200"/>
              <w:rPr>
                <w:rFonts w:ascii="宋体" w:hAnsi="宋体"/>
                <w:color w:val="auto"/>
                <w:kern w:val="0"/>
                <w:sz w:val="20"/>
                <w:szCs w:val="21"/>
                <w:highlight w:val="none"/>
              </w:rPr>
            </w:pPr>
            <w:r>
              <w:rPr>
                <w:rFonts w:ascii="宋体" w:hAnsi="宋体"/>
                <w:color w:val="auto"/>
                <w:kern w:val="0"/>
                <w:szCs w:val="21"/>
                <w:highlight w:val="none"/>
              </w:rPr>
              <w:t>纳税人识别号：</w:t>
            </w:r>
            <w:r>
              <w:rPr>
                <w:rFonts w:hint="eastAsia" w:ascii="宋体" w:hAnsi="宋体"/>
                <w:color w:val="auto"/>
                <w:kern w:val="0"/>
                <w:sz w:val="20"/>
                <w:szCs w:val="21"/>
                <w:highlight w:val="none"/>
                <w:u w:val="single"/>
              </w:rPr>
              <w:t xml:space="preserve">                   </w:t>
            </w:r>
          </w:p>
          <w:p>
            <w:pPr>
              <w:adjustRightInd w:val="0"/>
              <w:snapToGrid w:val="0"/>
              <w:spacing w:line="360" w:lineRule="auto"/>
              <w:ind w:firstLine="480" w:firstLineChars="200"/>
              <w:rPr>
                <w:rFonts w:ascii="宋体" w:hAnsi="宋体"/>
                <w:color w:val="auto"/>
                <w:kern w:val="0"/>
                <w:sz w:val="20"/>
                <w:szCs w:val="21"/>
                <w:highlight w:val="none"/>
              </w:rPr>
            </w:pPr>
            <w:r>
              <w:rPr>
                <w:rFonts w:ascii="宋体" w:hAnsi="宋体"/>
                <w:color w:val="auto"/>
                <w:kern w:val="0"/>
                <w:szCs w:val="21"/>
                <w:highlight w:val="none"/>
              </w:rPr>
              <w:t>地址：</w:t>
            </w:r>
            <w:r>
              <w:rPr>
                <w:rFonts w:hint="eastAsia" w:ascii="宋体" w:hAnsi="宋体"/>
                <w:color w:val="auto"/>
                <w:kern w:val="0"/>
                <w:sz w:val="20"/>
                <w:szCs w:val="21"/>
                <w:highlight w:val="none"/>
                <w:u w:val="single"/>
              </w:rPr>
              <w:t xml:space="preserve">                   </w:t>
            </w:r>
          </w:p>
          <w:p>
            <w:pPr>
              <w:adjustRightInd w:val="0"/>
              <w:snapToGrid w:val="0"/>
              <w:spacing w:line="360" w:lineRule="auto"/>
              <w:ind w:firstLine="480" w:firstLineChars="200"/>
              <w:rPr>
                <w:rFonts w:ascii="宋体" w:hAnsi="宋体"/>
                <w:color w:val="auto"/>
                <w:kern w:val="0"/>
                <w:sz w:val="20"/>
                <w:szCs w:val="21"/>
                <w:highlight w:val="none"/>
              </w:rPr>
            </w:pPr>
            <w:r>
              <w:rPr>
                <w:rFonts w:ascii="宋体" w:hAnsi="宋体"/>
                <w:color w:val="auto"/>
                <w:kern w:val="0"/>
                <w:szCs w:val="21"/>
                <w:highlight w:val="none"/>
              </w:rPr>
              <w:t>电话：</w:t>
            </w:r>
            <w:r>
              <w:rPr>
                <w:rFonts w:hint="eastAsia" w:ascii="宋体" w:hAnsi="宋体"/>
                <w:color w:val="auto"/>
                <w:kern w:val="0"/>
                <w:sz w:val="20"/>
                <w:szCs w:val="21"/>
                <w:highlight w:val="none"/>
                <w:u w:val="single"/>
              </w:rPr>
              <w:t xml:space="preserve">                   </w:t>
            </w:r>
          </w:p>
          <w:p>
            <w:pPr>
              <w:adjustRightInd w:val="0"/>
              <w:snapToGrid w:val="0"/>
              <w:spacing w:line="360" w:lineRule="auto"/>
              <w:ind w:firstLine="480" w:firstLineChars="200"/>
              <w:rPr>
                <w:rFonts w:ascii="宋体" w:hAnsi="宋体"/>
                <w:color w:val="auto"/>
                <w:kern w:val="0"/>
                <w:sz w:val="20"/>
                <w:szCs w:val="21"/>
                <w:highlight w:val="none"/>
              </w:rPr>
            </w:pPr>
            <w:r>
              <w:rPr>
                <w:rFonts w:ascii="宋体" w:hAnsi="宋体"/>
                <w:color w:val="auto"/>
                <w:kern w:val="0"/>
                <w:szCs w:val="21"/>
                <w:highlight w:val="none"/>
              </w:rPr>
              <w:t>开户行：</w:t>
            </w:r>
            <w:r>
              <w:rPr>
                <w:rFonts w:hint="eastAsia" w:ascii="宋体" w:hAnsi="宋体"/>
                <w:color w:val="auto"/>
                <w:kern w:val="0"/>
                <w:sz w:val="20"/>
                <w:szCs w:val="21"/>
                <w:highlight w:val="none"/>
                <w:u w:val="single"/>
              </w:rPr>
              <w:t xml:space="preserve">                   </w:t>
            </w:r>
          </w:p>
          <w:p>
            <w:pPr>
              <w:adjustRightInd w:val="0"/>
              <w:snapToGrid w:val="0"/>
              <w:spacing w:line="360" w:lineRule="auto"/>
              <w:ind w:firstLine="480" w:firstLineChars="200"/>
              <w:rPr>
                <w:rFonts w:ascii="宋体" w:hAnsi="宋体"/>
                <w:color w:val="auto"/>
                <w:kern w:val="0"/>
                <w:sz w:val="20"/>
                <w:szCs w:val="21"/>
                <w:highlight w:val="none"/>
              </w:rPr>
            </w:pPr>
            <w:r>
              <w:rPr>
                <w:rFonts w:ascii="宋体" w:hAnsi="宋体"/>
                <w:color w:val="auto"/>
                <w:kern w:val="0"/>
                <w:szCs w:val="21"/>
                <w:highlight w:val="none"/>
              </w:rPr>
              <w:t>账号：</w:t>
            </w:r>
            <w:r>
              <w:rPr>
                <w:rFonts w:hint="eastAsia" w:ascii="宋体" w:hAnsi="宋体"/>
                <w:color w:val="auto"/>
                <w:kern w:val="0"/>
                <w:sz w:val="20"/>
                <w:szCs w:val="21"/>
                <w:highlight w:val="none"/>
                <w:u w:val="single"/>
              </w:rPr>
              <w:t xml:space="preserve">                   </w:t>
            </w:r>
          </w:p>
        </w:tc>
      </w:tr>
    </w:tbl>
    <w:p>
      <w:pPr>
        <w:adjustRightInd w:val="0"/>
        <w:snapToGrid w:val="0"/>
        <w:spacing w:line="360" w:lineRule="auto"/>
        <w:ind w:firstLine="480" w:firstLineChars="200"/>
        <w:rPr>
          <w:rFonts w:ascii="宋体" w:hAnsi="宋体"/>
          <w:color w:val="auto"/>
          <w:szCs w:val="21"/>
          <w:highlight w:val="none"/>
        </w:rPr>
      </w:pPr>
    </w:p>
    <w:p>
      <w:pPr>
        <w:adjustRightInd w:val="0"/>
        <w:snapToGrid w:val="0"/>
        <w:spacing w:line="360" w:lineRule="auto"/>
        <w:rPr>
          <w:rFonts w:ascii="宋体" w:hAnsi="宋体" w:cs="仿宋_GB2312"/>
          <w:color w:val="auto"/>
          <w:szCs w:val="21"/>
          <w:highlight w:val="none"/>
        </w:rPr>
      </w:pPr>
      <w:r>
        <w:rPr>
          <w:rFonts w:ascii="宋体" w:hAnsi="宋体" w:cs="仿宋_GB2312"/>
          <w:color w:val="auto"/>
          <w:szCs w:val="21"/>
          <w:highlight w:val="none"/>
        </w:rPr>
        <w:t xml:space="preserve">           </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供应商名称（盖单位公章）：</w:t>
      </w:r>
    </w:p>
    <w:p>
      <w:pPr>
        <w:adjustRightInd w:val="0"/>
        <w:snapToGrid w:val="0"/>
        <w:spacing w:line="360" w:lineRule="auto"/>
        <w:rPr>
          <w:rFonts w:ascii="宋体" w:hAnsi="宋体"/>
          <w:color w:val="auto"/>
          <w:szCs w:val="21"/>
          <w:highlight w:val="none"/>
        </w:rPr>
      </w:pPr>
      <w:r>
        <w:rPr>
          <w:rFonts w:hint="eastAsia" w:ascii="宋体" w:hAnsi="宋体" w:cs="微软雅黑"/>
          <w:color w:val="auto"/>
          <w:spacing w:val="-2"/>
          <w:kern w:val="0"/>
          <w:szCs w:val="21"/>
          <w:highlight w:val="none"/>
        </w:rPr>
        <w:t>法</w:t>
      </w:r>
      <w:r>
        <w:rPr>
          <w:rFonts w:hint="eastAsia" w:ascii="宋体" w:hAnsi="宋体" w:cs="微软雅黑"/>
          <w:color w:val="auto"/>
          <w:kern w:val="0"/>
          <w:szCs w:val="21"/>
          <w:highlight w:val="none"/>
        </w:rPr>
        <w:t>定</w:t>
      </w:r>
      <w:r>
        <w:rPr>
          <w:rFonts w:hint="eastAsia" w:ascii="宋体" w:hAnsi="宋体" w:cs="微软雅黑"/>
          <w:color w:val="auto"/>
          <w:spacing w:val="-2"/>
          <w:kern w:val="0"/>
          <w:szCs w:val="21"/>
          <w:highlight w:val="none"/>
        </w:rPr>
        <w:t>代</w:t>
      </w:r>
      <w:r>
        <w:rPr>
          <w:rFonts w:hint="eastAsia" w:ascii="宋体" w:hAnsi="宋体" w:cs="微软雅黑"/>
          <w:color w:val="auto"/>
          <w:kern w:val="0"/>
          <w:szCs w:val="21"/>
          <w:highlight w:val="none"/>
        </w:rPr>
        <w:t>表</w:t>
      </w:r>
      <w:r>
        <w:rPr>
          <w:rFonts w:hint="eastAsia" w:ascii="宋体" w:hAnsi="宋体" w:cs="微软雅黑"/>
          <w:color w:val="auto"/>
          <w:spacing w:val="-2"/>
          <w:kern w:val="0"/>
          <w:szCs w:val="21"/>
          <w:highlight w:val="none"/>
        </w:rPr>
        <w:t>人</w:t>
      </w:r>
      <w:r>
        <w:rPr>
          <w:rFonts w:hint="eastAsia" w:ascii="宋体" w:hAnsi="宋体" w:cs="微软雅黑"/>
          <w:color w:val="auto"/>
          <w:kern w:val="0"/>
          <w:szCs w:val="21"/>
          <w:highlight w:val="none"/>
        </w:rPr>
        <w:t>（</w:t>
      </w:r>
      <w:r>
        <w:rPr>
          <w:rFonts w:hint="eastAsia" w:ascii="宋体" w:hAnsi="宋体" w:cs="微软雅黑"/>
          <w:color w:val="auto"/>
          <w:spacing w:val="-2"/>
          <w:kern w:val="0"/>
          <w:szCs w:val="21"/>
          <w:highlight w:val="none"/>
        </w:rPr>
        <w:t>单</w:t>
      </w:r>
      <w:r>
        <w:rPr>
          <w:rFonts w:hint="eastAsia" w:ascii="宋体" w:hAnsi="宋体" w:cs="微软雅黑"/>
          <w:color w:val="auto"/>
          <w:kern w:val="0"/>
          <w:szCs w:val="21"/>
          <w:highlight w:val="none"/>
        </w:rPr>
        <w:t>位</w:t>
      </w:r>
      <w:r>
        <w:rPr>
          <w:rFonts w:hint="eastAsia" w:ascii="宋体" w:hAnsi="宋体" w:cs="微软雅黑"/>
          <w:color w:val="auto"/>
          <w:spacing w:val="-2"/>
          <w:kern w:val="0"/>
          <w:szCs w:val="21"/>
          <w:highlight w:val="none"/>
        </w:rPr>
        <w:t>负</w:t>
      </w:r>
      <w:r>
        <w:rPr>
          <w:rFonts w:hint="eastAsia" w:ascii="宋体" w:hAnsi="宋体" w:cs="微软雅黑"/>
          <w:color w:val="auto"/>
          <w:kern w:val="0"/>
          <w:szCs w:val="21"/>
          <w:highlight w:val="none"/>
        </w:rPr>
        <w:t>责人</w:t>
      </w:r>
      <w:r>
        <w:rPr>
          <w:rFonts w:hint="eastAsia" w:ascii="宋体" w:hAnsi="宋体" w:cs="微软雅黑"/>
          <w:color w:val="auto"/>
          <w:spacing w:val="-2"/>
          <w:kern w:val="0"/>
          <w:szCs w:val="21"/>
          <w:highlight w:val="none"/>
        </w:rPr>
        <w:t>）</w:t>
      </w:r>
      <w:r>
        <w:rPr>
          <w:rFonts w:hint="eastAsia" w:ascii="宋体" w:hAnsi="宋体"/>
          <w:color w:val="auto"/>
          <w:szCs w:val="21"/>
          <w:highlight w:val="none"/>
        </w:rPr>
        <w:t>或其授权的代理人（签字或印章）：</w:t>
      </w:r>
      <w:r>
        <w:rPr>
          <w:rFonts w:hint="eastAsia" w:ascii="宋体" w:hAnsi="宋体"/>
          <w:color w:val="auto"/>
          <w:szCs w:val="21"/>
          <w:highlight w:val="none"/>
          <w:u w:val="single"/>
        </w:rPr>
        <w:t xml:space="preserve">                     </w:t>
      </w:r>
    </w:p>
    <w:p>
      <w:pPr>
        <w:adjustRightInd w:val="0"/>
        <w:snapToGrid w:val="0"/>
        <w:spacing w:line="360" w:lineRule="auto"/>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_日</w:t>
      </w:r>
    </w:p>
    <w:p>
      <w:pPr>
        <w:spacing w:line="360" w:lineRule="exact"/>
        <w:rPr>
          <w:rFonts w:ascii="宋体"/>
          <w:color w:val="auto"/>
          <w:highlight w:val="none"/>
        </w:rPr>
      </w:pPr>
    </w:p>
    <w:p>
      <w:pPr>
        <w:spacing w:line="360" w:lineRule="exact"/>
        <w:rPr>
          <w:rFonts w:ascii="宋体"/>
          <w:color w:val="auto"/>
          <w:highlight w:val="none"/>
        </w:rPr>
      </w:pPr>
    </w:p>
    <w:p>
      <w:pPr>
        <w:spacing w:line="360" w:lineRule="exact"/>
        <w:rPr>
          <w:rFonts w:ascii="宋体"/>
          <w:color w:val="auto"/>
          <w:highlight w:val="none"/>
        </w:rPr>
      </w:pPr>
    </w:p>
    <w:p>
      <w:pPr>
        <w:spacing w:line="360" w:lineRule="auto"/>
        <w:rPr>
          <w:rFonts w:hint="eastAsia" w:ascii="宋体" w:hAnsi="宋体" w:eastAsia="宋体" w:cs="宋体"/>
          <w:color w:val="auto"/>
          <w:szCs w:val="21"/>
          <w:highlight w:val="none"/>
        </w:rPr>
      </w:pPr>
    </w:p>
    <w:p>
      <w:pPr>
        <w:rPr>
          <w:rFonts w:hint="eastAsia" w:ascii="宋体" w:hAnsi="宋体" w:eastAsia="宋体" w:cs="宋体"/>
          <w:color w:val="auto"/>
          <w:highlight w:val="none"/>
        </w:rPr>
      </w:pPr>
    </w:p>
    <w:sectPr>
      <w:headerReference r:id="rId16" w:type="default"/>
      <w:pgSz w:w="11906" w:h="16838"/>
      <w:pgMar w:top="1304" w:right="1587" w:bottom="1304"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MingLiU">
    <w:panose1 w:val="02020509000000000000"/>
    <w:charset w:val="88"/>
    <w:family w:val="modern"/>
    <w:pitch w:val="default"/>
    <w:sig w:usb0="A00002FF" w:usb1="28CFFCFA" w:usb2="00000016" w:usb3="00000000" w:csb0="0010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Wingdings 2">
    <w:altName w:val="Wingdings"/>
    <w:panose1 w:val="05020102010507070707"/>
    <w:charset w:val="00"/>
    <w:family w:val="auto"/>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180" w:firstLineChars="100"/>
      <w:rPr>
        <w:rFonts w:hint="default" w:eastAsia="宋体"/>
        <w:lang w:val="en-US" w:eastAsia="zh-CN"/>
      </w:rPr>
    </w:pPr>
    <w:r>
      <w:rPr>
        <w:rFonts w:hint="eastAsia" w:ascii="宋体" w:hAnsi="宋体"/>
      </w:rPr>
      <w:drawing>
        <wp:inline distT="0" distB="0" distL="114300" distR="114300">
          <wp:extent cx="208915" cy="181610"/>
          <wp:effectExtent l="0" t="0" r="635" b="8890"/>
          <wp:docPr id="6" name="图片 2" descr="华冠基础部分-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descr="华冠基础部分-05"/>
                  <pic:cNvPicPr>
                    <a:picLocks noChangeAspect="1"/>
                  </pic:cNvPicPr>
                </pic:nvPicPr>
                <pic:blipFill>
                  <a:blip r:embed="rId1"/>
                  <a:stretch>
                    <a:fillRect/>
                  </a:stretch>
                </pic:blipFill>
                <pic:spPr>
                  <a:xfrm>
                    <a:off x="0" y="0"/>
                    <a:ext cx="208915" cy="181610"/>
                  </a:xfrm>
                  <a:prstGeom prst="rect">
                    <a:avLst/>
                  </a:prstGeom>
                  <a:noFill/>
                  <a:ln>
                    <a:noFill/>
                  </a:ln>
                </pic:spPr>
              </pic:pic>
            </a:graphicData>
          </a:graphic>
        </wp:inline>
      </w:drawing>
    </w:r>
    <w:r>
      <w:rPr>
        <w:rFonts w:hint="eastAsia"/>
        <w:lang w:eastAsia="zh-CN"/>
      </w:rPr>
      <w:t>龙武国际工程咨询有限公司</w:t>
    </w:r>
    <w:r>
      <w:rPr>
        <w:rFonts w:hint="eastAsia"/>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600" w:firstLineChars="300"/>
      <w:rPr>
        <w:rFonts w:hint="default" w:eastAsia="宋体"/>
        <w:lang w:val="en-US" w:eastAsia="zh-CN"/>
      </w:rPr>
    </w:pPr>
    <w:r>
      <w:rPr>
        <w:sz w:val="20"/>
        <w:szCs w:val="20"/>
      </w:rPr>
      <w:drawing>
        <wp:anchor distT="0" distB="0" distL="114300" distR="114300" simplePos="0" relativeHeight="251662336" behindDoc="0" locked="0" layoutInCell="1" allowOverlap="1">
          <wp:simplePos x="0" y="0"/>
          <wp:positionH relativeFrom="column">
            <wp:posOffset>-28575</wp:posOffset>
          </wp:positionH>
          <wp:positionV relativeFrom="paragraph">
            <wp:posOffset>-118110</wp:posOffset>
          </wp:positionV>
          <wp:extent cx="308610" cy="278765"/>
          <wp:effectExtent l="0" t="0" r="15240" b="6985"/>
          <wp:wrapSquare wrapText="bothSides"/>
          <wp:docPr id="1" name="图片 1" descr="wpsE7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E7BF"/>
                  <pic:cNvPicPr>
                    <a:picLocks noChangeAspect="1" noChangeArrowheads="1"/>
                  </pic:cNvPicPr>
                </pic:nvPicPr>
                <pic:blipFill>
                  <a:blip r:embed="rId1"/>
                  <a:srcRect l="37378" t="16573" r="41718" b="54254"/>
                  <a:stretch>
                    <a:fillRect/>
                  </a:stretch>
                </pic:blipFill>
                <pic:spPr>
                  <a:xfrm>
                    <a:off x="0" y="0"/>
                    <a:ext cx="308610" cy="278765"/>
                  </a:xfrm>
                  <a:prstGeom prst="rect">
                    <a:avLst/>
                  </a:prstGeom>
                  <a:noFill/>
                  <a:ln w="9525">
                    <a:noFill/>
                    <a:miter lim="800000"/>
                    <a:headEnd/>
                    <a:tailEnd/>
                  </a:ln>
                </pic:spPr>
              </pic:pic>
            </a:graphicData>
          </a:graphic>
        </wp:anchor>
      </w:drawing>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r>
      <w:rPr>
        <w:rFonts w:hint="eastAsia"/>
        <w:lang w:eastAsia="zh-CN"/>
      </w:rPr>
      <w:t>龙武国际工程咨询有限公司</w:t>
    </w:r>
    <w:r>
      <w:rPr>
        <w:rFonts w:hint="eastAsia"/>
        <w:lang w:val="en-US" w:eastAsia="zh-CN"/>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200" w:firstLineChars="100"/>
      <w:rPr>
        <w:rFonts w:hint="eastAsia" w:eastAsia="宋体"/>
        <w:lang w:eastAsia="zh-CN"/>
      </w:rPr>
    </w:pPr>
    <w:r>
      <w:rPr>
        <w:sz w:val="20"/>
        <w:szCs w:val="20"/>
      </w:rPr>
      <w:drawing>
        <wp:anchor distT="0" distB="0" distL="114300" distR="114300" simplePos="0" relativeHeight="251663360" behindDoc="0" locked="0" layoutInCell="1" allowOverlap="1">
          <wp:simplePos x="0" y="0"/>
          <wp:positionH relativeFrom="column">
            <wp:posOffset>-12700</wp:posOffset>
          </wp:positionH>
          <wp:positionV relativeFrom="paragraph">
            <wp:posOffset>-132080</wp:posOffset>
          </wp:positionV>
          <wp:extent cx="308610" cy="278765"/>
          <wp:effectExtent l="0" t="0" r="15240" b="6985"/>
          <wp:wrapSquare wrapText="bothSides"/>
          <wp:docPr id="9" name="图片 9" descr="wpsE7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wpsE7BF"/>
                  <pic:cNvPicPr>
                    <a:picLocks noChangeAspect="1" noChangeArrowheads="1"/>
                  </pic:cNvPicPr>
                </pic:nvPicPr>
                <pic:blipFill>
                  <a:blip r:embed="rId1"/>
                  <a:srcRect l="37378" t="16573" r="41718" b="54254"/>
                  <a:stretch>
                    <a:fillRect/>
                  </a:stretch>
                </pic:blipFill>
                <pic:spPr>
                  <a:xfrm>
                    <a:off x="0" y="0"/>
                    <a:ext cx="308610" cy="278765"/>
                  </a:xfrm>
                  <a:prstGeom prst="rect">
                    <a:avLst/>
                  </a:prstGeom>
                  <a:noFill/>
                  <a:ln w="9525">
                    <a:noFill/>
                    <a:miter lim="800000"/>
                    <a:headEnd/>
                    <a:tailEnd/>
                  </a:ln>
                </pic:spPr>
              </pic:pic>
            </a:graphicData>
          </a:graphic>
        </wp:anchor>
      </w:drawing>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35</w:t>
                    </w:r>
                    <w:r>
                      <w:rPr>
                        <w:rFonts w:hint="eastAsia"/>
                        <w:lang w:eastAsia="zh-CN"/>
                      </w:rPr>
                      <w:fldChar w:fldCharType="end"/>
                    </w:r>
                  </w:p>
                </w:txbxContent>
              </v:textbox>
            </v:shape>
          </w:pict>
        </mc:Fallback>
      </mc:AlternateContent>
    </w:r>
    <w:r>
      <w:rPr>
        <w:rFonts w:hint="eastAsia"/>
        <w:sz w:val="18"/>
        <w:lang w:val="en-US" w:eastAsia="zh-CN"/>
      </w:rPr>
      <w:t xml:space="preserve">    </w:t>
    </w:r>
    <w:r>
      <w:rPr>
        <w:rFonts w:hint="eastAsia"/>
        <w:lang w:eastAsia="zh-CN"/>
      </w:rPr>
      <w:t>龙武国际工程咨询有限公司</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8"/>
      </w:rPr>
    </w:pPr>
    <w:r>
      <w:fldChar w:fldCharType="begin"/>
    </w:r>
    <w:r>
      <w:rPr>
        <w:rStyle w:val="28"/>
      </w:rPr>
      <w:instrText xml:space="preserve">PAGE  </w:instrText>
    </w:r>
    <w:r>
      <w:fldChar w:fldCharType="end"/>
    </w:r>
  </w:p>
  <w:p>
    <w:pPr>
      <w:pStyle w:val="1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ascii="新宋体" w:hAnsi="新宋体" w:eastAsia="新宋体" w:cs="新宋体"/>
        <w:sz w:val="20"/>
        <w:szCs w:val="20"/>
      </w:rPr>
    </w:pPr>
    <w:r>
      <w:rPr>
        <w:rFonts w:hint="eastAsia" w:ascii="新宋体" w:hAnsi="新宋体" w:eastAsia="新宋体" w:cs="新宋体"/>
        <w:sz w:val="20"/>
        <w:szCs w:val="20"/>
        <w:lang w:eastAsia="zh-CN"/>
      </w:rPr>
      <w:t>隆回县耕地保护国土空间专项规划和耕地保护一张图项目</w:t>
    </w:r>
    <w:r>
      <w:rPr>
        <w:rFonts w:hint="eastAsia" w:ascii="新宋体" w:hAnsi="新宋体" w:eastAsia="新宋体" w:cs="新宋体"/>
        <w:sz w:val="20"/>
        <w:szCs w:val="20"/>
      </w:rPr>
      <w:t>竞争性磋商文件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hint="eastAsia" w:ascii="新宋体" w:hAnsi="新宋体" w:eastAsia="新宋体" w:cs="新宋体"/>
        <w:sz w:val="20"/>
        <w:szCs w:val="20"/>
      </w:rPr>
    </w:pPr>
    <w:r>
      <w:rPr>
        <w:rFonts w:hint="eastAsia" w:ascii="新宋体" w:hAnsi="新宋体" w:eastAsia="新宋体" w:cs="新宋体"/>
        <w:sz w:val="20"/>
        <w:szCs w:val="20"/>
        <w:lang w:eastAsia="zh-CN"/>
      </w:rPr>
      <w:t>隆回县耕地保护国土空间专项规划和耕地保护一张图项目</w:t>
    </w:r>
    <w:r>
      <w:rPr>
        <w:rFonts w:hint="eastAsia" w:ascii="新宋体" w:hAnsi="新宋体" w:eastAsia="新宋体" w:cs="新宋体"/>
        <w:sz w:val="20"/>
        <w:szCs w:val="20"/>
      </w:rPr>
      <w:t>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lang w:eastAsia="zh-CN"/>
      </w:rPr>
      <w:t>隆回县耕地保护国土空间专项规划和耕地保护一张图项目</w:t>
    </w:r>
    <w:r>
      <w:rPr>
        <w:rFonts w:hint="eastAsia"/>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770DD6"/>
    <w:multiLevelType w:val="singleLevel"/>
    <w:tmpl w:val="17770DD6"/>
    <w:lvl w:ilvl="0" w:tentative="0">
      <w:start w:val="4"/>
      <w:numFmt w:val="chineseCounting"/>
      <w:suff w:val="nothing"/>
      <w:lvlText w:val="%1、"/>
      <w:lvlJc w:val="left"/>
      <w:rPr>
        <w:rFonts w:hint="eastAsia"/>
      </w:rPr>
    </w:lvl>
  </w:abstractNum>
  <w:abstractNum w:abstractNumId="1">
    <w:nsid w:val="1A92DBF0"/>
    <w:multiLevelType w:val="singleLevel"/>
    <w:tmpl w:val="1A92DBF0"/>
    <w:lvl w:ilvl="0" w:tentative="0">
      <w:start w:val="9"/>
      <w:numFmt w:val="decimal"/>
      <w:suff w:val="space"/>
      <w:lvlText w:val="%1."/>
      <w:lvlJc w:val="left"/>
    </w:lvl>
  </w:abstractNum>
  <w:abstractNum w:abstractNumId="2">
    <w:nsid w:val="2D8DC606"/>
    <w:multiLevelType w:val="singleLevel"/>
    <w:tmpl w:val="2D8DC606"/>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07011"/>
    <w:rsid w:val="0000188A"/>
    <w:rsid w:val="00007F2C"/>
    <w:rsid w:val="000167C1"/>
    <w:rsid w:val="00017D0E"/>
    <w:rsid w:val="000311F5"/>
    <w:rsid w:val="000431DB"/>
    <w:rsid w:val="00043349"/>
    <w:rsid w:val="00060527"/>
    <w:rsid w:val="00067BEF"/>
    <w:rsid w:val="0007126D"/>
    <w:rsid w:val="00071893"/>
    <w:rsid w:val="00081EA3"/>
    <w:rsid w:val="00083744"/>
    <w:rsid w:val="000B0A6F"/>
    <w:rsid w:val="000B0DB9"/>
    <w:rsid w:val="000C4D19"/>
    <w:rsid w:val="000C5A6E"/>
    <w:rsid w:val="000C76D1"/>
    <w:rsid w:val="000D6AA9"/>
    <w:rsid w:val="00103798"/>
    <w:rsid w:val="0011784E"/>
    <w:rsid w:val="00117A17"/>
    <w:rsid w:val="00131155"/>
    <w:rsid w:val="00131944"/>
    <w:rsid w:val="00132FA4"/>
    <w:rsid w:val="00134AC6"/>
    <w:rsid w:val="00142699"/>
    <w:rsid w:val="001632C0"/>
    <w:rsid w:val="00164020"/>
    <w:rsid w:val="00175D6E"/>
    <w:rsid w:val="001C3A9A"/>
    <w:rsid w:val="001C6AF1"/>
    <w:rsid w:val="001D3F14"/>
    <w:rsid w:val="001F3737"/>
    <w:rsid w:val="001F3FBA"/>
    <w:rsid w:val="00201451"/>
    <w:rsid w:val="002028C9"/>
    <w:rsid w:val="00203BA7"/>
    <w:rsid w:val="002101F5"/>
    <w:rsid w:val="00214FFF"/>
    <w:rsid w:val="00227B36"/>
    <w:rsid w:val="00233778"/>
    <w:rsid w:val="002434A1"/>
    <w:rsid w:val="0026230D"/>
    <w:rsid w:val="0026275A"/>
    <w:rsid w:val="0026375B"/>
    <w:rsid w:val="002A21CA"/>
    <w:rsid w:val="002A2E77"/>
    <w:rsid w:val="002A2F28"/>
    <w:rsid w:val="002B686B"/>
    <w:rsid w:val="002C5B08"/>
    <w:rsid w:val="002D0458"/>
    <w:rsid w:val="002D2370"/>
    <w:rsid w:val="002E7BEA"/>
    <w:rsid w:val="003006F0"/>
    <w:rsid w:val="00301AEB"/>
    <w:rsid w:val="0030431E"/>
    <w:rsid w:val="00312FA4"/>
    <w:rsid w:val="00327416"/>
    <w:rsid w:val="00345B02"/>
    <w:rsid w:val="003528B9"/>
    <w:rsid w:val="00354E53"/>
    <w:rsid w:val="00364344"/>
    <w:rsid w:val="003672A5"/>
    <w:rsid w:val="00376A58"/>
    <w:rsid w:val="00387561"/>
    <w:rsid w:val="003B2A0F"/>
    <w:rsid w:val="003B3AAB"/>
    <w:rsid w:val="003C2997"/>
    <w:rsid w:val="003C6A3B"/>
    <w:rsid w:val="003E6EDF"/>
    <w:rsid w:val="004166F1"/>
    <w:rsid w:val="004315D3"/>
    <w:rsid w:val="00431E0B"/>
    <w:rsid w:val="00435428"/>
    <w:rsid w:val="00446147"/>
    <w:rsid w:val="00461C9E"/>
    <w:rsid w:val="00472A56"/>
    <w:rsid w:val="00475328"/>
    <w:rsid w:val="00497D80"/>
    <w:rsid w:val="004A1544"/>
    <w:rsid w:val="004A449D"/>
    <w:rsid w:val="004C203C"/>
    <w:rsid w:val="004D6086"/>
    <w:rsid w:val="004E0E10"/>
    <w:rsid w:val="004E2708"/>
    <w:rsid w:val="004E4A28"/>
    <w:rsid w:val="004F63F8"/>
    <w:rsid w:val="00510545"/>
    <w:rsid w:val="005202B7"/>
    <w:rsid w:val="005535A7"/>
    <w:rsid w:val="0055773A"/>
    <w:rsid w:val="00570464"/>
    <w:rsid w:val="005805BF"/>
    <w:rsid w:val="005869F5"/>
    <w:rsid w:val="0059071F"/>
    <w:rsid w:val="005C18FA"/>
    <w:rsid w:val="005C4C90"/>
    <w:rsid w:val="005E3569"/>
    <w:rsid w:val="005E47DA"/>
    <w:rsid w:val="005E5C1A"/>
    <w:rsid w:val="005F32AA"/>
    <w:rsid w:val="005F4042"/>
    <w:rsid w:val="00616850"/>
    <w:rsid w:val="00670BBF"/>
    <w:rsid w:val="006C522E"/>
    <w:rsid w:val="006C5494"/>
    <w:rsid w:val="006E028C"/>
    <w:rsid w:val="006E62C5"/>
    <w:rsid w:val="006F0191"/>
    <w:rsid w:val="00700EDD"/>
    <w:rsid w:val="007150C8"/>
    <w:rsid w:val="0072066E"/>
    <w:rsid w:val="007228BE"/>
    <w:rsid w:val="007274F6"/>
    <w:rsid w:val="007301DC"/>
    <w:rsid w:val="00732C76"/>
    <w:rsid w:val="00795B98"/>
    <w:rsid w:val="007B52F2"/>
    <w:rsid w:val="007D3182"/>
    <w:rsid w:val="007D35C9"/>
    <w:rsid w:val="007D6CB4"/>
    <w:rsid w:val="007F4567"/>
    <w:rsid w:val="008002C3"/>
    <w:rsid w:val="00801810"/>
    <w:rsid w:val="0080182B"/>
    <w:rsid w:val="008075FA"/>
    <w:rsid w:val="0082557D"/>
    <w:rsid w:val="00831F10"/>
    <w:rsid w:val="00835556"/>
    <w:rsid w:val="00845CC1"/>
    <w:rsid w:val="00862BD5"/>
    <w:rsid w:val="0087360F"/>
    <w:rsid w:val="00876060"/>
    <w:rsid w:val="008A2535"/>
    <w:rsid w:val="008A56D5"/>
    <w:rsid w:val="008C275E"/>
    <w:rsid w:val="008D1456"/>
    <w:rsid w:val="008D4DCF"/>
    <w:rsid w:val="008D7CCF"/>
    <w:rsid w:val="008E4783"/>
    <w:rsid w:val="00902A7A"/>
    <w:rsid w:val="00923A7B"/>
    <w:rsid w:val="009279E6"/>
    <w:rsid w:val="00950FA6"/>
    <w:rsid w:val="00951ACC"/>
    <w:rsid w:val="00976009"/>
    <w:rsid w:val="00981131"/>
    <w:rsid w:val="0098475F"/>
    <w:rsid w:val="0099329F"/>
    <w:rsid w:val="009B0623"/>
    <w:rsid w:val="009B55D5"/>
    <w:rsid w:val="009D6BBC"/>
    <w:rsid w:val="009D6CA0"/>
    <w:rsid w:val="009E2E3F"/>
    <w:rsid w:val="009E7C9F"/>
    <w:rsid w:val="00A05CCD"/>
    <w:rsid w:val="00A10611"/>
    <w:rsid w:val="00A27BF6"/>
    <w:rsid w:val="00A350A9"/>
    <w:rsid w:val="00A443C2"/>
    <w:rsid w:val="00A525D5"/>
    <w:rsid w:val="00A702EE"/>
    <w:rsid w:val="00A967EF"/>
    <w:rsid w:val="00AC59B4"/>
    <w:rsid w:val="00AF68F8"/>
    <w:rsid w:val="00AF7099"/>
    <w:rsid w:val="00B0289E"/>
    <w:rsid w:val="00B045E6"/>
    <w:rsid w:val="00B109FC"/>
    <w:rsid w:val="00B34207"/>
    <w:rsid w:val="00B34E26"/>
    <w:rsid w:val="00B353B0"/>
    <w:rsid w:val="00B52ADB"/>
    <w:rsid w:val="00B57C0F"/>
    <w:rsid w:val="00B632B5"/>
    <w:rsid w:val="00B66155"/>
    <w:rsid w:val="00B7351F"/>
    <w:rsid w:val="00B73C29"/>
    <w:rsid w:val="00B9282B"/>
    <w:rsid w:val="00B92CAA"/>
    <w:rsid w:val="00BB3A14"/>
    <w:rsid w:val="00BC11DD"/>
    <w:rsid w:val="00BF3B7D"/>
    <w:rsid w:val="00BF6016"/>
    <w:rsid w:val="00BF678A"/>
    <w:rsid w:val="00C01B4D"/>
    <w:rsid w:val="00C0653D"/>
    <w:rsid w:val="00C0692F"/>
    <w:rsid w:val="00C136FB"/>
    <w:rsid w:val="00C15F24"/>
    <w:rsid w:val="00C47D7A"/>
    <w:rsid w:val="00C505ED"/>
    <w:rsid w:val="00C626F3"/>
    <w:rsid w:val="00C955D7"/>
    <w:rsid w:val="00C975A6"/>
    <w:rsid w:val="00CA0E15"/>
    <w:rsid w:val="00CB07E0"/>
    <w:rsid w:val="00CB0AD7"/>
    <w:rsid w:val="00CB1A9E"/>
    <w:rsid w:val="00CB5052"/>
    <w:rsid w:val="00CC170C"/>
    <w:rsid w:val="00CC7F9A"/>
    <w:rsid w:val="00CF6008"/>
    <w:rsid w:val="00D0282D"/>
    <w:rsid w:val="00D1116C"/>
    <w:rsid w:val="00D22C4D"/>
    <w:rsid w:val="00D24FA7"/>
    <w:rsid w:val="00D30442"/>
    <w:rsid w:val="00D30919"/>
    <w:rsid w:val="00D34B6C"/>
    <w:rsid w:val="00D37356"/>
    <w:rsid w:val="00D43E52"/>
    <w:rsid w:val="00D5577B"/>
    <w:rsid w:val="00D57653"/>
    <w:rsid w:val="00D66532"/>
    <w:rsid w:val="00D738B0"/>
    <w:rsid w:val="00D810F0"/>
    <w:rsid w:val="00D91D66"/>
    <w:rsid w:val="00D93B1C"/>
    <w:rsid w:val="00D94925"/>
    <w:rsid w:val="00D95626"/>
    <w:rsid w:val="00D95A88"/>
    <w:rsid w:val="00DA4E06"/>
    <w:rsid w:val="00DB0C7B"/>
    <w:rsid w:val="00DC5B82"/>
    <w:rsid w:val="00DF437D"/>
    <w:rsid w:val="00DF791E"/>
    <w:rsid w:val="00E1049B"/>
    <w:rsid w:val="00E41031"/>
    <w:rsid w:val="00E457B2"/>
    <w:rsid w:val="00E538D4"/>
    <w:rsid w:val="00E572EC"/>
    <w:rsid w:val="00E60A63"/>
    <w:rsid w:val="00E8271C"/>
    <w:rsid w:val="00E930BB"/>
    <w:rsid w:val="00EA6CAB"/>
    <w:rsid w:val="00EB39C7"/>
    <w:rsid w:val="00EC133B"/>
    <w:rsid w:val="00ED054F"/>
    <w:rsid w:val="00ED2173"/>
    <w:rsid w:val="00EE1C60"/>
    <w:rsid w:val="00EE4BC8"/>
    <w:rsid w:val="00EF522E"/>
    <w:rsid w:val="00EF787E"/>
    <w:rsid w:val="00F12515"/>
    <w:rsid w:val="00F1253E"/>
    <w:rsid w:val="00F14425"/>
    <w:rsid w:val="00F55058"/>
    <w:rsid w:val="00F57396"/>
    <w:rsid w:val="00F60C4B"/>
    <w:rsid w:val="00F80593"/>
    <w:rsid w:val="00F80B68"/>
    <w:rsid w:val="00F82BD2"/>
    <w:rsid w:val="00F85FCE"/>
    <w:rsid w:val="00F867A9"/>
    <w:rsid w:val="00F86C7C"/>
    <w:rsid w:val="00FA2370"/>
    <w:rsid w:val="00FA2550"/>
    <w:rsid w:val="00FC1D22"/>
    <w:rsid w:val="00FE5417"/>
    <w:rsid w:val="00FF0194"/>
    <w:rsid w:val="00FF68DD"/>
    <w:rsid w:val="0101120D"/>
    <w:rsid w:val="010F5C84"/>
    <w:rsid w:val="01123EE3"/>
    <w:rsid w:val="012454FB"/>
    <w:rsid w:val="01302E63"/>
    <w:rsid w:val="01314B9F"/>
    <w:rsid w:val="013704A0"/>
    <w:rsid w:val="015764CE"/>
    <w:rsid w:val="016016E0"/>
    <w:rsid w:val="016D7A35"/>
    <w:rsid w:val="01786622"/>
    <w:rsid w:val="01837C9A"/>
    <w:rsid w:val="01923182"/>
    <w:rsid w:val="01960F84"/>
    <w:rsid w:val="01962C60"/>
    <w:rsid w:val="01B758F7"/>
    <w:rsid w:val="01C25A15"/>
    <w:rsid w:val="01DD2AF6"/>
    <w:rsid w:val="01E95CE2"/>
    <w:rsid w:val="01EB39C7"/>
    <w:rsid w:val="01F86CF1"/>
    <w:rsid w:val="02401821"/>
    <w:rsid w:val="024963C0"/>
    <w:rsid w:val="024E62AE"/>
    <w:rsid w:val="02536E47"/>
    <w:rsid w:val="02600D2A"/>
    <w:rsid w:val="02624939"/>
    <w:rsid w:val="027260FE"/>
    <w:rsid w:val="028419BD"/>
    <w:rsid w:val="02847C14"/>
    <w:rsid w:val="02926309"/>
    <w:rsid w:val="029D49A5"/>
    <w:rsid w:val="02A37C5A"/>
    <w:rsid w:val="02B601F0"/>
    <w:rsid w:val="02B94E9A"/>
    <w:rsid w:val="02BB3A40"/>
    <w:rsid w:val="02BE0B79"/>
    <w:rsid w:val="02DD1E36"/>
    <w:rsid w:val="02DD57FF"/>
    <w:rsid w:val="02DF1E5D"/>
    <w:rsid w:val="02F61AEA"/>
    <w:rsid w:val="02FA0810"/>
    <w:rsid w:val="02FB5250"/>
    <w:rsid w:val="031712BB"/>
    <w:rsid w:val="03194855"/>
    <w:rsid w:val="03276548"/>
    <w:rsid w:val="033A633E"/>
    <w:rsid w:val="033C1E13"/>
    <w:rsid w:val="033E2870"/>
    <w:rsid w:val="0349070B"/>
    <w:rsid w:val="034E1EBD"/>
    <w:rsid w:val="03596D39"/>
    <w:rsid w:val="035E6E7D"/>
    <w:rsid w:val="035F337D"/>
    <w:rsid w:val="038511D2"/>
    <w:rsid w:val="03914286"/>
    <w:rsid w:val="03920D1B"/>
    <w:rsid w:val="03AD2F50"/>
    <w:rsid w:val="03D04B6F"/>
    <w:rsid w:val="03DC43AC"/>
    <w:rsid w:val="03E37BE6"/>
    <w:rsid w:val="03F54F0B"/>
    <w:rsid w:val="03FB13EF"/>
    <w:rsid w:val="03FB16BD"/>
    <w:rsid w:val="03FC3A05"/>
    <w:rsid w:val="03FE36CF"/>
    <w:rsid w:val="0406596F"/>
    <w:rsid w:val="0443136D"/>
    <w:rsid w:val="04472F89"/>
    <w:rsid w:val="044D283B"/>
    <w:rsid w:val="044F61FF"/>
    <w:rsid w:val="045357B2"/>
    <w:rsid w:val="04544188"/>
    <w:rsid w:val="045E229A"/>
    <w:rsid w:val="0481693C"/>
    <w:rsid w:val="048C2320"/>
    <w:rsid w:val="04973D1C"/>
    <w:rsid w:val="04B1760F"/>
    <w:rsid w:val="04BC63B8"/>
    <w:rsid w:val="04BE2442"/>
    <w:rsid w:val="04C57CA3"/>
    <w:rsid w:val="04C60286"/>
    <w:rsid w:val="04DA7216"/>
    <w:rsid w:val="04F50E71"/>
    <w:rsid w:val="04F90A9A"/>
    <w:rsid w:val="05067019"/>
    <w:rsid w:val="05277D03"/>
    <w:rsid w:val="053115EC"/>
    <w:rsid w:val="05317CD9"/>
    <w:rsid w:val="0539257B"/>
    <w:rsid w:val="0545116A"/>
    <w:rsid w:val="05462898"/>
    <w:rsid w:val="054D429C"/>
    <w:rsid w:val="054E2BB9"/>
    <w:rsid w:val="05580CD1"/>
    <w:rsid w:val="057F6ED0"/>
    <w:rsid w:val="058561BF"/>
    <w:rsid w:val="05882531"/>
    <w:rsid w:val="0590528A"/>
    <w:rsid w:val="05A32864"/>
    <w:rsid w:val="05C07ABF"/>
    <w:rsid w:val="05C16299"/>
    <w:rsid w:val="05C23C5E"/>
    <w:rsid w:val="05D3550C"/>
    <w:rsid w:val="05D61AEE"/>
    <w:rsid w:val="05DC3122"/>
    <w:rsid w:val="05EF1DD7"/>
    <w:rsid w:val="05F0227F"/>
    <w:rsid w:val="05FE3BBE"/>
    <w:rsid w:val="0600537A"/>
    <w:rsid w:val="06115778"/>
    <w:rsid w:val="061771CC"/>
    <w:rsid w:val="062147D0"/>
    <w:rsid w:val="062152F4"/>
    <w:rsid w:val="06223C70"/>
    <w:rsid w:val="06224A3B"/>
    <w:rsid w:val="06273311"/>
    <w:rsid w:val="062E2738"/>
    <w:rsid w:val="063765BC"/>
    <w:rsid w:val="06427209"/>
    <w:rsid w:val="064374A1"/>
    <w:rsid w:val="064E72F8"/>
    <w:rsid w:val="067223C7"/>
    <w:rsid w:val="067C1C6F"/>
    <w:rsid w:val="0680280A"/>
    <w:rsid w:val="068B203B"/>
    <w:rsid w:val="06B72FC7"/>
    <w:rsid w:val="06BA402D"/>
    <w:rsid w:val="06BD25F1"/>
    <w:rsid w:val="06C75610"/>
    <w:rsid w:val="06DE1475"/>
    <w:rsid w:val="06E22EE2"/>
    <w:rsid w:val="06F44B99"/>
    <w:rsid w:val="06FD1AA4"/>
    <w:rsid w:val="06FD339C"/>
    <w:rsid w:val="07025CF6"/>
    <w:rsid w:val="073A6EAA"/>
    <w:rsid w:val="073D4F2F"/>
    <w:rsid w:val="07446178"/>
    <w:rsid w:val="0778001D"/>
    <w:rsid w:val="078443F8"/>
    <w:rsid w:val="078920D1"/>
    <w:rsid w:val="078E4935"/>
    <w:rsid w:val="07A4109E"/>
    <w:rsid w:val="07A96703"/>
    <w:rsid w:val="07AA4F07"/>
    <w:rsid w:val="07B450A5"/>
    <w:rsid w:val="07B60851"/>
    <w:rsid w:val="07C04A62"/>
    <w:rsid w:val="07E50919"/>
    <w:rsid w:val="080700F4"/>
    <w:rsid w:val="08125174"/>
    <w:rsid w:val="081467ED"/>
    <w:rsid w:val="08167A7F"/>
    <w:rsid w:val="08210B80"/>
    <w:rsid w:val="083347FC"/>
    <w:rsid w:val="083A7657"/>
    <w:rsid w:val="083D726A"/>
    <w:rsid w:val="085606CA"/>
    <w:rsid w:val="085D0526"/>
    <w:rsid w:val="086130C5"/>
    <w:rsid w:val="08645A9B"/>
    <w:rsid w:val="086A66CD"/>
    <w:rsid w:val="08700EAC"/>
    <w:rsid w:val="087305D9"/>
    <w:rsid w:val="08742AD9"/>
    <w:rsid w:val="089C6CD2"/>
    <w:rsid w:val="08BD663C"/>
    <w:rsid w:val="08C3202E"/>
    <w:rsid w:val="08D242AF"/>
    <w:rsid w:val="090C3200"/>
    <w:rsid w:val="09135465"/>
    <w:rsid w:val="091F32C9"/>
    <w:rsid w:val="093926FD"/>
    <w:rsid w:val="093F64BC"/>
    <w:rsid w:val="09416001"/>
    <w:rsid w:val="094F5D0A"/>
    <w:rsid w:val="095E4611"/>
    <w:rsid w:val="095F3155"/>
    <w:rsid w:val="095F6FB2"/>
    <w:rsid w:val="097214F1"/>
    <w:rsid w:val="0974169D"/>
    <w:rsid w:val="09992C6A"/>
    <w:rsid w:val="09A11533"/>
    <w:rsid w:val="09B946FC"/>
    <w:rsid w:val="09BC0D14"/>
    <w:rsid w:val="09E308E7"/>
    <w:rsid w:val="09F2148F"/>
    <w:rsid w:val="0A03567D"/>
    <w:rsid w:val="0A077EF0"/>
    <w:rsid w:val="0A100A7B"/>
    <w:rsid w:val="0A237468"/>
    <w:rsid w:val="0A260166"/>
    <w:rsid w:val="0A2B4170"/>
    <w:rsid w:val="0A3C79E1"/>
    <w:rsid w:val="0A493328"/>
    <w:rsid w:val="0A4B52F2"/>
    <w:rsid w:val="0A530499"/>
    <w:rsid w:val="0A5329D6"/>
    <w:rsid w:val="0A737E4D"/>
    <w:rsid w:val="0A780C4E"/>
    <w:rsid w:val="0A7A2711"/>
    <w:rsid w:val="0AA231D3"/>
    <w:rsid w:val="0AA42BC0"/>
    <w:rsid w:val="0AB31060"/>
    <w:rsid w:val="0ABA3DA9"/>
    <w:rsid w:val="0ABF0425"/>
    <w:rsid w:val="0ADF0BEB"/>
    <w:rsid w:val="0AFE645C"/>
    <w:rsid w:val="0B0D6B46"/>
    <w:rsid w:val="0B0D7BC7"/>
    <w:rsid w:val="0B176F5D"/>
    <w:rsid w:val="0B2514B1"/>
    <w:rsid w:val="0B5E7645"/>
    <w:rsid w:val="0B710AD0"/>
    <w:rsid w:val="0B7B4D27"/>
    <w:rsid w:val="0B8C6D77"/>
    <w:rsid w:val="0B980163"/>
    <w:rsid w:val="0BB243B4"/>
    <w:rsid w:val="0BD27969"/>
    <w:rsid w:val="0BD800BE"/>
    <w:rsid w:val="0BE02CFA"/>
    <w:rsid w:val="0BF54555"/>
    <w:rsid w:val="0C0C383D"/>
    <w:rsid w:val="0C157DA3"/>
    <w:rsid w:val="0C1B7E61"/>
    <w:rsid w:val="0C1D1253"/>
    <w:rsid w:val="0C22193B"/>
    <w:rsid w:val="0C292971"/>
    <w:rsid w:val="0C436B0B"/>
    <w:rsid w:val="0C46688F"/>
    <w:rsid w:val="0C486E78"/>
    <w:rsid w:val="0C551DA5"/>
    <w:rsid w:val="0C56015E"/>
    <w:rsid w:val="0C572B04"/>
    <w:rsid w:val="0C6A5344"/>
    <w:rsid w:val="0C6C636B"/>
    <w:rsid w:val="0C6F05A0"/>
    <w:rsid w:val="0C84453E"/>
    <w:rsid w:val="0C9662B1"/>
    <w:rsid w:val="0CAA01A2"/>
    <w:rsid w:val="0CAF4634"/>
    <w:rsid w:val="0CB21DE9"/>
    <w:rsid w:val="0CB3512A"/>
    <w:rsid w:val="0CBE5BA3"/>
    <w:rsid w:val="0CCC0421"/>
    <w:rsid w:val="0CDE5638"/>
    <w:rsid w:val="0CEA5366"/>
    <w:rsid w:val="0CEB17EA"/>
    <w:rsid w:val="0CF23B49"/>
    <w:rsid w:val="0CFB3CCD"/>
    <w:rsid w:val="0D09715B"/>
    <w:rsid w:val="0D1D2451"/>
    <w:rsid w:val="0D3011F5"/>
    <w:rsid w:val="0D510805"/>
    <w:rsid w:val="0D53605B"/>
    <w:rsid w:val="0D592ECA"/>
    <w:rsid w:val="0D632DED"/>
    <w:rsid w:val="0D640B19"/>
    <w:rsid w:val="0D6A2CCD"/>
    <w:rsid w:val="0D797E15"/>
    <w:rsid w:val="0D9A43CC"/>
    <w:rsid w:val="0DBB226B"/>
    <w:rsid w:val="0DBF4474"/>
    <w:rsid w:val="0DC55BC8"/>
    <w:rsid w:val="0DD42871"/>
    <w:rsid w:val="0DE71040"/>
    <w:rsid w:val="0DE87CA7"/>
    <w:rsid w:val="0E0A5845"/>
    <w:rsid w:val="0E133FF3"/>
    <w:rsid w:val="0E147C75"/>
    <w:rsid w:val="0E1751F7"/>
    <w:rsid w:val="0E1A1A68"/>
    <w:rsid w:val="0E270E4A"/>
    <w:rsid w:val="0E2B7427"/>
    <w:rsid w:val="0E4E2AA1"/>
    <w:rsid w:val="0E5056D4"/>
    <w:rsid w:val="0E5F4A91"/>
    <w:rsid w:val="0E68759B"/>
    <w:rsid w:val="0E795312"/>
    <w:rsid w:val="0E7A0E17"/>
    <w:rsid w:val="0E7A2637"/>
    <w:rsid w:val="0EAB0735"/>
    <w:rsid w:val="0EAC39DF"/>
    <w:rsid w:val="0EB324A0"/>
    <w:rsid w:val="0EB41430"/>
    <w:rsid w:val="0EB93C5A"/>
    <w:rsid w:val="0EC1142E"/>
    <w:rsid w:val="0EC64C62"/>
    <w:rsid w:val="0ECA11EF"/>
    <w:rsid w:val="0EE36F59"/>
    <w:rsid w:val="0EF10E35"/>
    <w:rsid w:val="0EF7275C"/>
    <w:rsid w:val="0F0760FC"/>
    <w:rsid w:val="0F183AC1"/>
    <w:rsid w:val="0F24409B"/>
    <w:rsid w:val="0F251FF6"/>
    <w:rsid w:val="0F252E34"/>
    <w:rsid w:val="0F355E13"/>
    <w:rsid w:val="0F40657C"/>
    <w:rsid w:val="0F4254B2"/>
    <w:rsid w:val="0F5C6ED8"/>
    <w:rsid w:val="0F82502B"/>
    <w:rsid w:val="0F8A77DF"/>
    <w:rsid w:val="0FC254E9"/>
    <w:rsid w:val="0FCE567D"/>
    <w:rsid w:val="0FD1320E"/>
    <w:rsid w:val="0FE03B37"/>
    <w:rsid w:val="0FEC2057"/>
    <w:rsid w:val="1001506C"/>
    <w:rsid w:val="100200AE"/>
    <w:rsid w:val="101164DD"/>
    <w:rsid w:val="1012456A"/>
    <w:rsid w:val="102204B2"/>
    <w:rsid w:val="104C6916"/>
    <w:rsid w:val="105646AF"/>
    <w:rsid w:val="10692479"/>
    <w:rsid w:val="106E0039"/>
    <w:rsid w:val="106F295D"/>
    <w:rsid w:val="10967B27"/>
    <w:rsid w:val="1098442B"/>
    <w:rsid w:val="10B03F5B"/>
    <w:rsid w:val="10C0087D"/>
    <w:rsid w:val="10C8458D"/>
    <w:rsid w:val="10CC0754"/>
    <w:rsid w:val="10D3649B"/>
    <w:rsid w:val="10FA1E68"/>
    <w:rsid w:val="10FC214A"/>
    <w:rsid w:val="111E017F"/>
    <w:rsid w:val="11263518"/>
    <w:rsid w:val="1129507F"/>
    <w:rsid w:val="11345D29"/>
    <w:rsid w:val="113D1D6A"/>
    <w:rsid w:val="11553400"/>
    <w:rsid w:val="115721E5"/>
    <w:rsid w:val="11635F73"/>
    <w:rsid w:val="116D5BC7"/>
    <w:rsid w:val="1170054B"/>
    <w:rsid w:val="117244A2"/>
    <w:rsid w:val="118959F3"/>
    <w:rsid w:val="118F633E"/>
    <w:rsid w:val="11AA0FCC"/>
    <w:rsid w:val="11AC77BE"/>
    <w:rsid w:val="11C348FB"/>
    <w:rsid w:val="11CB7268"/>
    <w:rsid w:val="11DF68B3"/>
    <w:rsid w:val="11EF12DC"/>
    <w:rsid w:val="11F5691E"/>
    <w:rsid w:val="11F7700D"/>
    <w:rsid w:val="11FD30F3"/>
    <w:rsid w:val="11FE58F5"/>
    <w:rsid w:val="12113633"/>
    <w:rsid w:val="121958E0"/>
    <w:rsid w:val="12361DCD"/>
    <w:rsid w:val="123D6D1B"/>
    <w:rsid w:val="12697B60"/>
    <w:rsid w:val="127330F8"/>
    <w:rsid w:val="127E73FF"/>
    <w:rsid w:val="128A4AA3"/>
    <w:rsid w:val="129D4ED3"/>
    <w:rsid w:val="129E3ECC"/>
    <w:rsid w:val="12A01CD0"/>
    <w:rsid w:val="12A04F61"/>
    <w:rsid w:val="12A3778D"/>
    <w:rsid w:val="12A96327"/>
    <w:rsid w:val="12AE54F9"/>
    <w:rsid w:val="12B22477"/>
    <w:rsid w:val="12C54323"/>
    <w:rsid w:val="12D126FC"/>
    <w:rsid w:val="12D13D87"/>
    <w:rsid w:val="12DE1771"/>
    <w:rsid w:val="12EA4C66"/>
    <w:rsid w:val="12FD6174"/>
    <w:rsid w:val="13074296"/>
    <w:rsid w:val="13090D90"/>
    <w:rsid w:val="130C5DB7"/>
    <w:rsid w:val="131D6617"/>
    <w:rsid w:val="132E5E11"/>
    <w:rsid w:val="13351A39"/>
    <w:rsid w:val="13367FD5"/>
    <w:rsid w:val="13390ED6"/>
    <w:rsid w:val="13442EAC"/>
    <w:rsid w:val="135860A4"/>
    <w:rsid w:val="136865B9"/>
    <w:rsid w:val="136B2BD4"/>
    <w:rsid w:val="13786E90"/>
    <w:rsid w:val="13806D69"/>
    <w:rsid w:val="138256C6"/>
    <w:rsid w:val="139916A7"/>
    <w:rsid w:val="139F1796"/>
    <w:rsid w:val="13AC30E2"/>
    <w:rsid w:val="13AC58A6"/>
    <w:rsid w:val="13B83866"/>
    <w:rsid w:val="13BC2A88"/>
    <w:rsid w:val="13C20A2B"/>
    <w:rsid w:val="13CE7686"/>
    <w:rsid w:val="13E1002D"/>
    <w:rsid w:val="13EB0170"/>
    <w:rsid w:val="13FD6069"/>
    <w:rsid w:val="13FF2EF8"/>
    <w:rsid w:val="14000696"/>
    <w:rsid w:val="14117A67"/>
    <w:rsid w:val="141B10AA"/>
    <w:rsid w:val="142119D3"/>
    <w:rsid w:val="14333D45"/>
    <w:rsid w:val="143F36CF"/>
    <w:rsid w:val="14433DDB"/>
    <w:rsid w:val="144647D2"/>
    <w:rsid w:val="144664D9"/>
    <w:rsid w:val="14474FC2"/>
    <w:rsid w:val="144C18C6"/>
    <w:rsid w:val="144C7460"/>
    <w:rsid w:val="146662A4"/>
    <w:rsid w:val="147F6476"/>
    <w:rsid w:val="14A65E62"/>
    <w:rsid w:val="14AB283E"/>
    <w:rsid w:val="14B440DD"/>
    <w:rsid w:val="14C77BC5"/>
    <w:rsid w:val="14ED0281"/>
    <w:rsid w:val="14F1299A"/>
    <w:rsid w:val="14FB1298"/>
    <w:rsid w:val="1504153B"/>
    <w:rsid w:val="150655C8"/>
    <w:rsid w:val="150D0641"/>
    <w:rsid w:val="15251808"/>
    <w:rsid w:val="15335853"/>
    <w:rsid w:val="15436B7F"/>
    <w:rsid w:val="1557177B"/>
    <w:rsid w:val="156F462A"/>
    <w:rsid w:val="15735366"/>
    <w:rsid w:val="158E6F24"/>
    <w:rsid w:val="159E02FC"/>
    <w:rsid w:val="15AB0592"/>
    <w:rsid w:val="15B674B5"/>
    <w:rsid w:val="15BE7440"/>
    <w:rsid w:val="15C83EC8"/>
    <w:rsid w:val="15CB00FA"/>
    <w:rsid w:val="15CB25B0"/>
    <w:rsid w:val="15E8018C"/>
    <w:rsid w:val="15EE29DC"/>
    <w:rsid w:val="16010E00"/>
    <w:rsid w:val="1619419C"/>
    <w:rsid w:val="16630E41"/>
    <w:rsid w:val="166F0EEC"/>
    <w:rsid w:val="1674275A"/>
    <w:rsid w:val="167D6BDA"/>
    <w:rsid w:val="1683244F"/>
    <w:rsid w:val="16A52B00"/>
    <w:rsid w:val="16AD421B"/>
    <w:rsid w:val="16B45459"/>
    <w:rsid w:val="16C16798"/>
    <w:rsid w:val="16CE54DD"/>
    <w:rsid w:val="16E9504F"/>
    <w:rsid w:val="16F013D7"/>
    <w:rsid w:val="16F728F4"/>
    <w:rsid w:val="17022CA5"/>
    <w:rsid w:val="1704068D"/>
    <w:rsid w:val="171D2151"/>
    <w:rsid w:val="172860FC"/>
    <w:rsid w:val="173064F7"/>
    <w:rsid w:val="17381AD0"/>
    <w:rsid w:val="173C1E3C"/>
    <w:rsid w:val="17836919"/>
    <w:rsid w:val="17857CCF"/>
    <w:rsid w:val="17972953"/>
    <w:rsid w:val="1799165E"/>
    <w:rsid w:val="179C0A4B"/>
    <w:rsid w:val="17A31760"/>
    <w:rsid w:val="17B72607"/>
    <w:rsid w:val="17C043D3"/>
    <w:rsid w:val="17C552A3"/>
    <w:rsid w:val="17D042FA"/>
    <w:rsid w:val="17D32CEC"/>
    <w:rsid w:val="17D922D0"/>
    <w:rsid w:val="17EF7B4C"/>
    <w:rsid w:val="17F709FB"/>
    <w:rsid w:val="180919EC"/>
    <w:rsid w:val="181356D2"/>
    <w:rsid w:val="181477F3"/>
    <w:rsid w:val="18174EAA"/>
    <w:rsid w:val="18340735"/>
    <w:rsid w:val="1837766E"/>
    <w:rsid w:val="184F2096"/>
    <w:rsid w:val="185E7333"/>
    <w:rsid w:val="185F335E"/>
    <w:rsid w:val="18681E00"/>
    <w:rsid w:val="18A215B6"/>
    <w:rsid w:val="18AA2D8C"/>
    <w:rsid w:val="18B05E43"/>
    <w:rsid w:val="18C45B2F"/>
    <w:rsid w:val="18C8039B"/>
    <w:rsid w:val="18FC1315"/>
    <w:rsid w:val="1919281A"/>
    <w:rsid w:val="191A3BC0"/>
    <w:rsid w:val="191C7050"/>
    <w:rsid w:val="1925660D"/>
    <w:rsid w:val="192F7D35"/>
    <w:rsid w:val="19373F42"/>
    <w:rsid w:val="193A50D8"/>
    <w:rsid w:val="1956387B"/>
    <w:rsid w:val="195F107D"/>
    <w:rsid w:val="19676AD2"/>
    <w:rsid w:val="19783A5D"/>
    <w:rsid w:val="19A61F92"/>
    <w:rsid w:val="19B96ABA"/>
    <w:rsid w:val="19E0406B"/>
    <w:rsid w:val="1A1348D0"/>
    <w:rsid w:val="1A154ADD"/>
    <w:rsid w:val="1A1A6552"/>
    <w:rsid w:val="1A272049"/>
    <w:rsid w:val="1A2C4433"/>
    <w:rsid w:val="1A2D77B6"/>
    <w:rsid w:val="1A2E73FC"/>
    <w:rsid w:val="1A33585B"/>
    <w:rsid w:val="1A421ACB"/>
    <w:rsid w:val="1A441B02"/>
    <w:rsid w:val="1A57209E"/>
    <w:rsid w:val="1A59771C"/>
    <w:rsid w:val="1A820FE9"/>
    <w:rsid w:val="1A8C56ED"/>
    <w:rsid w:val="1A96076B"/>
    <w:rsid w:val="1A981821"/>
    <w:rsid w:val="1AB203C7"/>
    <w:rsid w:val="1AD308DF"/>
    <w:rsid w:val="1AD97EC1"/>
    <w:rsid w:val="1ADE31AF"/>
    <w:rsid w:val="1AF22B08"/>
    <w:rsid w:val="1B126ACA"/>
    <w:rsid w:val="1B2B3386"/>
    <w:rsid w:val="1B2D2811"/>
    <w:rsid w:val="1B3A7370"/>
    <w:rsid w:val="1B513497"/>
    <w:rsid w:val="1B5E4068"/>
    <w:rsid w:val="1B5F6677"/>
    <w:rsid w:val="1B610028"/>
    <w:rsid w:val="1B672A6B"/>
    <w:rsid w:val="1B6B01FA"/>
    <w:rsid w:val="1B7F7D26"/>
    <w:rsid w:val="1B881349"/>
    <w:rsid w:val="1B8D1123"/>
    <w:rsid w:val="1B976032"/>
    <w:rsid w:val="1B9C7AA0"/>
    <w:rsid w:val="1BAA3C13"/>
    <w:rsid w:val="1BC17B2C"/>
    <w:rsid w:val="1BC33C2A"/>
    <w:rsid w:val="1BC97D7E"/>
    <w:rsid w:val="1BE52D47"/>
    <w:rsid w:val="1BF461B5"/>
    <w:rsid w:val="1C1D1064"/>
    <w:rsid w:val="1C1D3857"/>
    <w:rsid w:val="1C1D5322"/>
    <w:rsid w:val="1C237F8A"/>
    <w:rsid w:val="1C3F5440"/>
    <w:rsid w:val="1C5802B6"/>
    <w:rsid w:val="1C6D06EF"/>
    <w:rsid w:val="1C736161"/>
    <w:rsid w:val="1C7E38E8"/>
    <w:rsid w:val="1C826373"/>
    <w:rsid w:val="1C9E7B71"/>
    <w:rsid w:val="1CA0425F"/>
    <w:rsid w:val="1CA1788A"/>
    <w:rsid w:val="1CA41430"/>
    <w:rsid w:val="1CAC42E8"/>
    <w:rsid w:val="1CBF22F0"/>
    <w:rsid w:val="1CD554CB"/>
    <w:rsid w:val="1CE471BB"/>
    <w:rsid w:val="1CFC17D6"/>
    <w:rsid w:val="1D015A0A"/>
    <w:rsid w:val="1D056B62"/>
    <w:rsid w:val="1D0A3DC3"/>
    <w:rsid w:val="1D0B7AE9"/>
    <w:rsid w:val="1D0F2D10"/>
    <w:rsid w:val="1D134B7F"/>
    <w:rsid w:val="1D1B2C0C"/>
    <w:rsid w:val="1D243D07"/>
    <w:rsid w:val="1D256372"/>
    <w:rsid w:val="1D2E040C"/>
    <w:rsid w:val="1D387FE0"/>
    <w:rsid w:val="1D416F47"/>
    <w:rsid w:val="1D420F3D"/>
    <w:rsid w:val="1D42512B"/>
    <w:rsid w:val="1D4535D8"/>
    <w:rsid w:val="1D482D16"/>
    <w:rsid w:val="1D496948"/>
    <w:rsid w:val="1D4A418A"/>
    <w:rsid w:val="1D4D5675"/>
    <w:rsid w:val="1D555A4A"/>
    <w:rsid w:val="1D5B209E"/>
    <w:rsid w:val="1D5E2335"/>
    <w:rsid w:val="1D75108C"/>
    <w:rsid w:val="1D80319F"/>
    <w:rsid w:val="1D8304CB"/>
    <w:rsid w:val="1D877909"/>
    <w:rsid w:val="1D8A0EFB"/>
    <w:rsid w:val="1D962BF5"/>
    <w:rsid w:val="1D9E40E2"/>
    <w:rsid w:val="1DAB4B9D"/>
    <w:rsid w:val="1DB31312"/>
    <w:rsid w:val="1DB579C7"/>
    <w:rsid w:val="1DBA6EF0"/>
    <w:rsid w:val="1DBB1B4F"/>
    <w:rsid w:val="1DBF731C"/>
    <w:rsid w:val="1DC32310"/>
    <w:rsid w:val="1DD358A7"/>
    <w:rsid w:val="1DD710BB"/>
    <w:rsid w:val="1DE174CD"/>
    <w:rsid w:val="1DE8445B"/>
    <w:rsid w:val="1DFD36A5"/>
    <w:rsid w:val="1E046D85"/>
    <w:rsid w:val="1E5545D5"/>
    <w:rsid w:val="1E6731AD"/>
    <w:rsid w:val="1E731F00"/>
    <w:rsid w:val="1E824347"/>
    <w:rsid w:val="1E84751F"/>
    <w:rsid w:val="1EA0271B"/>
    <w:rsid w:val="1EC12445"/>
    <w:rsid w:val="1EC26412"/>
    <w:rsid w:val="1EE57BF2"/>
    <w:rsid w:val="1EF50E5D"/>
    <w:rsid w:val="1EF9340F"/>
    <w:rsid w:val="1EFB38EC"/>
    <w:rsid w:val="1F0743AF"/>
    <w:rsid w:val="1F08437A"/>
    <w:rsid w:val="1F1743A2"/>
    <w:rsid w:val="1F2038F4"/>
    <w:rsid w:val="1F2A1B1E"/>
    <w:rsid w:val="1F2A6228"/>
    <w:rsid w:val="1F2B196D"/>
    <w:rsid w:val="1F3677D1"/>
    <w:rsid w:val="1F3E75A4"/>
    <w:rsid w:val="1F45217B"/>
    <w:rsid w:val="1F5D6EC7"/>
    <w:rsid w:val="1F663CDB"/>
    <w:rsid w:val="1F6876DE"/>
    <w:rsid w:val="1F754AAB"/>
    <w:rsid w:val="1F81028D"/>
    <w:rsid w:val="1F873067"/>
    <w:rsid w:val="1F975E0F"/>
    <w:rsid w:val="1F995456"/>
    <w:rsid w:val="1F9E70FE"/>
    <w:rsid w:val="1FA03C7B"/>
    <w:rsid w:val="1FA750B0"/>
    <w:rsid w:val="1FAA30B7"/>
    <w:rsid w:val="1FB24EA2"/>
    <w:rsid w:val="1FCB5DC9"/>
    <w:rsid w:val="1FE4605A"/>
    <w:rsid w:val="1FE92D66"/>
    <w:rsid w:val="1FF43B34"/>
    <w:rsid w:val="20167B04"/>
    <w:rsid w:val="20260BEF"/>
    <w:rsid w:val="20376567"/>
    <w:rsid w:val="203B4D45"/>
    <w:rsid w:val="203B561D"/>
    <w:rsid w:val="20461FBF"/>
    <w:rsid w:val="20484EBF"/>
    <w:rsid w:val="20563065"/>
    <w:rsid w:val="205750D4"/>
    <w:rsid w:val="20627668"/>
    <w:rsid w:val="208E70EB"/>
    <w:rsid w:val="20935CA1"/>
    <w:rsid w:val="20981753"/>
    <w:rsid w:val="209D2990"/>
    <w:rsid w:val="20B05CF0"/>
    <w:rsid w:val="20B56DBF"/>
    <w:rsid w:val="20B713C1"/>
    <w:rsid w:val="20C94C17"/>
    <w:rsid w:val="20D07D18"/>
    <w:rsid w:val="20D919AA"/>
    <w:rsid w:val="20DC0CA1"/>
    <w:rsid w:val="20DE32C3"/>
    <w:rsid w:val="21016E9B"/>
    <w:rsid w:val="21122E29"/>
    <w:rsid w:val="21216660"/>
    <w:rsid w:val="21231D50"/>
    <w:rsid w:val="212F6DC8"/>
    <w:rsid w:val="215033E0"/>
    <w:rsid w:val="215D392C"/>
    <w:rsid w:val="216F0BAB"/>
    <w:rsid w:val="217F0A2A"/>
    <w:rsid w:val="218806D0"/>
    <w:rsid w:val="21923E99"/>
    <w:rsid w:val="21970A5B"/>
    <w:rsid w:val="219914DD"/>
    <w:rsid w:val="219B2B22"/>
    <w:rsid w:val="219B5025"/>
    <w:rsid w:val="21AC3F7C"/>
    <w:rsid w:val="21B31C5A"/>
    <w:rsid w:val="21B65635"/>
    <w:rsid w:val="21B71B4C"/>
    <w:rsid w:val="21B80BA9"/>
    <w:rsid w:val="21CB7578"/>
    <w:rsid w:val="21D03BF5"/>
    <w:rsid w:val="221B1EE2"/>
    <w:rsid w:val="222332A3"/>
    <w:rsid w:val="222A7BAD"/>
    <w:rsid w:val="22482265"/>
    <w:rsid w:val="224A474B"/>
    <w:rsid w:val="22510A68"/>
    <w:rsid w:val="22565C98"/>
    <w:rsid w:val="226B5441"/>
    <w:rsid w:val="2284454A"/>
    <w:rsid w:val="228945A4"/>
    <w:rsid w:val="228A288D"/>
    <w:rsid w:val="2294460F"/>
    <w:rsid w:val="22AC7C65"/>
    <w:rsid w:val="22CB38C3"/>
    <w:rsid w:val="22DB0FF0"/>
    <w:rsid w:val="22DF68BF"/>
    <w:rsid w:val="22DF7735"/>
    <w:rsid w:val="22F10FE4"/>
    <w:rsid w:val="23031792"/>
    <w:rsid w:val="230F3024"/>
    <w:rsid w:val="232B13D0"/>
    <w:rsid w:val="232C32F1"/>
    <w:rsid w:val="233337ED"/>
    <w:rsid w:val="233C3FC0"/>
    <w:rsid w:val="2345638E"/>
    <w:rsid w:val="23483903"/>
    <w:rsid w:val="236316B6"/>
    <w:rsid w:val="2368221B"/>
    <w:rsid w:val="2379658D"/>
    <w:rsid w:val="238974EC"/>
    <w:rsid w:val="239446C7"/>
    <w:rsid w:val="23A442CA"/>
    <w:rsid w:val="23A978EA"/>
    <w:rsid w:val="23AA07BA"/>
    <w:rsid w:val="23C76329"/>
    <w:rsid w:val="23CC77D4"/>
    <w:rsid w:val="23D23D17"/>
    <w:rsid w:val="23DB1BEE"/>
    <w:rsid w:val="23FB43E8"/>
    <w:rsid w:val="23FC2E22"/>
    <w:rsid w:val="23FE6796"/>
    <w:rsid w:val="24044F29"/>
    <w:rsid w:val="24096EE3"/>
    <w:rsid w:val="240C0BD6"/>
    <w:rsid w:val="24207F55"/>
    <w:rsid w:val="24363FDB"/>
    <w:rsid w:val="244111A6"/>
    <w:rsid w:val="24467304"/>
    <w:rsid w:val="245B5F22"/>
    <w:rsid w:val="245D3792"/>
    <w:rsid w:val="2470523C"/>
    <w:rsid w:val="24900584"/>
    <w:rsid w:val="24995CE5"/>
    <w:rsid w:val="249C3BA7"/>
    <w:rsid w:val="24A3468D"/>
    <w:rsid w:val="24A50E35"/>
    <w:rsid w:val="24A80742"/>
    <w:rsid w:val="24AE14ED"/>
    <w:rsid w:val="24AE46EE"/>
    <w:rsid w:val="24DC3BA6"/>
    <w:rsid w:val="24DD441F"/>
    <w:rsid w:val="24E468AF"/>
    <w:rsid w:val="24E60F41"/>
    <w:rsid w:val="24ED736D"/>
    <w:rsid w:val="24F004A7"/>
    <w:rsid w:val="251A3861"/>
    <w:rsid w:val="25222C4B"/>
    <w:rsid w:val="2529571F"/>
    <w:rsid w:val="25412EE2"/>
    <w:rsid w:val="25475BE8"/>
    <w:rsid w:val="254D68FC"/>
    <w:rsid w:val="254F3DCD"/>
    <w:rsid w:val="255C14F8"/>
    <w:rsid w:val="25864AA4"/>
    <w:rsid w:val="25A468BD"/>
    <w:rsid w:val="25B245A2"/>
    <w:rsid w:val="25BC6BB6"/>
    <w:rsid w:val="25C61076"/>
    <w:rsid w:val="25D129BB"/>
    <w:rsid w:val="25D16C3C"/>
    <w:rsid w:val="25DA3F2D"/>
    <w:rsid w:val="25E07FA9"/>
    <w:rsid w:val="25E34202"/>
    <w:rsid w:val="25F0719D"/>
    <w:rsid w:val="26007270"/>
    <w:rsid w:val="26105C83"/>
    <w:rsid w:val="26193492"/>
    <w:rsid w:val="261E2FF8"/>
    <w:rsid w:val="26235025"/>
    <w:rsid w:val="2624692E"/>
    <w:rsid w:val="26273838"/>
    <w:rsid w:val="262E5BAD"/>
    <w:rsid w:val="263B4758"/>
    <w:rsid w:val="264C4D2D"/>
    <w:rsid w:val="264F408E"/>
    <w:rsid w:val="2656162C"/>
    <w:rsid w:val="26564187"/>
    <w:rsid w:val="266254DD"/>
    <w:rsid w:val="268E5189"/>
    <w:rsid w:val="26A95582"/>
    <w:rsid w:val="26C46967"/>
    <w:rsid w:val="26D24700"/>
    <w:rsid w:val="26D40EA4"/>
    <w:rsid w:val="26D73D67"/>
    <w:rsid w:val="26E31E53"/>
    <w:rsid w:val="26EB1F97"/>
    <w:rsid w:val="26F25240"/>
    <w:rsid w:val="26F325CD"/>
    <w:rsid w:val="26F4123E"/>
    <w:rsid w:val="271A345C"/>
    <w:rsid w:val="272075C8"/>
    <w:rsid w:val="273E48E9"/>
    <w:rsid w:val="27442DC6"/>
    <w:rsid w:val="274445F6"/>
    <w:rsid w:val="27713B29"/>
    <w:rsid w:val="27740C69"/>
    <w:rsid w:val="277D2645"/>
    <w:rsid w:val="27825C97"/>
    <w:rsid w:val="27872542"/>
    <w:rsid w:val="278C23C9"/>
    <w:rsid w:val="278F6CC9"/>
    <w:rsid w:val="279952A2"/>
    <w:rsid w:val="27A64D71"/>
    <w:rsid w:val="27B22B23"/>
    <w:rsid w:val="27B51FFD"/>
    <w:rsid w:val="27B75CBB"/>
    <w:rsid w:val="27C22679"/>
    <w:rsid w:val="27C825E9"/>
    <w:rsid w:val="280E175D"/>
    <w:rsid w:val="281136FE"/>
    <w:rsid w:val="282C3E21"/>
    <w:rsid w:val="284C6956"/>
    <w:rsid w:val="284D08DA"/>
    <w:rsid w:val="286F1407"/>
    <w:rsid w:val="287C7E0D"/>
    <w:rsid w:val="28806713"/>
    <w:rsid w:val="28811A49"/>
    <w:rsid w:val="28845F38"/>
    <w:rsid w:val="288E6E63"/>
    <w:rsid w:val="28A44441"/>
    <w:rsid w:val="28A824FA"/>
    <w:rsid w:val="28C076B7"/>
    <w:rsid w:val="28C22657"/>
    <w:rsid w:val="28CA0C10"/>
    <w:rsid w:val="28CA5FBE"/>
    <w:rsid w:val="28D50CFC"/>
    <w:rsid w:val="28D70CDE"/>
    <w:rsid w:val="28DB7E30"/>
    <w:rsid w:val="28DC01B2"/>
    <w:rsid w:val="28EA31B4"/>
    <w:rsid w:val="28EF053D"/>
    <w:rsid w:val="28FA785C"/>
    <w:rsid w:val="2903406B"/>
    <w:rsid w:val="290D7D63"/>
    <w:rsid w:val="29234968"/>
    <w:rsid w:val="29261F0A"/>
    <w:rsid w:val="29391733"/>
    <w:rsid w:val="29476320"/>
    <w:rsid w:val="29491847"/>
    <w:rsid w:val="294C085E"/>
    <w:rsid w:val="29575406"/>
    <w:rsid w:val="297662E4"/>
    <w:rsid w:val="298458C2"/>
    <w:rsid w:val="29931FBE"/>
    <w:rsid w:val="29975FE1"/>
    <w:rsid w:val="29B2282C"/>
    <w:rsid w:val="29BB422E"/>
    <w:rsid w:val="29C754E3"/>
    <w:rsid w:val="29FD1A4C"/>
    <w:rsid w:val="2A147900"/>
    <w:rsid w:val="2A1675F7"/>
    <w:rsid w:val="2A243285"/>
    <w:rsid w:val="2A367C58"/>
    <w:rsid w:val="2A380E0A"/>
    <w:rsid w:val="2A50038F"/>
    <w:rsid w:val="2A5D7C87"/>
    <w:rsid w:val="2A790577"/>
    <w:rsid w:val="2A8D3356"/>
    <w:rsid w:val="2A98788F"/>
    <w:rsid w:val="2A9B14DD"/>
    <w:rsid w:val="2AAF49F4"/>
    <w:rsid w:val="2ABB08BC"/>
    <w:rsid w:val="2AD3463E"/>
    <w:rsid w:val="2AE8033D"/>
    <w:rsid w:val="2AF22940"/>
    <w:rsid w:val="2AF25A7E"/>
    <w:rsid w:val="2B054E53"/>
    <w:rsid w:val="2B2E6AF0"/>
    <w:rsid w:val="2B321E5F"/>
    <w:rsid w:val="2B403F0C"/>
    <w:rsid w:val="2B44622A"/>
    <w:rsid w:val="2B4664BF"/>
    <w:rsid w:val="2B491542"/>
    <w:rsid w:val="2B4A5D47"/>
    <w:rsid w:val="2B4B77FA"/>
    <w:rsid w:val="2B566850"/>
    <w:rsid w:val="2B68461C"/>
    <w:rsid w:val="2B735BCD"/>
    <w:rsid w:val="2B750899"/>
    <w:rsid w:val="2B8E4B9C"/>
    <w:rsid w:val="2B971C74"/>
    <w:rsid w:val="2B9E2D85"/>
    <w:rsid w:val="2BA846A7"/>
    <w:rsid w:val="2BB0101B"/>
    <w:rsid w:val="2BC26B8B"/>
    <w:rsid w:val="2BD17F86"/>
    <w:rsid w:val="2BEA777D"/>
    <w:rsid w:val="2C0B2CE3"/>
    <w:rsid w:val="2C134912"/>
    <w:rsid w:val="2C194C19"/>
    <w:rsid w:val="2C271FB9"/>
    <w:rsid w:val="2C2D41C2"/>
    <w:rsid w:val="2C2E2385"/>
    <w:rsid w:val="2C30011D"/>
    <w:rsid w:val="2C440881"/>
    <w:rsid w:val="2C661377"/>
    <w:rsid w:val="2C6A44E3"/>
    <w:rsid w:val="2C6F2603"/>
    <w:rsid w:val="2C81158C"/>
    <w:rsid w:val="2C881C1C"/>
    <w:rsid w:val="2C8C0A42"/>
    <w:rsid w:val="2C927247"/>
    <w:rsid w:val="2C996294"/>
    <w:rsid w:val="2CA1730E"/>
    <w:rsid w:val="2CB41A5D"/>
    <w:rsid w:val="2CB6549F"/>
    <w:rsid w:val="2CC347C0"/>
    <w:rsid w:val="2CC720B6"/>
    <w:rsid w:val="2CC745AA"/>
    <w:rsid w:val="2CDA5F4A"/>
    <w:rsid w:val="2CEF13CC"/>
    <w:rsid w:val="2CF50B5D"/>
    <w:rsid w:val="2D053A62"/>
    <w:rsid w:val="2D113516"/>
    <w:rsid w:val="2D1655F5"/>
    <w:rsid w:val="2D196ADD"/>
    <w:rsid w:val="2D1A6BF4"/>
    <w:rsid w:val="2D1B239C"/>
    <w:rsid w:val="2D1D08AC"/>
    <w:rsid w:val="2D2304ED"/>
    <w:rsid w:val="2D287C52"/>
    <w:rsid w:val="2D346B74"/>
    <w:rsid w:val="2D3B28E5"/>
    <w:rsid w:val="2D427C8D"/>
    <w:rsid w:val="2D5079B5"/>
    <w:rsid w:val="2D577BB3"/>
    <w:rsid w:val="2D663E5C"/>
    <w:rsid w:val="2D6F10E3"/>
    <w:rsid w:val="2D9B177E"/>
    <w:rsid w:val="2DB14049"/>
    <w:rsid w:val="2DB80C0F"/>
    <w:rsid w:val="2DBC4BA2"/>
    <w:rsid w:val="2DD022A9"/>
    <w:rsid w:val="2DD768D1"/>
    <w:rsid w:val="2DF04A41"/>
    <w:rsid w:val="2E034694"/>
    <w:rsid w:val="2E0D6925"/>
    <w:rsid w:val="2E1930D1"/>
    <w:rsid w:val="2E1D6791"/>
    <w:rsid w:val="2E3363E4"/>
    <w:rsid w:val="2E4E0895"/>
    <w:rsid w:val="2E5A35FF"/>
    <w:rsid w:val="2E701F7D"/>
    <w:rsid w:val="2E722F28"/>
    <w:rsid w:val="2E83176C"/>
    <w:rsid w:val="2E8374E6"/>
    <w:rsid w:val="2E84251C"/>
    <w:rsid w:val="2ECB7C47"/>
    <w:rsid w:val="2ECD2776"/>
    <w:rsid w:val="2EE36909"/>
    <w:rsid w:val="2EE648E0"/>
    <w:rsid w:val="2EF140EB"/>
    <w:rsid w:val="2F045C8E"/>
    <w:rsid w:val="2F094205"/>
    <w:rsid w:val="2F174308"/>
    <w:rsid w:val="2F1931C6"/>
    <w:rsid w:val="2F1A177F"/>
    <w:rsid w:val="2F1D325E"/>
    <w:rsid w:val="2F27608E"/>
    <w:rsid w:val="2F3B3F54"/>
    <w:rsid w:val="2F3E29D3"/>
    <w:rsid w:val="2F4C0CB3"/>
    <w:rsid w:val="2F5D6A34"/>
    <w:rsid w:val="2F5E44FA"/>
    <w:rsid w:val="2F6419CF"/>
    <w:rsid w:val="2F675B02"/>
    <w:rsid w:val="2F6817BF"/>
    <w:rsid w:val="2F70131C"/>
    <w:rsid w:val="2F703039"/>
    <w:rsid w:val="2F704D57"/>
    <w:rsid w:val="2F724332"/>
    <w:rsid w:val="2F797C10"/>
    <w:rsid w:val="2F7E5B99"/>
    <w:rsid w:val="2F90416A"/>
    <w:rsid w:val="2FA17048"/>
    <w:rsid w:val="2FC727C9"/>
    <w:rsid w:val="300141B5"/>
    <w:rsid w:val="30027350"/>
    <w:rsid w:val="300B1729"/>
    <w:rsid w:val="300E5CEA"/>
    <w:rsid w:val="30123745"/>
    <w:rsid w:val="301630B1"/>
    <w:rsid w:val="3019590C"/>
    <w:rsid w:val="301D12AB"/>
    <w:rsid w:val="30376EED"/>
    <w:rsid w:val="303D1FBC"/>
    <w:rsid w:val="304441A1"/>
    <w:rsid w:val="30547203"/>
    <w:rsid w:val="305D0F64"/>
    <w:rsid w:val="307166AE"/>
    <w:rsid w:val="308A0AF1"/>
    <w:rsid w:val="30940A4D"/>
    <w:rsid w:val="30960B6E"/>
    <w:rsid w:val="30982AF4"/>
    <w:rsid w:val="30A07EBA"/>
    <w:rsid w:val="30A632F8"/>
    <w:rsid w:val="30AA4BC9"/>
    <w:rsid w:val="30B81683"/>
    <w:rsid w:val="30BA34DB"/>
    <w:rsid w:val="30BC7FB1"/>
    <w:rsid w:val="30BE77A5"/>
    <w:rsid w:val="30FF7B18"/>
    <w:rsid w:val="3106012E"/>
    <w:rsid w:val="312A66E1"/>
    <w:rsid w:val="312F4622"/>
    <w:rsid w:val="31360A4C"/>
    <w:rsid w:val="313D3D1C"/>
    <w:rsid w:val="31567A98"/>
    <w:rsid w:val="31596E3E"/>
    <w:rsid w:val="316C07B9"/>
    <w:rsid w:val="31755D59"/>
    <w:rsid w:val="317838B4"/>
    <w:rsid w:val="31841AF1"/>
    <w:rsid w:val="3198548D"/>
    <w:rsid w:val="31A41D63"/>
    <w:rsid w:val="31E737FD"/>
    <w:rsid w:val="31EE7A6F"/>
    <w:rsid w:val="31FF4919"/>
    <w:rsid w:val="320858BD"/>
    <w:rsid w:val="32113680"/>
    <w:rsid w:val="322E6073"/>
    <w:rsid w:val="322F657C"/>
    <w:rsid w:val="32332E9F"/>
    <w:rsid w:val="324552D7"/>
    <w:rsid w:val="325113D5"/>
    <w:rsid w:val="325A3CAD"/>
    <w:rsid w:val="325B1624"/>
    <w:rsid w:val="325F787A"/>
    <w:rsid w:val="32607AD4"/>
    <w:rsid w:val="32637E2F"/>
    <w:rsid w:val="326D575D"/>
    <w:rsid w:val="327036D4"/>
    <w:rsid w:val="32791FC7"/>
    <w:rsid w:val="327958BE"/>
    <w:rsid w:val="32806995"/>
    <w:rsid w:val="329214A5"/>
    <w:rsid w:val="32940B58"/>
    <w:rsid w:val="3299292F"/>
    <w:rsid w:val="329B3E2A"/>
    <w:rsid w:val="32A72B5B"/>
    <w:rsid w:val="32A9080F"/>
    <w:rsid w:val="32C4165F"/>
    <w:rsid w:val="32D97DB4"/>
    <w:rsid w:val="32E106CA"/>
    <w:rsid w:val="32E26157"/>
    <w:rsid w:val="32E3353E"/>
    <w:rsid w:val="32E92319"/>
    <w:rsid w:val="32FB6031"/>
    <w:rsid w:val="32FB7911"/>
    <w:rsid w:val="33040D88"/>
    <w:rsid w:val="330C0EBB"/>
    <w:rsid w:val="330D6349"/>
    <w:rsid w:val="33113AB3"/>
    <w:rsid w:val="3318054A"/>
    <w:rsid w:val="331B6E79"/>
    <w:rsid w:val="332800D7"/>
    <w:rsid w:val="33292966"/>
    <w:rsid w:val="332A62E9"/>
    <w:rsid w:val="3332323B"/>
    <w:rsid w:val="3345480B"/>
    <w:rsid w:val="334C67D8"/>
    <w:rsid w:val="335724A1"/>
    <w:rsid w:val="335C7A86"/>
    <w:rsid w:val="33805782"/>
    <w:rsid w:val="33864325"/>
    <w:rsid w:val="338B0562"/>
    <w:rsid w:val="33986F11"/>
    <w:rsid w:val="339E7B36"/>
    <w:rsid w:val="33B16114"/>
    <w:rsid w:val="33B3577D"/>
    <w:rsid w:val="33C37AA0"/>
    <w:rsid w:val="33C94D43"/>
    <w:rsid w:val="33C96D23"/>
    <w:rsid w:val="33D43C4D"/>
    <w:rsid w:val="33D75FB9"/>
    <w:rsid w:val="33D93392"/>
    <w:rsid w:val="33DA40C5"/>
    <w:rsid w:val="33F25571"/>
    <w:rsid w:val="33F320D7"/>
    <w:rsid w:val="33FB37C4"/>
    <w:rsid w:val="33FB5FB0"/>
    <w:rsid w:val="34035377"/>
    <w:rsid w:val="340B2D35"/>
    <w:rsid w:val="340D5CC8"/>
    <w:rsid w:val="340F2182"/>
    <w:rsid w:val="342B0E3A"/>
    <w:rsid w:val="34315F32"/>
    <w:rsid w:val="34490402"/>
    <w:rsid w:val="344943FD"/>
    <w:rsid w:val="346660B2"/>
    <w:rsid w:val="3474778F"/>
    <w:rsid w:val="348240D3"/>
    <w:rsid w:val="348E5340"/>
    <w:rsid w:val="34A17903"/>
    <w:rsid w:val="34A3189C"/>
    <w:rsid w:val="34CA70DD"/>
    <w:rsid w:val="34CC19A7"/>
    <w:rsid w:val="34D039D6"/>
    <w:rsid w:val="34E90AEF"/>
    <w:rsid w:val="34FE163B"/>
    <w:rsid w:val="34FE6175"/>
    <w:rsid w:val="35067F21"/>
    <w:rsid w:val="351A30D3"/>
    <w:rsid w:val="3529181A"/>
    <w:rsid w:val="354353DC"/>
    <w:rsid w:val="35453298"/>
    <w:rsid w:val="356C4BCB"/>
    <w:rsid w:val="357E0A85"/>
    <w:rsid w:val="358777BD"/>
    <w:rsid w:val="358D24FE"/>
    <w:rsid w:val="359D5063"/>
    <w:rsid w:val="35A70057"/>
    <w:rsid w:val="35D61A16"/>
    <w:rsid w:val="35D62DBD"/>
    <w:rsid w:val="35DA7136"/>
    <w:rsid w:val="35EC18AD"/>
    <w:rsid w:val="35FC7705"/>
    <w:rsid w:val="36111009"/>
    <w:rsid w:val="36127001"/>
    <w:rsid w:val="36145E46"/>
    <w:rsid w:val="362C2D76"/>
    <w:rsid w:val="362D0B7F"/>
    <w:rsid w:val="36357294"/>
    <w:rsid w:val="36430389"/>
    <w:rsid w:val="3678181B"/>
    <w:rsid w:val="368D134D"/>
    <w:rsid w:val="36A651A9"/>
    <w:rsid w:val="36A85582"/>
    <w:rsid w:val="36B258F2"/>
    <w:rsid w:val="36C140FE"/>
    <w:rsid w:val="36C56034"/>
    <w:rsid w:val="36CD7F59"/>
    <w:rsid w:val="36E2677A"/>
    <w:rsid w:val="36FB5BC1"/>
    <w:rsid w:val="37001A1B"/>
    <w:rsid w:val="370B3589"/>
    <w:rsid w:val="37182DF3"/>
    <w:rsid w:val="371F22E5"/>
    <w:rsid w:val="37307011"/>
    <w:rsid w:val="373B1E90"/>
    <w:rsid w:val="374044F3"/>
    <w:rsid w:val="37580B6B"/>
    <w:rsid w:val="3769601E"/>
    <w:rsid w:val="37823885"/>
    <w:rsid w:val="37882EDE"/>
    <w:rsid w:val="378C5801"/>
    <w:rsid w:val="37946DCC"/>
    <w:rsid w:val="379813DA"/>
    <w:rsid w:val="37A71D13"/>
    <w:rsid w:val="37A760CF"/>
    <w:rsid w:val="37B84C2B"/>
    <w:rsid w:val="37ED705C"/>
    <w:rsid w:val="37EF43D5"/>
    <w:rsid w:val="37F61984"/>
    <w:rsid w:val="37F6362D"/>
    <w:rsid w:val="37FC5CAF"/>
    <w:rsid w:val="38032CB1"/>
    <w:rsid w:val="381B6F72"/>
    <w:rsid w:val="38317F24"/>
    <w:rsid w:val="384E2733"/>
    <w:rsid w:val="385137C5"/>
    <w:rsid w:val="38525657"/>
    <w:rsid w:val="386D6183"/>
    <w:rsid w:val="38793D22"/>
    <w:rsid w:val="388474DF"/>
    <w:rsid w:val="388E3CCB"/>
    <w:rsid w:val="389118E2"/>
    <w:rsid w:val="38963396"/>
    <w:rsid w:val="38AD4380"/>
    <w:rsid w:val="38B7151C"/>
    <w:rsid w:val="38C14A89"/>
    <w:rsid w:val="38D22C11"/>
    <w:rsid w:val="38D33B4E"/>
    <w:rsid w:val="38D56D9F"/>
    <w:rsid w:val="38E567ED"/>
    <w:rsid w:val="38EB353A"/>
    <w:rsid w:val="38F36528"/>
    <w:rsid w:val="38FC0DBF"/>
    <w:rsid w:val="390E48C4"/>
    <w:rsid w:val="39126CD3"/>
    <w:rsid w:val="39144E60"/>
    <w:rsid w:val="3914523E"/>
    <w:rsid w:val="391F0023"/>
    <w:rsid w:val="393A5755"/>
    <w:rsid w:val="39401973"/>
    <w:rsid w:val="39515171"/>
    <w:rsid w:val="395415A3"/>
    <w:rsid w:val="3956185B"/>
    <w:rsid w:val="39702756"/>
    <w:rsid w:val="397E473F"/>
    <w:rsid w:val="39810CB8"/>
    <w:rsid w:val="39A53EF7"/>
    <w:rsid w:val="39AC541F"/>
    <w:rsid w:val="39B23CB5"/>
    <w:rsid w:val="39EF5F88"/>
    <w:rsid w:val="39F40075"/>
    <w:rsid w:val="39FD3E4E"/>
    <w:rsid w:val="3A06689C"/>
    <w:rsid w:val="3A0E5176"/>
    <w:rsid w:val="3A1336FF"/>
    <w:rsid w:val="3A2272E4"/>
    <w:rsid w:val="3A42172E"/>
    <w:rsid w:val="3A5554E0"/>
    <w:rsid w:val="3A603C9D"/>
    <w:rsid w:val="3A6D5BB7"/>
    <w:rsid w:val="3A7E19BF"/>
    <w:rsid w:val="3A826D19"/>
    <w:rsid w:val="3AAC7C58"/>
    <w:rsid w:val="3AAD5A01"/>
    <w:rsid w:val="3ACD5148"/>
    <w:rsid w:val="3AD64913"/>
    <w:rsid w:val="3ADC7AE0"/>
    <w:rsid w:val="3AF64FC7"/>
    <w:rsid w:val="3AFA5396"/>
    <w:rsid w:val="3B1E0200"/>
    <w:rsid w:val="3B2612C8"/>
    <w:rsid w:val="3B2663DF"/>
    <w:rsid w:val="3B4E4C00"/>
    <w:rsid w:val="3B6657B2"/>
    <w:rsid w:val="3B6B306E"/>
    <w:rsid w:val="3B7B0C12"/>
    <w:rsid w:val="3B7C3131"/>
    <w:rsid w:val="3B8232D0"/>
    <w:rsid w:val="3B8941BE"/>
    <w:rsid w:val="3BA30661"/>
    <w:rsid w:val="3BAE1461"/>
    <w:rsid w:val="3BAE35DB"/>
    <w:rsid w:val="3BC147AA"/>
    <w:rsid w:val="3BC15FED"/>
    <w:rsid w:val="3BC24678"/>
    <w:rsid w:val="3BC617B3"/>
    <w:rsid w:val="3BCD5620"/>
    <w:rsid w:val="3BD525A0"/>
    <w:rsid w:val="3C121A47"/>
    <w:rsid w:val="3C374FE7"/>
    <w:rsid w:val="3C4063D3"/>
    <w:rsid w:val="3C4664E9"/>
    <w:rsid w:val="3C51440C"/>
    <w:rsid w:val="3C57107A"/>
    <w:rsid w:val="3C673C18"/>
    <w:rsid w:val="3C680162"/>
    <w:rsid w:val="3C82729A"/>
    <w:rsid w:val="3C842C73"/>
    <w:rsid w:val="3C9C4615"/>
    <w:rsid w:val="3CBE735E"/>
    <w:rsid w:val="3CC417BA"/>
    <w:rsid w:val="3CC42D35"/>
    <w:rsid w:val="3CC930A4"/>
    <w:rsid w:val="3CE1107D"/>
    <w:rsid w:val="3CE539E7"/>
    <w:rsid w:val="3CE92EB3"/>
    <w:rsid w:val="3CEC14C8"/>
    <w:rsid w:val="3CF507D3"/>
    <w:rsid w:val="3CF9250B"/>
    <w:rsid w:val="3CF976B1"/>
    <w:rsid w:val="3CFA2DC0"/>
    <w:rsid w:val="3D4C43C3"/>
    <w:rsid w:val="3D4F6CFF"/>
    <w:rsid w:val="3D700C8B"/>
    <w:rsid w:val="3D9F6D53"/>
    <w:rsid w:val="3DAC7668"/>
    <w:rsid w:val="3DBB32BF"/>
    <w:rsid w:val="3DBE372D"/>
    <w:rsid w:val="3DBF5560"/>
    <w:rsid w:val="3DCC0E51"/>
    <w:rsid w:val="3DCE1233"/>
    <w:rsid w:val="3DD04552"/>
    <w:rsid w:val="3DD331A7"/>
    <w:rsid w:val="3DD60BD7"/>
    <w:rsid w:val="3DF14EC1"/>
    <w:rsid w:val="3DF22060"/>
    <w:rsid w:val="3DF97D6A"/>
    <w:rsid w:val="3E044B83"/>
    <w:rsid w:val="3E065C82"/>
    <w:rsid w:val="3E09765C"/>
    <w:rsid w:val="3E173E4F"/>
    <w:rsid w:val="3E1A2EEB"/>
    <w:rsid w:val="3E210DBC"/>
    <w:rsid w:val="3E2E799C"/>
    <w:rsid w:val="3E46386E"/>
    <w:rsid w:val="3E490679"/>
    <w:rsid w:val="3E584B75"/>
    <w:rsid w:val="3E6800A0"/>
    <w:rsid w:val="3E7E3DD3"/>
    <w:rsid w:val="3E824259"/>
    <w:rsid w:val="3EA80823"/>
    <w:rsid w:val="3EAB4B96"/>
    <w:rsid w:val="3EAC72E9"/>
    <w:rsid w:val="3EB528AC"/>
    <w:rsid w:val="3ECF3D19"/>
    <w:rsid w:val="3F030AE6"/>
    <w:rsid w:val="3F1B3047"/>
    <w:rsid w:val="3F206F1D"/>
    <w:rsid w:val="3F233D15"/>
    <w:rsid w:val="3F2D6812"/>
    <w:rsid w:val="3F3D6C93"/>
    <w:rsid w:val="3F4172B5"/>
    <w:rsid w:val="3F4176F4"/>
    <w:rsid w:val="3F4205A0"/>
    <w:rsid w:val="3F4E2CF0"/>
    <w:rsid w:val="3F5D07AE"/>
    <w:rsid w:val="3F6E5414"/>
    <w:rsid w:val="3F7053D6"/>
    <w:rsid w:val="3F76065B"/>
    <w:rsid w:val="3F787266"/>
    <w:rsid w:val="3FB25F43"/>
    <w:rsid w:val="3FC869CB"/>
    <w:rsid w:val="3FCC60D5"/>
    <w:rsid w:val="3FD3287A"/>
    <w:rsid w:val="3FE65AC2"/>
    <w:rsid w:val="3FE81F53"/>
    <w:rsid w:val="3FF441D6"/>
    <w:rsid w:val="3FFB515F"/>
    <w:rsid w:val="40083E52"/>
    <w:rsid w:val="401761BD"/>
    <w:rsid w:val="401A0F47"/>
    <w:rsid w:val="40220960"/>
    <w:rsid w:val="40322336"/>
    <w:rsid w:val="403367AD"/>
    <w:rsid w:val="403E3AF7"/>
    <w:rsid w:val="404B64EF"/>
    <w:rsid w:val="405C72CB"/>
    <w:rsid w:val="40633EBE"/>
    <w:rsid w:val="406C02CE"/>
    <w:rsid w:val="406F5920"/>
    <w:rsid w:val="407677E6"/>
    <w:rsid w:val="40877D42"/>
    <w:rsid w:val="40A65AFD"/>
    <w:rsid w:val="40B13787"/>
    <w:rsid w:val="40B55F32"/>
    <w:rsid w:val="40D55F7B"/>
    <w:rsid w:val="40F77EFC"/>
    <w:rsid w:val="413717F2"/>
    <w:rsid w:val="41372F7C"/>
    <w:rsid w:val="41474071"/>
    <w:rsid w:val="414B775E"/>
    <w:rsid w:val="414D0954"/>
    <w:rsid w:val="414D0F40"/>
    <w:rsid w:val="414E748C"/>
    <w:rsid w:val="41552354"/>
    <w:rsid w:val="4158465B"/>
    <w:rsid w:val="415A2EBB"/>
    <w:rsid w:val="41644F5C"/>
    <w:rsid w:val="416578AD"/>
    <w:rsid w:val="416D7058"/>
    <w:rsid w:val="41711FA9"/>
    <w:rsid w:val="41724EAE"/>
    <w:rsid w:val="41736346"/>
    <w:rsid w:val="417D5ACF"/>
    <w:rsid w:val="4186659C"/>
    <w:rsid w:val="41887941"/>
    <w:rsid w:val="418D48F0"/>
    <w:rsid w:val="419A2376"/>
    <w:rsid w:val="419B7D02"/>
    <w:rsid w:val="41A948EF"/>
    <w:rsid w:val="41B057EA"/>
    <w:rsid w:val="41BD431C"/>
    <w:rsid w:val="41BF66BB"/>
    <w:rsid w:val="41C22880"/>
    <w:rsid w:val="41CD3654"/>
    <w:rsid w:val="41F31935"/>
    <w:rsid w:val="41FA1CFC"/>
    <w:rsid w:val="4201579E"/>
    <w:rsid w:val="422333CB"/>
    <w:rsid w:val="42363A38"/>
    <w:rsid w:val="423A12D2"/>
    <w:rsid w:val="424D25A6"/>
    <w:rsid w:val="424E2DEF"/>
    <w:rsid w:val="424F4443"/>
    <w:rsid w:val="42546D39"/>
    <w:rsid w:val="42551890"/>
    <w:rsid w:val="425829CC"/>
    <w:rsid w:val="4258530E"/>
    <w:rsid w:val="42773F2C"/>
    <w:rsid w:val="42863226"/>
    <w:rsid w:val="428E5AA5"/>
    <w:rsid w:val="42947392"/>
    <w:rsid w:val="42976659"/>
    <w:rsid w:val="42A62B26"/>
    <w:rsid w:val="42AC74B7"/>
    <w:rsid w:val="42C858FF"/>
    <w:rsid w:val="42C95759"/>
    <w:rsid w:val="42CE60B6"/>
    <w:rsid w:val="42D011F3"/>
    <w:rsid w:val="42D951BF"/>
    <w:rsid w:val="42DA2DBB"/>
    <w:rsid w:val="42E5779F"/>
    <w:rsid w:val="42F87327"/>
    <w:rsid w:val="43001433"/>
    <w:rsid w:val="430E6544"/>
    <w:rsid w:val="431256D2"/>
    <w:rsid w:val="431A034C"/>
    <w:rsid w:val="431B7247"/>
    <w:rsid w:val="43405338"/>
    <w:rsid w:val="43492EB8"/>
    <w:rsid w:val="434C1741"/>
    <w:rsid w:val="43587F71"/>
    <w:rsid w:val="43696CD5"/>
    <w:rsid w:val="43730B60"/>
    <w:rsid w:val="43896445"/>
    <w:rsid w:val="43A02573"/>
    <w:rsid w:val="43A31350"/>
    <w:rsid w:val="43AB6839"/>
    <w:rsid w:val="43B60250"/>
    <w:rsid w:val="43B779F4"/>
    <w:rsid w:val="43B94233"/>
    <w:rsid w:val="43C4493C"/>
    <w:rsid w:val="43C66431"/>
    <w:rsid w:val="43D90F5B"/>
    <w:rsid w:val="43DE28BA"/>
    <w:rsid w:val="43E16C9A"/>
    <w:rsid w:val="43E62A96"/>
    <w:rsid w:val="43EC31EC"/>
    <w:rsid w:val="4407690F"/>
    <w:rsid w:val="44094E8E"/>
    <w:rsid w:val="440F703F"/>
    <w:rsid w:val="441A2206"/>
    <w:rsid w:val="441F627A"/>
    <w:rsid w:val="443722F1"/>
    <w:rsid w:val="444A3DB6"/>
    <w:rsid w:val="44975A9E"/>
    <w:rsid w:val="449B1BA5"/>
    <w:rsid w:val="44A55907"/>
    <w:rsid w:val="44A84C0C"/>
    <w:rsid w:val="44AA4D2F"/>
    <w:rsid w:val="44DC3705"/>
    <w:rsid w:val="44E276A7"/>
    <w:rsid w:val="44E5395B"/>
    <w:rsid w:val="44E53FF2"/>
    <w:rsid w:val="44EF167B"/>
    <w:rsid w:val="44FB192C"/>
    <w:rsid w:val="451114AA"/>
    <w:rsid w:val="45162A80"/>
    <w:rsid w:val="45166361"/>
    <w:rsid w:val="45184650"/>
    <w:rsid w:val="452026DD"/>
    <w:rsid w:val="45271957"/>
    <w:rsid w:val="45384C7A"/>
    <w:rsid w:val="45490FD2"/>
    <w:rsid w:val="45500440"/>
    <w:rsid w:val="455036B8"/>
    <w:rsid w:val="456F5610"/>
    <w:rsid w:val="458D48BC"/>
    <w:rsid w:val="458F1222"/>
    <w:rsid w:val="459C12D4"/>
    <w:rsid w:val="45A931C9"/>
    <w:rsid w:val="45AA0C71"/>
    <w:rsid w:val="45B7512A"/>
    <w:rsid w:val="45B81F6B"/>
    <w:rsid w:val="45C5647D"/>
    <w:rsid w:val="45C61552"/>
    <w:rsid w:val="45CF18AE"/>
    <w:rsid w:val="45E85B94"/>
    <w:rsid w:val="45EB202A"/>
    <w:rsid w:val="45ED6B2A"/>
    <w:rsid w:val="45F240F9"/>
    <w:rsid w:val="45F33CFF"/>
    <w:rsid w:val="45F478F5"/>
    <w:rsid w:val="45F91645"/>
    <w:rsid w:val="46002968"/>
    <w:rsid w:val="460109DC"/>
    <w:rsid w:val="46045270"/>
    <w:rsid w:val="46063A14"/>
    <w:rsid w:val="460650E0"/>
    <w:rsid w:val="46080B34"/>
    <w:rsid w:val="460A4BBD"/>
    <w:rsid w:val="461505CD"/>
    <w:rsid w:val="46210FFC"/>
    <w:rsid w:val="46257FA7"/>
    <w:rsid w:val="46375EAC"/>
    <w:rsid w:val="463D0B79"/>
    <w:rsid w:val="46434B86"/>
    <w:rsid w:val="46445184"/>
    <w:rsid w:val="46492F45"/>
    <w:rsid w:val="468427AA"/>
    <w:rsid w:val="468861F4"/>
    <w:rsid w:val="468B040B"/>
    <w:rsid w:val="469C3752"/>
    <w:rsid w:val="46C2457E"/>
    <w:rsid w:val="46CF5055"/>
    <w:rsid w:val="46DC4811"/>
    <w:rsid w:val="470B2BF2"/>
    <w:rsid w:val="4712224B"/>
    <w:rsid w:val="471B2276"/>
    <w:rsid w:val="471B68A8"/>
    <w:rsid w:val="47220722"/>
    <w:rsid w:val="47241AF5"/>
    <w:rsid w:val="47297EEE"/>
    <w:rsid w:val="47491113"/>
    <w:rsid w:val="47536AA9"/>
    <w:rsid w:val="476B3896"/>
    <w:rsid w:val="477B61EC"/>
    <w:rsid w:val="47914B8E"/>
    <w:rsid w:val="47A02B42"/>
    <w:rsid w:val="47B22CC4"/>
    <w:rsid w:val="47B60342"/>
    <w:rsid w:val="47E06C31"/>
    <w:rsid w:val="47EC205E"/>
    <w:rsid w:val="47F16B5C"/>
    <w:rsid w:val="47F24874"/>
    <w:rsid w:val="480F2844"/>
    <w:rsid w:val="480F6A77"/>
    <w:rsid w:val="481D01C6"/>
    <w:rsid w:val="483517F4"/>
    <w:rsid w:val="48461F83"/>
    <w:rsid w:val="484B2C5E"/>
    <w:rsid w:val="48544537"/>
    <w:rsid w:val="48621579"/>
    <w:rsid w:val="48726805"/>
    <w:rsid w:val="489A4A56"/>
    <w:rsid w:val="48B24D05"/>
    <w:rsid w:val="48B30252"/>
    <w:rsid w:val="48B73081"/>
    <w:rsid w:val="48BD252D"/>
    <w:rsid w:val="48CE6BC6"/>
    <w:rsid w:val="48D63585"/>
    <w:rsid w:val="48D9621D"/>
    <w:rsid w:val="48E05554"/>
    <w:rsid w:val="49000482"/>
    <w:rsid w:val="49055E12"/>
    <w:rsid w:val="490A0C24"/>
    <w:rsid w:val="491760F6"/>
    <w:rsid w:val="491C44AF"/>
    <w:rsid w:val="493721B6"/>
    <w:rsid w:val="49617227"/>
    <w:rsid w:val="4981102A"/>
    <w:rsid w:val="498121F1"/>
    <w:rsid w:val="498F37AD"/>
    <w:rsid w:val="49A44384"/>
    <w:rsid w:val="49B42FAD"/>
    <w:rsid w:val="49BA6258"/>
    <w:rsid w:val="49BB2D55"/>
    <w:rsid w:val="49D8057F"/>
    <w:rsid w:val="49E118AB"/>
    <w:rsid w:val="49E259F3"/>
    <w:rsid w:val="4A096766"/>
    <w:rsid w:val="4A1D6B86"/>
    <w:rsid w:val="4A251890"/>
    <w:rsid w:val="4A3E220E"/>
    <w:rsid w:val="4A4154D7"/>
    <w:rsid w:val="4A4C7003"/>
    <w:rsid w:val="4A510CFC"/>
    <w:rsid w:val="4A617689"/>
    <w:rsid w:val="4A827B5D"/>
    <w:rsid w:val="4A9E6E09"/>
    <w:rsid w:val="4ABB5CB7"/>
    <w:rsid w:val="4ACD1F7D"/>
    <w:rsid w:val="4ACE61B6"/>
    <w:rsid w:val="4AD365BB"/>
    <w:rsid w:val="4AF24B1E"/>
    <w:rsid w:val="4B102D69"/>
    <w:rsid w:val="4B164C96"/>
    <w:rsid w:val="4B3A49D5"/>
    <w:rsid w:val="4B3B2649"/>
    <w:rsid w:val="4B525F17"/>
    <w:rsid w:val="4B8B11C6"/>
    <w:rsid w:val="4B985C14"/>
    <w:rsid w:val="4B994C18"/>
    <w:rsid w:val="4BB7339B"/>
    <w:rsid w:val="4BBB45E7"/>
    <w:rsid w:val="4BBE22B8"/>
    <w:rsid w:val="4BC3514E"/>
    <w:rsid w:val="4BC9338F"/>
    <w:rsid w:val="4BCC3706"/>
    <w:rsid w:val="4BCD51F5"/>
    <w:rsid w:val="4BCE6C07"/>
    <w:rsid w:val="4BFF364B"/>
    <w:rsid w:val="4C0D550A"/>
    <w:rsid w:val="4C1628CB"/>
    <w:rsid w:val="4C172E9D"/>
    <w:rsid w:val="4C187228"/>
    <w:rsid w:val="4C1B6993"/>
    <w:rsid w:val="4C247459"/>
    <w:rsid w:val="4C3D2F0B"/>
    <w:rsid w:val="4C44057E"/>
    <w:rsid w:val="4C5063D6"/>
    <w:rsid w:val="4C5928B3"/>
    <w:rsid w:val="4C5D5E58"/>
    <w:rsid w:val="4C603141"/>
    <w:rsid w:val="4C61020F"/>
    <w:rsid w:val="4C6B4F38"/>
    <w:rsid w:val="4C730652"/>
    <w:rsid w:val="4C731EE7"/>
    <w:rsid w:val="4C911205"/>
    <w:rsid w:val="4C925B4B"/>
    <w:rsid w:val="4CA14269"/>
    <w:rsid w:val="4CA3151A"/>
    <w:rsid w:val="4CE41A63"/>
    <w:rsid w:val="4CEE4797"/>
    <w:rsid w:val="4CF04B67"/>
    <w:rsid w:val="4CFB583B"/>
    <w:rsid w:val="4D22559A"/>
    <w:rsid w:val="4D300458"/>
    <w:rsid w:val="4D300535"/>
    <w:rsid w:val="4D3F6238"/>
    <w:rsid w:val="4D43219E"/>
    <w:rsid w:val="4D573D4A"/>
    <w:rsid w:val="4D5C0DE5"/>
    <w:rsid w:val="4D8008D1"/>
    <w:rsid w:val="4D8706D4"/>
    <w:rsid w:val="4DA60FA0"/>
    <w:rsid w:val="4DA63B4F"/>
    <w:rsid w:val="4DA65FBA"/>
    <w:rsid w:val="4DA66630"/>
    <w:rsid w:val="4DAA3496"/>
    <w:rsid w:val="4DB26A4E"/>
    <w:rsid w:val="4DB70B3A"/>
    <w:rsid w:val="4DC12D54"/>
    <w:rsid w:val="4DC3594B"/>
    <w:rsid w:val="4DCF0E4E"/>
    <w:rsid w:val="4DDE4BD7"/>
    <w:rsid w:val="4DE43045"/>
    <w:rsid w:val="4DFE753A"/>
    <w:rsid w:val="4E0076EB"/>
    <w:rsid w:val="4E065E5A"/>
    <w:rsid w:val="4E0921A2"/>
    <w:rsid w:val="4E0E4745"/>
    <w:rsid w:val="4E2367D5"/>
    <w:rsid w:val="4E244C4C"/>
    <w:rsid w:val="4E314594"/>
    <w:rsid w:val="4E3D43C4"/>
    <w:rsid w:val="4E455C3A"/>
    <w:rsid w:val="4E606A55"/>
    <w:rsid w:val="4E6B2D08"/>
    <w:rsid w:val="4E99715E"/>
    <w:rsid w:val="4E9C26AA"/>
    <w:rsid w:val="4E9E540F"/>
    <w:rsid w:val="4EA224C9"/>
    <w:rsid w:val="4EBA09E7"/>
    <w:rsid w:val="4EC33437"/>
    <w:rsid w:val="4EE75665"/>
    <w:rsid w:val="4EFF0402"/>
    <w:rsid w:val="4F0C5511"/>
    <w:rsid w:val="4F11556A"/>
    <w:rsid w:val="4F307B21"/>
    <w:rsid w:val="4F44084D"/>
    <w:rsid w:val="4F5179E9"/>
    <w:rsid w:val="4F71497C"/>
    <w:rsid w:val="4F7D45CA"/>
    <w:rsid w:val="4F863608"/>
    <w:rsid w:val="4F8E55AC"/>
    <w:rsid w:val="4F8F4116"/>
    <w:rsid w:val="4FAB15AD"/>
    <w:rsid w:val="4FB054C3"/>
    <w:rsid w:val="4FB75746"/>
    <w:rsid w:val="4FCB0F1B"/>
    <w:rsid w:val="4FD04BA0"/>
    <w:rsid w:val="4FDE099D"/>
    <w:rsid w:val="501A1015"/>
    <w:rsid w:val="501C41BA"/>
    <w:rsid w:val="506907D8"/>
    <w:rsid w:val="50791F2F"/>
    <w:rsid w:val="507E0CE1"/>
    <w:rsid w:val="5090258F"/>
    <w:rsid w:val="50A80925"/>
    <w:rsid w:val="50B847C6"/>
    <w:rsid w:val="50BD5287"/>
    <w:rsid w:val="50CE1C6D"/>
    <w:rsid w:val="50EE16D7"/>
    <w:rsid w:val="511060BC"/>
    <w:rsid w:val="51180E7E"/>
    <w:rsid w:val="512D3CD9"/>
    <w:rsid w:val="5140336A"/>
    <w:rsid w:val="514075A9"/>
    <w:rsid w:val="515711E1"/>
    <w:rsid w:val="516055BC"/>
    <w:rsid w:val="51666DA5"/>
    <w:rsid w:val="516E731D"/>
    <w:rsid w:val="5170535B"/>
    <w:rsid w:val="518F13E9"/>
    <w:rsid w:val="51957315"/>
    <w:rsid w:val="519F2EDE"/>
    <w:rsid w:val="51B157AD"/>
    <w:rsid w:val="51B56260"/>
    <w:rsid w:val="51C3639D"/>
    <w:rsid w:val="51CB2AF9"/>
    <w:rsid w:val="51D040DB"/>
    <w:rsid w:val="51D05A9B"/>
    <w:rsid w:val="51D20A80"/>
    <w:rsid w:val="51D45B63"/>
    <w:rsid w:val="51FB470E"/>
    <w:rsid w:val="52050670"/>
    <w:rsid w:val="52051050"/>
    <w:rsid w:val="52155132"/>
    <w:rsid w:val="52177976"/>
    <w:rsid w:val="521C4F23"/>
    <w:rsid w:val="521E6C9C"/>
    <w:rsid w:val="523B66B4"/>
    <w:rsid w:val="524261DE"/>
    <w:rsid w:val="52437A99"/>
    <w:rsid w:val="524752EB"/>
    <w:rsid w:val="524C1916"/>
    <w:rsid w:val="52571AEF"/>
    <w:rsid w:val="525E36BF"/>
    <w:rsid w:val="526F1B4B"/>
    <w:rsid w:val="527D0908"/>
    <w:rsid w:val="528F0B9D"/>
    <w:rsid w:val="529838C9"/>
    <w:rsid w:val="52A306F3"/>
    <w:rsid w:val="52C50507"/>
    <w:rsid w:val="52C737F4"/>
    <w:rsid w:val="52D5376C"/>
    <w:rsid w:val="52D61ACA"/>
    <w:rsid w:val="52FC3468"/>
    <w:rsid w:val="530A32FF"/>
    <w:rsid w:val="530B4FB3"/>
    <w:rsid w:val="530C104E"/>
    <w:rsid w:val="5313581B"/>
    <w:rsid w:val="53397E95"/>
    <w:rsid w:val="534D3109"/>
    <w:rsid w:val="534E06E2"/>
    <w:rsid w:val="534E348E"/>
    <w:rsid w:val="538405F2"/>
    <w:rsid w:val="539946BA"/>
    <w:rsid w:val="53B078D1"/>
    <w:rsid w:val="53B100DE"/>
    <w:rsid w:val="53B67D92"/>
    <w:rsid w:val="53B933E8"/>
    <w:rsid w:val="53D012F1"/>
    <w:rsid w:val="53D6216C"/>
    <w:rsid w:val="53E373FC"/>
    <w:rsid w:val="53E63954"/>
    <w:rsid w:val="53F45CEC"/>
    <w:rsid w:val="53FF03B7"/>
    <w:rsid w:val="540179DD"/>
    <w:rsid w:val="54125B61"/>
    <w:rsid w:val="54345E34"/>
    <w:rsid w:val="54525B5D"/>
    <w:rsid w:val="5456791E"/>
    <w:rsid w:val="545E27C6"/>
    <w:rsid w:val="54715C0F"/>
    <w:rsid w:val="547C6F1E"/>
    <w:rsid w:val="5484221D"/>
    <w:rsid w:val="54847702"/>
    <w:rsid w:val="548D6BE3"/>
    <w:rsid w:val="54A813DA"/>
    <w:rsid w:val="54AF5D53"/>
    <w:rsid w:val="54B319CC"/>
    <w:rsid w:val="54C35CDE"/>
    <w:rsid w:val="54C56208"/>
    <w:rsid w:val="54CA2E5D"/>
    <w:rsid w:val="54F0160F"/>
    <w:rsid w:val="54F97B2C"/>
    <w:rsid w:val="54FB545E"/>
    <w:rsid w:val="550952A4"/>
    <w:rsid w:val="552F798A"/>
    <w:rsid w:val="553D785F"/>
    <w:rsid w:val="555A36AB"/>
    <w:rsid w:val="55645B21"/>
    <w:rsid w:val="55696036"/>
    <w:rsid w:val="556F2A93"/>
    <w:rsid w:val="557166A9"/>
    <w:rsid w:val="55891BD4"/>
    <w:rsid w:val="55990E63"/>
    <w:rsid w:val="55991E1E"/>
    <w:rsid w:val="559E1ECE"/>
    <w:rsid w:val="55B0148C"/>
    <w:rsid w:val="55B85930"/>
    <w:rsid w:val="55D81502"/>
    <w:rsid w:val="55DE3DEA"/>
    <w:rsid w:val="55E46DAE"/>
    <w:rsid w:val="55F85240"/>
    <w:rsid w:val="560A325D"/>
    <w:rsid w:val="562D67E2"/>
    <w:rsid w:val="563214DB"/>
    <w:rsid w:val="56415451"/>
    <w:rsid w:val="56422911"/>
    <w:rsid w:val="56515020"/>
    <w:rsid w:val="565D5A00"/>
    <w:rsid w:val="56690790"/>
    <w:rsid w:val="5681587F"/>
    <w:rsid w:val="56827F3D"/>
    <w:rsid w:val="5683531E"/>
    <w:rsid w:val="568973C2"/>
    <w:rsid w:val="568E52C1"/>
    <w:rsid w:val="569B5C22"/>
    <w:rsid w:val="56CE12E9"/>
    <w:rsid w:val="56E15791"/>
    <w:rsid w:val="570C08C0"/>
    <w:rsid w:val="57130097"/>
    <w:rsid w:val="57216F25"/>
    <w:rsid w:val="57226381"/>
    <w:rsid w:val="572B1331"/>
    <w:rsid w:val="572D6AFC"/>
    <w:rsid w:val="57304C02"/>
    <w:rsid w:val="573A7B71"/>
    <w:rsid w:val="574422C1"/>
    <w:rsid w:val="57546517"/>
    <w:rsid w:val="5759129A"/>
    <w:rsid w:val="575F65A5"/>
    <w:rsid w:val="5783068F"/>
    <w:rsid w:val="578931B0"/>
    <w:rsid w:val="57902097"/>
    <w:rsid w:val="5799155A"/>
    <w:rsid w:val="57A03141"/>
    <w:rsid w:val="57A4013A"/>
    <w:rsid w:val="57A746C1"/>
    <w:rsid w:val="57B515C2"/>
    <w:rsid w:val="57EE5E24"/>
    <w:rsid w:val="58040C33"/>
    <w:rsid w:val="580963FA"/>
    <w:rsid w:val="580A529E"/>
    <w:rsid w:val="580E6ACF"/>
    <w:rsid w:val="58122D70"/>
    <w:rsid w:val="58154FD5"/>
    <w:rsid w:val="582E4F8A"/>
    <w:rsid w:val="5833657E"/>
    <w:rsid w:val="583C1CBA"/>
    <w:rsid w:val="584C4C85"/>
    <w:rsid w:val="585E3E32"/>
    <w:rsid w:val="58850AB6"/>
    <w:rsid w:val="588657A0"/>
    <w:rsid w:val="58867700"/>
    <w:rsid w:val="58882DFF"/>
    <w:rsid w:val="588F1AC7"/>
    <w:rsid w:val="589F63CE"/>
    <w:rsid w:val="58A11775"/>
    <w:rsid w:val="58A27CF8"/>
    <w:rsid w:val="58AC32F7"/>
    <w:rsid w:val="58AF38B7"/>
    <w:rsid w:val="58B26612"/>
    <w:rsid w:val="58BF35A0"/>
    <w:rsid w:val="58BF5E03"/>
    <w:rsid w:val="58CA6662"/>
    <w:rsid w:val="58D77DB4"/>
    <w:rsid w:val="58D85DA5"/>
    <w:rsid w:val="58F504C4"/>
    <w:rsid w:val="58FC383F"/>
    <w:rsid w:val="590438B6"/>
    <w:rsid w:val="592C651D"/>
    <w:rsid w:val="593E3ABD"/>
    <w:rsid w:val="59660D96"/>
    <w:rsid w:val="597C5F96"/>
    <w:rsid w:val="5993425D"/>
    <w:rsid w:val="59A1484E"/>
    <w:rsid w:val="59B3454C"/>
    <w:rsid w:val="59CC0188"/>
    <w:rsid w:val="59EB67A0"/>
    <w:rsid w:val="59EE142F"/>
    <w:rsid w:val="59F32C38"/>
    <w:rsid w:val="59F40378"/>
    <w:rsid w:val="5A0C128A"/>
    <w:rsid w:val="5A183EA5"/>
    <w:rsid w:val="5A24355B"/>
    <w:rsid w:val="5A2522BE"/>
    <w:rsid w:val="5A2641D5"/>
    <w:rsid w:val="5A273747"/>
    <w:rsid w:val="5A48296D"/>
    <w:rsid w:val="5A5679E3"/>
    <w:rsid w:val="5A7B3393"/>
    <w:rsid w:val="5A7C740B"/>
    <w:rsid w:val="5A8030C2"/>
    <w:rsid w:val="5A8A19F2"/>
    <w:rsid w:val="5A987BB2"/>
    <w:rsid w:val="5AA45C13"/>
    <w:rsid w:val="5AA50AD0"/>
    <w:rsid w:val="5AA70083"/>
    <w:rsid w:val="5AAD7D14"/>
    <w:rsid w:val="5AB2450F"/>
    <w:rsid w:val="5AB8278E"/>
    <w:rsid w:val="5ACA7781"/>
    <w:rsid w:val="5AD107A5"/>
    <w:rsid w:val="5AD35BCC"/>
    <w:rsid w:val="5ADB2EFF"/>
    <w:rsid w:val="5ADC0B06"/>
    <w:rsid w:val="5AE35EFB"/>
    <w:rsid w:val="5AE7537F"/>
    <w:rsid w:val="5AE9394F"/>
    <w:rsid w:val="5AEA67BC"/>
    <w:rsid w:val="5AF46181"/>
    <w:rsid w:val="5AFD54A1"/>
    <w:rsid w:val="5B151D5E"/>
    <w:rsid w:val="5B167ADB"/>
    <w:rsid w:val="5B176903"/>
    <w:rsid w:val="5B1A442D"/>
    <w:rsid w:val="5B2808D6"/>
    <w:rsid w:val="5B283027"/>
    <w:rsid w:val="5B2E79AE"/>
    <w:rsid w:val="5B362C1A"/>
    <w:rsid w:val="5B4310E5"/>
    <w:rsid w:val="5B4420E0"/>
    <w:rsid w:val="5B4739D1"/>
    <w:rsid w:val="5B4A7A98"/>
    <w:rsid w:val="5B4E264F"/>
    <w:rsid w:val="5B543B09"/>
    <w:rsid w:val="5B774E6F"/>
    <w:rsid w:val="5B7764DC"/>
    <w:rsid w:val="5B7C7CE8"/>
    <w:rsid w:val="5B8121A2"/>
    <w:rsid w:val="5BC518B5"/>
    <w:rsid w:val="5BC5239C"/>
    <w:rsid w:val="5BD56446"/>
    <w:rsid w:val="5BDC505C"/>
    <w:rsid w:val="5BFE0AC9"/>
    <w:rsid w:val="5BFE10B0"/>
    <w:rsid w:val="5C0247DA"/>
    <w:rsid w:val="5C184D8C"/>
    <w:rsid w:val="5C197A66"/>
    <w:rsid w:val="5C323C92"/>
    <w:rsid w:val="5C3D1795"/>
    <w:rsid w:val="5C531564"/>
    <w:rsid w:val="5C6E209B"/>
    <w:rsid w:val="5C7F13DA"/>
    <w:rsid w:val="5C863B01"/>
    <w:rsid w:val="5CA91D20"/>
    <w:rsid w:val="5CB07A82"/>
    <w:rsid w:val="5CB72A38"/>
    <w:rsid w:val="5CCB66C1"/>
    <w:rsid w:val="5CD635D5"/>
    <w:rsid w:val="5CDA2B61"/>
    <w:rsid w:val="5CDD1832"/>
    <w:rsid w:val="5CDF2BB7"/>
    <w:rsid w:val="5CE121EE"/>
    <w:rsid w:val="5CE4390B"/>
    <w:rsid w:val="5CE93965"/>
    <w:rsid w:val="5D0568F7"/>
    <w:rsid w:val="5D125B4B"/>
    <w:rsid w:val="5D187E97"/>
    <w:rsid w:val="5D23668E"/>
    <w:rsid w:val="5D342662"/>
    <w:rsid w:val="5D346988"/>
    <w:rsid w:val="5D365A4A"/>
    <w:rsid w:val="5D3709F3"/>
    <w:rsid w:val="5D4D12E2"/>
    <w:rsid w:val="5D561967"/>
    <w:rsid w:val="5D8645EA"/>
    <w:rsid w:val="5D87193B"/>
    <w:rsid w:val="5D8D05C3"/>
    <w:rsid w:val="5D8E065A"/>
    <w:rsid w:val="5D8E39C9"/>
    <w:rsid w:val="5DC404B2"/>
    <w:rsid w:val="5DCA2047"/>
    <w:rsid w:val="5DDF50C8"/>
    <w:rsid w:val="5E03676E"/>
    <w:rsid w:val="5E0929F5"/>
    <w:rsid w:val="5E0E5434"/>
    <w:rsid w:val="5E133560"/>
    <w:rsid w:val="5E1741F5"/>
    <w:rsid w:val="5E255B78"/>
    <w:rsid w:val="5E2A7498"/>
    <w:rsid w:val="5E46718E"/>
    <w:rsid w:val="5E483287"/>
    <w:rsid w:val="5E5B2882"/>
    <w:rsid w:val="5E65286C"/>
    <w:rsid w:val="5E763802"/>
    <w:rsid w:val="5E7A04BC"/>
    <w:rsid w:val="5E8046CC"/>
    <w:rsid w:val="5E847237"/>
    <w:rsid w:val="5E8A7C45"/>
    <w:rsid w:val="5E9502DA"/>
    <w:rsid w:val="5EA8613E"/>
    <w:rsid w:val="5EAC0395"/>
    <w:rsid w:val="5EBF65C0"/>
    <w:rsid w:val="5ECC1721"/>
    <w:rsid w:val="5ECE45BA"/>
    <w:rsid w:val="5ED32DAC"/>
    <w:rsid w:val="5EDF5DAD"/>
    <w:rsid w:val="5EE030C5"/>
    <w:rsid w:val="5EE06AB5"/>
    <w:rsid w:val="5EF64841"/>
    <w:rsid w:val="5EF66753"/>
    <w:rsid w:val="5F002F70"/>
    <w:rsid w:val="5F220B8E"/>
    <w:rsid w:val="5F4F320B"/>
    <w:rsid w:val="5F5865E1"/>
    <w:rsid w:val="5F6052BE"/>
    <w:rsid w:val="5F8A66E3"/>
    <w:rsid w:val="5F941F7B"/>
    <w:rsid w:val="5F9B701E"/>
    <w:rsid w:val="5FAA38D4"/>
    <w:rsid w:val="5FAC792C"/>
    <w:rsid w:val="5FBD6E30"/>
    <w:rsid w:val="5FC95848"/>
    <w:rsid w:val="5FD05548"/>
    <w:rsid w:val="5FEA534E"/>
    <w:rsid w:val="600C7B4D"/>
    <w:rsid w:val="60114733"/>
    <w:rsid w:val="60143B36"/>
    <w:rsid w:val="601E3E33"/>
    <w:rsid w:val="6023185E"/>
    <w:rsid w:val="60293571"/>
    <w:rsid w:val="60381E94"/>
    <w:rsid w:val="60475A0D"/>
    <w:rsid w:val="604C02AB"/>
    <w:rsid w:val="6058467F"/>
    <w:rsid w:val="60611B5D"/>
    <w:rsid w:val="60695647"/>
    <w:rsid w:val="606E229B"/>
    <w:rsid w:val="607E06F9"/>
    <w:rsid w:val="60845D43"/>
    <w:rsid w:val="60871482"/>
    <w:rsid w:val="608D1AB8"/>
    <w:rsid w:val="609F4C12"/>
    <w:rsid w:val="60AB3BB9"/>
    <w:rsid w:val="60B54D6D"/>
    <w:rsid w:val="60C35799"/>
    <w:rsid w:val="610A3E84"/>
    <w:rsid w:val="610D500F"/>
    <w:rsid w:val="611D7A23"/>
    <w:rsid w:val="612525F4"/>
    <w:rsid w:val="61447FF3"/>
    <w:rsid w:val="61487BFD"/>
    <w:rsid w:val="6149086C"/>
    <w:rsid w:val="614A34BC"/>
    <w:rsid w:val="614D6082"/>
    <w:rsid w:val="61506631"/>
    <w:rsid w:val="61544136"/>
    <w:rsid w:val="61550883"/>
    <w:rsid w:val="61581CFA"/>
    <w:rsid w:val="615A50CB"/>
    <w:rsid w:val="616B1834"/>
    <w:rsid w:val="61815D23"/>
    <w:rsid w:val="61833343"/>
    <w:rsid w:val="61901DFE"/>
    <w:rsid w:val="6191284A"/>
    <w:rsid w:val="61A55ACD"/>
    <w:rsid w:val="61BF17C3"/>
    <w:rsid w:val="61C00361"/>
    <w:rsid w:val="61C4506D"/>
    <w:rsid w:val="61E01615"/>
    <w:rsid w:val="61E464AC"/>
    <w:rsid w:val="61EB1F76"/>
    <w:rsid w:val="61F914D1"/>
    <w:rsid w:val="61FF36BC"/>
    <w:rsid w:val="62022FF6"/>
    <w:rsid w:val="620C45A2"/>
    <w:rsid w:val="62276187"/>
    <w:rsid w:val="62336904"/>
    <w:rsid w:val="624D7FB0"/>
    <w:rsid w:val="625E4B95"/>
    <w:rsid w:val="62685F05"/>
    <w:rsid w:val="626D4A7B"/>
    <w:rsid w:val="62720CEB"/>
    <w:rsid w:val="628702C0"/>
    <w:rsid w:val="62952FAB"/>
    <w:rsid w:val="62954FBF"/>
    <w:rsid w:val="6296576D"/>
    <w:rsid w:val="62CB7974"/>
    <w:rsid w:val="62D34CD6"/>
    <w:rsid w:val="62DA5F36"/>
    <w:rsid w:val="62E77A7A"/>
    <w:rsid w:val="62ED3391"/>
    <w:rsid w:val="63043CDE"/>
    <w:rsid w:val="63070190"/>
    <w:rsid w:val="63085FA5"/>
    <w:rsid w:val="630E220B"/>
    <w:rsid w:val="632040DE"/>
    <w:rsid w:val="6332731A"/>
    <w:rsid w:val="63386392"/>
    <w:rsid w:val="633E3CB8"/>
    <w:rsid w:val="63440058"/>
    <w:rsid w:val="63584668"/>
    <w:rsid w:val="6359106B"/>
    <w:rsid w:val="636A152D"/>
    <w:rsid w:val="63936D3B"/>
    <w:rsid w:val="63A1220E"/>
    <w:rsid w:val="63AB7F55"/>
    <w:rsid w:val="63AF1C64"/>
    <w:rsid w:val="63C675FA"/>
    <w:rsid w:val="63D005D8"/>
    <w:rsid w:val="63D30E65"/>
    <w:rsid w:val="63F46671"/>
    <w:rsid w:val="63F76554"/>
    <w:rsid w:val="640477AA"/>
    <w:rsid w:val="64117B1C"/>
    <w:rsid w:val="64321113"/>
    <w:rsid w:val="64377CFD"/>
    <w:rsid w:val="643C161C"/>
    <w:rsid w:val="64405261"/>
    <w:rsid w:val="64410308"/>
    <w:rsid w:val="644263E5"/>
    <w:rsid w:val="644C7F44"/>
    <w:rsid w:val="646A524E"/>
    <w:rsid w:val="647142D4"/>
    <w:rsid w:val="647753FB"/>
    <w:rsid w:val="648012E7"/>
    <w:rsid w:val="64831768"/>
    <w:rsid w:val="64923AF0"/>
    <w:rsid w:val="64B560B7"/>
    <w:rsid w:val="64B85A48"/>
    <w:rsid w:val="64C318CC"/>
    <w:rsid w:val="64C638A4"/>
    <w:rsid w:val="64CC478C"/>
    <w:rsid w:val="64DC78FB"/>
    <w:rsid w:val="64F4189F"/>
    <w:rsid w:val="64FA0F5D"/>
    <w:rsid w:val="64FE4527"/>
    <w:rsid w:val="652C378E"/>
    <w:rsid w:val="652E20A6"/>
    <w:rsid w:val="65305BA7"/>
    <w:rsid w:val="653302D2"/>
    <w:rsid w:val="65361466"/>
    <w:rsid w:val="65391869"/>
    <w:rsid w:val="655C7340"/>
    <w:rsid w:val="655F4E77"/>
    <w:rsid w:val="655F7619"/>
    <w:rsid w:val="65683C82"/>
    <w:rsid w:val="65740B81"/>
    <w:rsid w:val="65866DDC"/>
    <w:rsid w:val="658812DF"/>
    <w:rsid w:val="65B16AC6"/>
    <w:rsid w:val="65B6407A"/>
    <w:rsid w:val="65D26809"/>
    <w:rsid w:val="65D92A72"/>
    <w:rsid w:val="65E348EC"/>
    <w:rsid w:val="65E86E77"/>
    <w:rsid w:val="65E8752C"/>
    <w:rsid w:val="65F745A0"/>
    <w:rsid w:val="66082488"/>
    <w:rsid w:val="662C3D86"/>
    <w:rsid w:val="665160D1"/>
    <w:rsid w:val="66733D9A"/>
    <w:rsid w:val="66A104B4"/>
    <w:rsid w:val="66B04254"/>
    <w:rsid w:val="66CF3274"/>
    <w:rsid w:val="66E46C3E"/>
    <w:rsid w:val="66F93E9C"/>
    <w:rsid w:val="67003CA2"/>
    <w:rsid w:val="6709456A"/>
    <w:rsid w:val="670E78AE"/>
    <w:rsid w:val="67176EC9"/>
    <w:rsid w:val="671F0FB0"/>
    <w:rsid w:val="671F176D"/>
    <w:rsid w:val="672B20B4"/>
    <w:rsid w:val="6732749E"/>
    <w:rsid w:val="674F2661"/>
    <w:rsid w:val="67504EF7"/>
    <w:rsid w:val="67517615"/>
    <w:rsid w:val="675906F4"/>
    <w:rsid w:val="677249CF"/>
    <w:rsid w:val="677D525B"/>
    <w:rsid w:val="67AD7253"/>
    <w:rsid w:val="67C61EC6"/>
    <w:rsid w:val="67EE7068"/>
    <w:rsid w:val="67F76C7B"/>
    <w:rsid w:val="68061E21"/>
    <w:rsid w:val="680934EE"/>
    <w:rsid w:val="68176562"/>
    <w:rsid w:val="68260E99"/>
    <w:rsid w:val="68353A1B"/>
    <w:rsid w:val="683E5F0F"/>
    <w:rsid w:val="684F393C"/>
    <w:rsid w:val="68506548"/>
    <w:rsid w:val="685528A2"/>
    <w:rsid w:val="68702D51"/>
    <w:rsid w:val="687F500E"/>
    <w:rsid w:val="688123A5"/>
    <w:rsid w:val="688408D1"/>
    <w:rsid w:val="68894DD6"/>
    <w:rsid w:val="68A0111A"/>
    <w:rsid w:val="68A1110F"/>
    <w:rsid w:val="68A4027C"/>
    <w:rsid w:val="68C029D2"/>
    <w:rsid w:val="68C20C94"/>
    <w:rsid w:val="68C31AAD"/>
    <w:rsid w:val="68CE548F"/>
    <w:rsid w:val="68D213BC"/>
    <w:rsid w:val="68E02B0E"/>
    <w:rsid w:val="68E40EEF"/>
    <w:rsid w:val="68E61886"/>
    <w:rsid w:val="68F41E02"/>
    <w:rsid w:val="68F51E61"/>
    <w:rsid w:val="693605BC"/>
    <w:rsid w:val="694330B4"/>
    <w:rsid w:val="69456FAB"/>
    <w:rsid w:val="69466A4F"/>
    <w:rsid w:val="6955203E"/>
    <w:rsid w:val="695C0666"/>
    <w:rsid w:val="698A121D"/>
    <w:rsid w:val="699F4295"/>
    <w:rsid w:val="69CF4D73"/>
    <w:rsid w:val="69DB2541"/>
    <w:rsid w:val="69E60257"/>
    <w:rsid w:val="69F310D3"/>
    <w:rsid w:val="69F81385"/>
    <w:rsid w:val="6A0B25C3"/>
    <w:rsid w:val="6A191A30"/>
    <w:rsid w:val="6A306488"/>
    <w:rsid w:val="6A344FBD"/>
    <w:rsid w:val="6A566FB4"/>
    <w:rsid w:val="6A683796"/>
    <w:rsid w:val="6A7F1956"/>
    <w:rsid w:val="6A8871A8"/>
    <w:rsid w:val="6A897E58"/>
    <w:rsid w:val="6A9F767E"/>
    <w:rsid w:val="6ABA61C9"/>
    <w:rsid w:val="6AC6447C"/>
    <w:rsid w:val="6AD07427"/>
    <w:rsid w:val="6AF26BAB"/>
    <w:rsid w:val="6AF96F2D"/>
    <w:rsid w:val="6B0A057B"/>
    <w:rsid w:val="6B1B32AE"/>
    <w:rsid w:val="6B240C47"/>
    <w:rsid w:val="6B403DFC"/>
    <w:rsid w:val="6B655CFB"/>
    <w:rsid w:val="6B6A592B"/>
    <w:rsid w:val="6B792CBD"/>
    <w:rsid w:val="6B874212"/>
    <w:rsid w:val="6B910FBA"/>
    <w:rsid w:val="6B9A7602"/>
    <w:rsid w:val="6B9C05B7"/>
    <w:rsid w:val="6B9F6537"/>
    <w:rsid w:val="6BA03F0A"/>
    <w:rsid w:val="6BAF6B1E"/>
    <w:rsid w:val="6BC079EA"/>
    <w:rsid w:val="6BC359B6"/>
    <w:rsid w:val="6BC62F8A"/>
    <w:rsid w:val="6BDE7434"/>
    <w:rsid w:val="6C021F0A"/>
    <w:rsid w:val="6C2C3A85"/>
    <w:rsid w:val="6C3010C2"/>
    <w:rsid w:val="6C3B3C44"/>
    <w:rsid w:val="6C3D7BA9"/>
    <w:rsid w:val="6C4564B3"/>
    <w:rsid w:val="6C65425B"/>
    <w:rsid w:val="6C672DC5"/>
    <w:rsid w:val="6C74350F"/>
    <w:rsid w:val="6C7C6D01"/>
    <w:rsid w:val="6C7D5E2A"/>
    <w:rsid w:val="6C82206E"/>
    <w:rsid w:val="6C8E5622"/>
    <w:rsid w:val="6C92642F"/>
    <w:rsid w:val="6C942C45"/>
    <w:rsid w:val="6CA13B76"/>
    <w:rsid w:val="6CA26F02"/>
    <w:rsid w:val="6CA535BE"/>
    <w:rsid w:val="6CAB12C7"/>
    <w:rsid w:val="6CB13F82"/>
    <w:rsid w:val="6CBC050F"/>
    <w:rsid w:val="6CC76514"/>
    <w:rsid w:val="6CD53726"/>
    <w:rsid w:val="6CF2446B"/>
    <w:rsid w:val="6CF41FAC"/>
    <w:rsid w:val="6D094751"/>
    <w:rsid w:val="6D0A0E85"/>
    <w:rsid w:val="6D1E05EF"/>
    <w:rsid w:val="6D3005DC"/>
    <w:rsid w:val="6D420392"/>
    <w:rsid w:val="6D421ED4"/>
    <w:rsid w:val="6D4A0929"/>
    <w:rsid w:val="6D535020"/>
    <w:rsid w:val="6D620264"/>
    <w:rsid w:val="6D682465"/>
    <w:rsid w:val="6D6B3188"/>
    <w:rsid w:val="6D786DE0"/>
    <w:rsid w:val="6D910386"/>
    <w:rsid w:val="6D9D619B"/>
    <w:rsid w:val="6DB048AE"/>
    <w:rsid w:val="6DBD6214"/>
    <w:rsid w:val="6DC0406D"/>
    <w:rsid w:val="6DDA1BF9"/>
    <w:rsid w:val="6DDA5D52"/>
    <w:rsid w:val="6DDE32DF"/>
    <w:rsid w:val="6E1520C4"/>
    <w:rsid w:val="6E2316A9"/>
    <w:rsid w:val="6E372C5E"/>
    <w:rsid w:val="6E465071"/>
    <w:rsid w:val="6E4C7DD2"/>
    <w:rsid w:val="6E5538FD"/>
    <w:rsid w:val="6E582978"/>
    <w:rsid w:val="6E656751"/>
    <w:rsid w:val="6E7C74D2"/>
    <w:rsid w:val="6E8F30A1"/>
    <w:rsid w:val="6E903F3B"/>
    <w:rsid w:val="6E966BB4"/>
    <w:rsid w:val="6EA94912"/>
    <w:rsid w:val="6EB974D2"/>
    <w:rsid w:val="6EC94D97"/>
    <w:rsid w:val="6ED60893"/>
    <w:rsid w:val="6EDE4A35"/>
    <w:rsid w:val="6EE40A27"/>
    <w:rsid w:val="6EE67CF7"/>
    <w:rsid w:val="6EEA386C"/>
    <w:rsid w:val="6F0E5D0E"/>
    <w:rsid w:val="6F133F43"/>
    <w:rsid w:val="6F235C63"/>
    <w:rsid w:val="6F2847AA"/>
    <w:rsid w:val="6F342A00"/>
    <w:rsid w:val="6F3608D0"/>
    <w:rsid w:val="6F395BB0"/>
    <w:rsid w:val="6F455F48"/>
    <w:rsid w:val="6F474F60"/>
    <w:rsid w:val="6F6B6F0D"/>
    <w:rsid w:val="6F6E322F"/>
    <w:rsid w:val="6F7A5FE2"/>
    <w:rsid w:val="6F83046C"/>
    <w:rsid w:val="6F87013A"/>
    <w:rsid w:val="6F981B9C"/>
    <w:rsid w:val="6FA727B0"/>
    <w:rsid w:val="6FAC64C5"/>
    <w:rsid w:val="6FAE2B8B"/>
    <w:rsid w:val="6FBA7860"/>
    <w:rsid w:val="6FBB464B"/>
    <w:rsid w:val="6FBC323C"/>
    <w:rsid w:val="6FCD75F3"/>
    <w:rsid w:val="6FED7B50"/>
    <w:rsid w:val="6FF638CB"/>
    <w:rsid w:val="70133CE5"/>
    <w:rsid w:val="703B64B4"/>
    <w:rsid w:val="704831A4"/>
    <w:rsid w:val="704A190C"/>
    <w:rsid w:val="704F0797"/>
    <w:rsid w:val="70504EA4"/>
    <w:rsid w:val="70590940"/>
    <w:rsid w:val="70726AB4"/>
    <w:rsid w:val="70841ED5"/>
    <w:rsid w:val="70901EE7"/>
    <w:rsid w:val="70A14A17"/>
    <w:rsid w:val="70A56174"/>
    <w:rsid w:val="70B61C14"/>
    <w:rsid w:val="70CD4F7E"/>
    <w:rsid w:val="70F76041"/>
    <w:rsid w:val="71255C41"/>
    <w:rsid w:val="71256093"/>
    <w:rsid w:val="71286FE4"/>
    <w:rsid w:val="71347194"/>
    <w:rsid w:val="713D7BF3"/>
    <w:rsid w:val="7149030C"/>
    <w:rsid w:val="714A3267"/>
    <w:rsid w:val="714A5C93"/>
    <w:rsid w:val="716D52AD"/>
    <w:rsid w:val="71733325"/>
    <w:rsid w:val="71834E4C"/>
    <w:rsid w:val="71861D71"/>
    <w:rsid w:val="71931459"/>
    <w:rsid w:val="719904E3"/>
    <w:rsid w:val="71A54464"/>
    <w:rsid w:val="71A716D3"/>
    <w:rsid w:val="71A87C47"/>
    <w:rsid w:val="71A9330A"/>
    <w:rsid w:val="71AC2725"/>
    <w:rsid w:val="71B56D17"/>
    <w:rsid w:val="71EC4500"/>
    <w:rsid w:val="71F02E06"/>
    <w:rsid w:val="720F0CAD"/>
    <w:rsid w:val="721C1F3D"/>
    <w:rsid w:val="722A721E"/>
    <w:rsid w:val="723076FF"/>
    <w:rsid w:val="72323442"/>
    <w:rsid w:val="72392B8B"/>
    <w:rsid w:val="72436555"/>
    <w:rsid w:val="724D058C"/>
    <w:rsid w:val="72532EC8"/>
    <w:rsid w:val="72875A85"/>
    <w:rsid w:val="72900E3B"/>
    <w:rsid w:val="729F080B"/>
    <w:rsid w:val="72A16C92"/>
    <w:rsid w:val="72AB3ECA"/>
    <w:rsid w:val="72AF352D"/>
    <w:rsid w:val="72B366C7"/>
    <w:rsid w:val="72B854FA"/>
    <w:rsid w:val="72BA4E32"/>
    <w:rsid w:val="72CE539C"/>
    <w:rsid w:val="72DE1524"/>
    <w:rsid w:val="72E82E61"/>
    <w:rsid w:val="72ED3DCE"/>
    <w:rsid w:val="72F74A7A"/>
    <w:rsid w:val="73000864"/>
    <w:rsid w:val="7314117B"/>
    <w:rsid w:val="734E6A5B"/>
    <w:rsid w:val="735F552D"/>
    <w:rsid w:val="736013EA"/>
    <w:rsid w:val="736A2F44"/>
    <w:rsid w:val="737501BA"/>
    <w:rsid w:val="737A5154"/>
    <w:rsid w:val="738969C4"/>
    <w:rsid w:val="73912388"/>
    <w:rsid w:val="7399793F"/>
    <w:rsid w:val="73A2179A"/>
    <w:rsid w:val="73A607F7"/>
    <w:rsid w:val="73AC0497"/>
    <w:rsid w:val="73BC47CF"/>
    <w:rsid w:val="73BD0F6B"/>
    <w:rsid w:val="73C33CB9"/>
    <w:rsid w:val="73C86580"/>
    <w:rsid w:val="73E33FF9"/>
    <w:rsid w:val="73EB2F98"/>
    <w:rsid w:val="74037322"/>
    <w:rsid w:val="741014FF"/>
    <w:rsid w:val="742A291E"/>
    <w:rsid w:val="743431AB"/>
    <w:rsid w:val="744A5CCE"/>
    <w:rsid w:val="74622D57"/>
    <w:rsid w:val="746535BC"/>
    <w:rsid w:val="74722692"/>
    <w:rsid w:val="748F2184"/>
    <w:rsid w:val="74A506A4"/>
    <w:rsid w:val="74AF429E"/>
    <w:rsid w:val="74B24322"/>
    <w:rsid w:val="74B76609"/>
    <w:rsid w:val="74B90E6D"/>
    <w:rsid w:val="74CA628D"/>
    <w:rsid w:val="74DC08DA"/>
    <w:rsid w:val="74DC71FA"/>
    <w:rsid w:val="74F2277F"/>
    <w:rsid w:val="74F7313D"/>
    <w:rsid w:val="75157429"/>
    <w:rsid w:val="75183C44"/>
    <w:rsid w:val="75186744"/>
    <w:rsid w:val="7557776D"/>
    <w:rsid w:val="756E15A2"/>
    <w:rsid w:val="757B4D3E"/>
    <w:rsid w:val="75911034"/>
    <w:rsid w:val="75933CAA"/>
    <w:rsid w:val="75935974"/>
    <w:rsid w:val="75950520"/>
    <w:rsid w:val="75986163"/>
    <w:rsid w:val="759D515A"/>
    <w:rsid w:val="75A470F7"/>
    <w:rsid w:val="75B930D2"/>
    <w:rsid w:val="75BC1197"/>
    <w:rsid w:val="75BC5120"/>
    <w:rsid w:val="75C92C6A"/>
    <w:rsid w:val="75D22275"/>
    <w:rsid w:val="75DF4E1B"/>
    <w:rsid w:val="75DF6555"/>
    <w:rsid w:val="75EC496B"/>
    <w:rsid w:val="75F429EC"/>
    <w:rsid w:val="76032781"/>
    <w:rsid w:val="760E2E39"/>
    <w:rsid w:val="760E7965"/>
    <w:rsid w:val="7618636B"/>
    <w:rsid w:val="76261589"/>
    <w:rsid w:val="762F6A97"/>
    <w:rsid w:val="76524122"/>
    <w:rsid w:val="765A741D"/>
    <w:rsid w:val="765B0F6C"/>
    <w:rsid w:val="765E4C24"/>
    <w:rsid w:val="76714715"/>
    <w:rsid w:val="767D327F"/>
    <w:rsid w:val="76832239"/>
    <w:rsid w:val="7688758C"/>
    <w:rsid w:val="7691139B"/>
    <w:rsid w:val="769F7CFD"/>
    <w:rsid w:val="76C7392B"/>
    <w:rsid w:val="76DA6C11"/>
    <w:rsid w:val="76E071AF"/>
    <w:rsid w:val="76EA3AB2"/>
    <w:rsid w:val="76EF7E4C"/>
    <w:rsid w:val="76F51DB3"/>
    <w:rsid w:val="76F62F4D"/>
    <w:rsid w:val="76F82BB8"/>
    <w:rsid w:val="77057F6A"/>
    <w:rsid w:val="770B6DCD"/>
    <w:rsid w:val="771106FE"/>
    <w:rsid w:val="77223B69"/>
    <w:rsid w:val="77262BEE"/>
    <w:rsid w:val="773B1585"/>
    <w:rsid w:val="77436DE2"/>
    <w:rsid w:val="774662B9"/>
    <w:rsid w:val="7757341E"/>
    <w:rsid w:val="77637432"/>
    <w:rsid w:val="7770188B"/>
    <w:rsid w:val="778726A1"/>
    <w:rsid w:val="77881CCE"/>
    <w:rsid w:val="778B057A"/>
    <w:rsid w:val="779375EF"/>
    <w:rsid w:val="779B6BEC"/>
    <w:rsid w:val="77AD1886"/>
    <w:rsid w:val="77AE0249"/>
    <w:rsid w:val="77B23C8F"/>
    <w:rsid w:val="77CA14B7"/>
    <w:rsid w:val="77E015E3"/>
    <w:rsid w:val="77FC13C3"/>
    <w:rsid w:val="78016E3D"/>
    <w:rsid w:val="78036B23"/>
    <w:rsid w:val="780851AE"/>
    <w:rsid w:val="78115884"/>
    <w:rsid w:val="78176577"/>
    <w:rsid w:val="78201AC4"/>
    <w:rsid w:val="78237384"/>
    <w:rsid w:val="782747ED"/>
    <w:rsid w:val="78615D82"/>
    <w:rsid w:val="786711B9"/>
    <w:rsid w:val="78754D3A"/>
    <w:rsid w:val="78764CE4"/>
    <w:rsid w:val="78773988"/>
    <w:rsid w:val="7895169B"/>
    <w:rsid w:val="78A44537"/>
    <w:rsid w:val="78B03A19"/>
    <w:rsid w:val="78C62FE5"/>
    <w:rsid w:val="78DA3AC7"/>
    <w:rsid w:val="78E0302E"/>
    <w:rsid w:val="78E55D8E"/>
    <w:rsid w:val="78FB18CF"/>
    <w:rsid w:val="790A382B"/>
    <w:rsid w:val="791E1F0E"/>
    <w:rsid w:val="79394D20"/>
    <w:rsid w:val="794224AE"/>
    <w:rsid w:val="794235AA"/>
    <w:rsid w:val="797F2B64"/>
    <w:rsid w:val="79905A69"/>
    <w:rsid w:val="79B235D5"/>
    <w:rsid w:val="79CD7E43"/>
    <w:rsid w:val="79E0689C"/>
    <w:rsid w:val="79FD5484"/>
    <w:rsid w:val="7A0B480E"/>
    <w:rsid w:val="7A0E04F3"/>
    <w:rsid w:val="7A102BF2"/>
    <w:rsid w:val="7A176DE0"/>
    <w:rsid w:val="7A40125E"/>
    <w:rsid w:val="7A7A21F1"/>
    <w:rsid w:val="7A923AA5"/>
    <w:rsid w:val="7A9D585D"/>
    <w:rsid w:val="7A9E360E"/>
    <w:rsid w:val="7AB221FA"/>
    <w:rsid w:val="7ABF4524"/>
    <w:rsid w:val="7ADA52A1"/>
    <w:rsid w:val="7ADB4703"/>
    <w:rsid w:val="7AEB30EA"/>
    <w:rsid w:val="7AF256FD"/>
    <w:rsid w:val="7AF376E0"/>
    <w:rsid w:val="7AF41A81"/>
    <w:rsid w:val="7AFA5C1B"/>
    <w:rsid w:val="7B184DED"/>
    <w:rsid w:val="7B247B2B"/>
    <w:rsid w:val="7B2727C1"/>
    <w:rsid w:val="7B296292"/>
    <w:rsid w:val="7B441DF1"/>
    <w:rsid w:val="7B495F06"/>
    <w:rsid w:val="7B5E7E39"/>
    <w:rsid w:val="7B641F2E"/>
    <w:rsid w:val="7B6C18DB"/>
    <w:rsid w:val="7B6C2AEC"/>
    <w:rsid w:val="7B786469"/>
    <w:rsid w:val="7B9406BF"/>
    <w:rsid w:val="7B96270E"/>
    <w:rsid w:val="7BB04DB5"/>
    <w:rsid w:val="7BBD08BC"/>
    <w:rsid w:val="7BC15321"/>
    <w:rsid w:val="7BC62B14"/>
    <w:rsid w:val="7BEC4C0F"/>
    <w:rsid w:val="7C0E38C2"/>
    <w:rsid w:val="7C20550A"/>
    <w:rsid w:val="7C3571B5"/>
    <w:rsid w:val="7C386CA7"/>
    <w:rsid w:val="7C4C64C6"/>
    <w:rsid w:val="7C58547B"/>
    <w:rsid w:val="7C5C57A6"/>
    <w:rsid w:val="7C5E20FB"/>
    <w:rsid w:val="7C62732E"/>
    <w:rsid w:val="7C8720FC"/>
    <w:rsid w:val="7C8A0724"/>
    <w:rsid w:val="7C9B32B1"/>
    <w:rsid w:val="7CA3214C"/>
    <w:rsid w:val="7CC839C3"/>
    <w:rsid w:val="7CCB3AD1"/>
    <w:rsid w:val="7CDD3A0E"/>
    <w:rsid w:val="7D246FA9"/>
    <w:rsid w:val="7D2F54C4"/>
    <w:rsid w:val="7D396B95"/>
    <w:rsid w:val="7D3F6663"/>
    <w:rsid w:val="7D4D6BAC"/>
    <w:rsid w:val="7D6A3F45"/>
    <w:rsid w:val="7D723CB2"/>
    <w:rsid w:val="7D750956"/>
    <w:rsid w:val="7D751976"/>
    <w:rsid w:val="7D87198B"/>
    <w:rsid w:val="7D995817"/>
    <w:rsid w:val="7DB326FA"/>
    <w:rsid w:val="7DB42B98"/>
    <w:rsid w:val="7DCE1FB5"/>
    <w:rsid w:val="7DDA1C66"/>
    <w:rsid w:val="7DDC43A7"/>
    <w:rsid w:val="7DE3691D"/>
    <w:rsid w:val="7DFA7477"/>
    <w:rsid w:val="7E033CA1"/>
    <w:rsid w:val="7E12345B"/>
    <w:rsid w:val="7E181243"/>
    <w:rsid w:val="7E1D2E6C"/>
    <w:rsid w:val="7E39485F"/>
    <w:rsid w:val="7E5A456E"/>
    <w:rsid w:val="7E5A511B"/>
    <w:rsid w:val="7E5E7144"/>
    <w:rsid w:val="7E615500"/>
    <w:rsid w:val="7E6C0E3D"/>
    <w:rsid w:val="7E7D6206"/>
    <w:rsid w:val="7E812D30"/>
    <w:rsid w:val="7E9D4A31"/>
    <w:rsid w:val="7E9D561D"/>
    <w:rsid w:val="7EA43648"/>
    <w:rsid w:val="7EA43C26"/>
    <w:rsid w:val="7EB0230F"/>
    <w:rsid w:val="7EB05134"/>
    <w:rsid w:val="7EC27F8B"/>
    <w:rsid w:val="7EE24B5B"/>
    <w:rsid w:val="7EE77CCD"/>
    <w:rsid w:val="7EEB021C"/>
    <w:rsid w:val="7EF10A99"/>
    <w:rsid w:val="7EF9094C"/>
    <w:rsid w:val="7F107E9D"/>
    <w:rsid w:val="7F227276"/>
    <w:rsid w:val="7F2A60C2"/>
    <w:rsid w:val="7F2E59CF"/>
    <w:rsid w:val="7F30413F"/>
    <w:rsid w:val="7F4829CF"/>
    <w:rsid w:val="7F4A7075"/>
    <w:rsid w:val="7F4D23F2"/>
    <w:rsid w:val="7F5C2D16"/>
    <w:rsid w:val="7F7115C6"/>
    <w:rsid w:val="7F8912DD"/>
    <w:rsid w:val="7F9516E3"/>
    <w:rsid w:val="7FA16E2E"/>
    <w:rsid w:val="7FA67198"/>
    <w:rsid w:val="7FD5628F"/>
    <w:rsid w:val="7FDC4BC1"/>
    <w:rsid w:val="7FE74733"/>
    <w:rsid w:val="7FED2A8E"/>
    <w:rsid w:val="7FEE205F"/>
    <w:rsid w:val="7FF50C32"/>
    <w:rsid w:val="7FFD1E99"/>
    <w:rsid w:val="7FFD6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qFormat="1" w:unhideWhenUsed="0" w:uiPriority="0" w:semiHidden="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4"/>
      <w:szCs w:val="24"/>
      <w:lang w:val="en-US" w:eastAsia="zh-CN" w:bidi="ar-SA"/>
    </w:rPr>
  </w:style>
  <w:style w:type="paragraph" w:styleId="4">
    <w:name w:val="heading 1"/>
    <w:basedOn w:val="1"/>
    <w:next w:val="1"/>
    <w:link w:val="37"/>
    <w:qFormat/>
    <w:uiPriority w:val="0"/>
    <w:pPr>
      <w:keepNext/>
      <w:keepLines/>
      <w:spacing w:before="50" w:beforeLines="50" w:after="50" w:afterLines="50" w:line="360" w:lineRule="auto"/>
      <w:jc w:val="left"/>
      <w:outlineLvl w:val="0"/>
    </w:pPr>
    <w:rPr>
      <w:rFonts w:ascii="Times New Roman" w:hAnsi="Times New Roman" w:eastAsia="宋体"/>
      <w:b/>
      <w:kern w:val="44"/>
      <w:sz w:val="32"/>
    </w:rPr>
  </w:style>
  <w:style w:type="paragraph" w:styleId="5">
    <w:name w:val="heading 2"/>
    <w:basedOn w:val="1"/>
    <w:next w:val="1"/>
    <w:link w:val="48"/>
    <w:qFormat/>
    <w:uiPriority w:val="0"/>
    <w:pPr>
      <w:keepNext/>
      <w:numPr>
        <w:ilvl w:val="1"/>
        <w:numId w:val="0"/>
      </w:numPr>
      <w:spacing w:before="240" w:after="240"/>
      <w:ind w:left="578" w:hanging="578"/>
      <w:jc w:val="left"/>
      <w:outlineLvl w:val="1"/>
    </w:pPr>
    <w:rPr>
      <w:rFonts w:ascii="Arial" w:hAnsi="Arial" w:eastAsia="宋体"/>
      <w:b/>
      <w:sz w:val="28"/>
    </w:rPr>
  </w:style>
  <w:style w:type="paragraph" w:styleId="6">
    <w:name w:val="heading 3"/>
    <w:basedOn w:val="1"/>
    <w:next w:val="7"/>
    <w:qFormat/>
    <w:uiPriority w:val="0"/>
    <w:pPr>
      <w:keepNext/>
      <w:keepLines/>
      <w:spacing w:line="360" w:lineRule="auto"/>
      <w:jc w:val="left"/>
      <w:outlineLvl w:val="2"/>
    </w:pPr>
    <w:rPr>
      <w:rFonts w:ascii="Times New Roman" w:hAnsi="Times New Roman" w:eastAsia="宋体"/>
      <w:b/>
      <w:bCs/>
      <w:sz w:val="28"/>
      <w:szCs w:val="32"/>
    </w:rPr>
  </w:style>
  <w:style w:type="paragraph" w:styleId="8">
    <w:name w:val="heading 4"/>
    <w:basedOn w:val="1"/>
    <w:next w:val="1"/>
    <w:qFormat/>
    <w:uiPriority w:val="0"/>
    <w:pPr>
      <w:keepNext/>
      <w:keepLines/>
      <w:spacing w:line="374" w:lineRule="auto"/>
      <w:outlineLvl w:val="3"/>
    </w:pPr>
    <w:rPr>
      <w:rFonts w:ascii="Arial" w:hAnsi="Arial" w:eastAsia="黑体"/>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2"/>
    <w:qFormat/>
    <w:uiPriority w:val="0"/>
    <w:pPr>
      <w:widowControl w:val="0"/>
      <w:spacing w:after="120"/>
      <w:ind w:firstLine="420" w:firstLineChars="100"/>
      <w:jc w:val="both"/>
    </w:pPr>
    <w:rPr>
      <w:rFonts w:ascii="Times New Roman" w:hAnsi="Times New Roman" w:eastAsia="宋体" w:cs="Times New Roman"/>
      <w:kern w:val="2"/>
      <w:sz w:val="21"/>
      <w:szCs w:val="24"/>
      <w:lang w:val="en-US" w:eastAsia="zh-CN" w:bidi="ar-SA"/>
    </w:rPr>
  </w:style>
  <w:style w:type="paragraph" w:customStyle="1" w:styleId="7">
    <w:name w:val="正文缩进1"/>
    <w:basedOn w:val="1"/>
    <w:qFormat/>
    <w:uiPriority w:val="0"/>
    <w:pPr>
      <w:spacing w:beforeLines="50" w:line="360" w:lineRule="auto"/>
      <w:ind w:firstLine="567"/>
      <w:jc w:val="left"/>
    </w:pPr>
    <w:rPr>
      <w:rFonts w:ascii="Times New Roman" w:hAnsi="Times New Roman" w:eastAsia="宋体" w:cs="Times New Roman"/>
      <w:sz w:val="24"/>
    </w:rPr>
  </w:style>
  <w:style w:type="paragraph" w:styleId="9">
    <w:name w:val="Normal Indent"/>
    <w:basedOn w:val="1"/>
    <w:qFormat/>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kern w:val="1"/>
      <w:sz w:val="21"/>
      <w:szCs w:val="24"/>
      <w:lang w:val="en-US" w:eastAsia="zh-CN" w:bidi="ar-SA"/>
    </w:rPr>
  </w:style>
  <w:style w:type="paragraph" w:styleId="10">
    <w:name w:val="annotation text"/>
    <w:basedOn w:val="1"/>
    <w:link w:val="43"/>
    <w:semiHidden/>
    <w:qFormat/>
    <w:uiPriority w:val="0"/>
    <w:pPr>
      <w:jc w:val="left"/>
    </w:pPr>
  </w:style>
  <w:style w:type="paragraph" w:styleId="11">
    <w:name w:val="Body Text Indent"/>
    <w:basedOn w:val="1"/>
    <w:qFormat/>
    <w:uiPriority w:val="0"/>
    <w:pPr>
      <w:spacing w:after="120"/>
      <w:ind w:left="420" w:leftChars="200"/>
    </w:pPr>
  </w:style>
  <w:style w:type="paragraph" w:styleId="12">
    <w:name w:val="toc 3"/>
    <w:basedOn w:val="1"/>
    <w:next w:val="1"/>
    <w:semiHidden/>
    <w:unhideWhenUsed/>
    <w:qFormat/>
    <w:uiPriority w:val="0"/>
    <w:pPr>
      <w:ind w:left="840" w:leftChars="400"/>
    </w:pPr>
  </w:style>
  <w:style w:type="paragraph" w:styleId="13">
    <w:name w:val="Plain Text"/>
    <w:basedOn w:val="1"/>
    <w:link w:val="44"/>
    <w:qFormat/>
    <w:uiPriority w:val="99"/>
    <w:rPr>
      <w:rFonts w:ascii="宋体" w:hAnsi="Courier New" w:cs="Courier New"/>
      <w:szCs w:val="21"/>
    </w:rPr>
  </w:style>
  <w:style w:type="paragraph" w:styleId="14">
    <w:name w:val="Date"/>
    <w:basedOn w:val="1"/>
    <w:next w:val="1"/>
    <w:qFormat/>
    <w:uiPriority w:val="0"/>
    <w:rPr>
      <w:sz w:val="24"/>
      <w:szCs w:val="20"/>
    </w:rPr>
  </w:style>
  <w:style w:type="paragraph" w:styleId="15">
    <w:name w:val="Balloon Text"/>
    <w:basedOn w:val="1"/>
    <w:link w:val="41"/>
    <w:qFormat/>
    <w:uiPriority w:val="0"/>
    <w:rPr>
      <w:sz w:val="18"/>
      <w:szCs w:val="18"/>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Body Text Indent 3"/>
    <w:basedOn w:val="1"/>
    <w:link w:val="42"/>
    <w:qFormat/>
    <w:uiPriority w:val="0"/>
    <w:pPr>
      <w:spacing w:after="120"/>
      <w:ind w:left="420" w:leftChars="200"/>
    </w:pPr>
    <w:rPr>
      <w:sz w:val="16"/>
      <w:szCs w:val="16"/>
    </w:rPr>
  </w:style>
  <w:style w:type="paragraph" w:styleId="20">
    <w:name w:val="toc 2"/>
    <w:basedOn w:val="1"/>
    <w:next w:val="1"/>
    <w:qFormat/>
    <w:uiPriority w:val="39"/>
    <w:pPr>
      <w:ind w:left="420" w:leftChars="200"/>
    </w:p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2">
    <w:name w:val="annotation subject"/>
    <w:basedOn w:val="10"/>
    <w:next w:val="1"/>
    <w:semiHidden/>
    <w:qFormat/>
    <w:uiPriority w:val="99"/>
    <w:rPr>
      <w:b/>
      <w:bCs/>
    </w:rPr>
  </w:style>
  <w:style w:type="paragraph" w:styleId="23">
    <w:name w:val="Body Text First Indent 2"/>
    <w:basedOn w:val="11"/>
    <w:unhideWhenUsed/>
    <w:qFormat/>
    <w:uiPriority w:val="99"/>
    <w:pPr>
      <w:autoSpaceDE w:val="0"/>
      <w:autoSpaceDN w:val="0"/>
      <w:adjustRightInd w:val="0"/>
      <w:jc w:val="left"/>
    </w:pPr>
    <w:rPr>
      <w:kern w:val="0"/>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0"/>
    <w:rPr>
      <w:b/>
      <w:bCs/>
    </w:rPr>
  </w:style>
  <w:style w:type="character" w:styleId="28">
    <w:name w:val="page number"/>
    <w:basedOn w:val="26"/>
    <w:qFormat/>
    <w:uiPriority w:val="0"/>
  </w:style>
  <w:style w:type="character" w:styleId="29">
    <w:name w:val="Hyperlink"/>
    <w:basedOn w:val="26"/>
    <w:unhideWhenUsed/>
    <w:qFormat/>
    <w:uiPriority w:val="99"/>
    <w:rPr>
      <w:color w:val="0000FF"/>
      <w:u w:val="single"/>
    </w:rPr>
  </w:style>
  <w:style w:type="paragraph" w:customStyle="1" w:styleId="30">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1">
    <w:name w:val="列出段落1"/>
    <w:basedOn w:val="1"/>
    <w:qFormat/>
    <w:uiPriority w:val="34"/>
    <w:pPr>
      <w:ind w:firstLine="420"/>
    </w:pPr>
  </w:style>
  <w:style w:type="paragraph" w:customStyle="1" w:styleId="32">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3">
    <w:name w:val="表"/>
    <w:basedOn w:val="1"/>
    <w:next w:val="1"/>
    <w:qFormat/>
    <w:uiPriority w:val="7"/>
    <w:pPr>
      <w:jc w:val="center"/>
    </w:pPr>
    <w:rPr>
      <w:szCs w:val="21"/>
    </w:rPr>
  </w:style>
  <w:style w:type="paragraph" w:customStyle="1" w:styleId="34">
    <w:name w:val="表文"/>
    <w:basedOn w:val="1"/>
    <w:qFormat/>
    <w:uiPriority w:val="2"/>
    <w:pPr>
      <w:jc w:val="center"/>
    </w:pPr>
  </w:style>
  <w:style w:type="paragraph" w:customStyle="1" w:styleId="35">
    <w:name w:val="p0"/>
    <w:basedOn w:val="1"/>
    <w:qFormat/>
    <w:uiPriority w:val="0"/>
    <w:pPr>
      <w:widowControl/>
    </w:pPr>
    <w:rPr>
      <w:kern w:val="0"/>
      <w:szCs w:val="21"/>
    </w:rPr>
  </w:style>
  <w:style w:type="paragraph" w:customStyle="1" w:styleId="36">
    <w:name w:val="表 靠左"/>
    <w:basedOn w:val="1"/>
    <w:qFormat/>
    <w:uiPriority w:val="0"/>
  </w:style>
  <w:style w:type="character" w:customStyle="1" w:styleId="37">
    <w:name w:val="标题 1 Char"/>
    <w:link w:val="4"/>
    <w:qFormat/>
    <w:uiPriority w:val="0"/>
    <w:rPr>
      <w:rFonts w:ascii="Times New Roman" w:hAnsi="Times New Roman" w:eastAsia="宋体"/>
      <w:b/>
      <w:kern w:val="44"/>
      <w:sz w:val="32"/>
    </w:rPr>
  </w:style>
  <w:style w:type="paragraph" w:styleId="38">
    <w:name w:val="List Paragraph"/>
    <w:basedOn w:val="1"/>
    <w:qFormat/>
    <w:uiPriority w:val="34"/>
    <w:pPr>
      <w:ind w:firstLine="420" w:firstLineChars="200"/>
    </w:pPr>
  </w:style>
  <w:style w:type="character" w:customStyle="1" w:styleId="39">
    <w:name w:val="content_1"/>
    <w:qFormat/>
    <w:uiPriority w:val="0"/>
    <w:rPr>
      <w:rFonts w:ascii="Calibri" w:hAnsi="Calibri" w:eastAsia="宋体" w:cs="Times New Roman"/>
      <w:sz w:val="19"/>
      <w:szCs w:val="19"/>
    </w:rPr>
  </w:style>
  <w:style w:type="character" w:customStyle="1" w:styleId="40">
    <w:name w:val="title_2"/>
    <w:qFormat/>
    <w:uiPriority w:val="0"/>
    <w:rPr>
      <w:rFonts w:ascii="Calibri" w:hAnsi="Calibri" w:eastAsia="宋体" w:cs="Times New Roman"/>
      <w:b/>
      <w:sz w:val="19"/>
      <w:szCs w:val="19"/>
    </w:rPr>
  </w:style>
  <w:style w:type="character" w:customStyle="1" w:styleId="41">
    <w:name w:val="批注框文本 Char"/>
    <w:basedOn w:val="26"/>
    <w:link w:val="15"/>
    <w:qFormat/>
    <w:uiPriority w:val="0"/>
    <w:rPr>
      <w:kern w:val="2"/>
      <w:sz w:val="18"/>
      <w:szCs w:val="18"/>
    </w:rPr>
  </w:style>
  <w:style w:type="character" w:customStyle="1" w:styleId="42">
    <w:name w:val="正文文本缩进 3 Char"/>
    <w:basedOn w:val="26"/>
    <w:link w:val="19"/>
    <w:qFormat/>
    <w:uiPriority w:val="0"/>
    <w:rPr>
      <w:kern w:val="2"/>
      <w:sz w:val="16"/>
      <w:szCs w:val="16"/>
    </w:rPr>
  </w:style>
  <w:style w:type="character" w:customStyle="1" w:styleId="43">
    <w:name w:val="批注文字 Char"/>
    <w:basedOn w:val="26"/>
    <w:link w:val="10"/>
    <w:semiHidden/>
    <w:qFormat/>
    <w:uiPriority w:val="0"/>
    <w:rPr>
      <w:kern w:val="2"/>
      <w:sz w:val="21"/>
      <w:szCs w:val="24"/>
    </w:rPr>
  </w:style>
  <w:style w:type="character" w:customStyle="1" w:styleId="44">
    <w:name w:val="纯文本 Char"/>
    <w:basedOn w:val="26"/>
    <w:link w:val="13"/>
    <w:qFormat/>
    <w:uiPriority w:val="99"/>
    <w:rPr>
      <w:rFonts w:ascii="宋体" w:hAnsi="Courier New" w:cs="Courier New"/>
      <w:kern w:val="2"/>
      <w:sz w:val="21"/>
      <w:szCs w:val="21"/>
    </w:rPr>
  </w:style>
  <w:style w:type="character" w:customStyle="1" w:styleId="45">
    <w:name w:val="font31"/>
    <w:basedOn w:val="26"/>
    <w:qFormat/>
    <w:uiPriority w:val="0"/>
    <w:rPr>
      <w:rFonts w:hint="eastAsia" w:ascii="宋体" w:hAnsi="宋体" w:eastAsia="宋体" w:cs="宋体"/>
      <w:b/>
      <w:color w:val="000000"/>
      <w:sz w:val="22"/>
      <w:szCs w:val="22"/>
      <w:u w:val="none"/>
    </w:rPr>
  </w:style>
  <w:style w:type="character" w:customStyle="1" w:styleId="46">
    <w:name w:val="font71"/>
    <w:basedOn w:val="26"/>
    <w:qFormat/>
    <w:uiPriority w:val="0"/>
    <w:rPr>
      <w:rFonts w:hint="eastAsia" w:ascii="宋体" w:hAnsi="宋体" w:eastAsia="宋体" w:cs="宋体"/>
      <w:color w:val="000000"/>
      <w:sz w:val="21"/>
      <w:szCs w:val="21"/>
      <w:u w:val="none"/>
    </w:rPr>
  </w:style>
  <w:style w:type="character" w:customStyle="1" w:styleId="47">
    <w:name w:val="font21"/>
    <w:basedOn w:val="26"/>
    <w:qFormat/>
    <w:uiPriority w:val="0"/>
    <w:rPr>
      <w:rFonts w:hint="eastAsia" w:ascii="宋体" w:hAnsi="宋体" w:eastAsia="宋体" w:cs="宋体"/>
      <w:color w:val="000000"/>
      <w:sz w:val="24"/>
      <w:szCs w:val="24"/>
      <w:u w:val="none"/>
    </w:rPr>
  </w:style>
  <w:style w:type="character" w:customStyle="1" w:styleId="48">
    <w:name w:val="标题 2 Char"/>
    <w:basedOn w:val="26"/>
    <w:link w:val="5"/>
    <w:qFormat/>
    <w:uiPriority w:val="0"/>
    <w:rPr>
      <w:rFonts w:ascii="Arial" w:hAnsi="Arial" w:eastAsia="宋体"/>
      <w:b/>
      <w:sz w:val="28"/>
    </w:rPr>
  </w:style>
  <w:style w:type="paragraph" w:customStyle="1" w:styleId="49">
    <w:name w:val="WPSOffice手动目录 1"/>
    <w:qFormat/>
    <w:uiPriority w:val="0"/>
    <w:pPr>
      <w:ind w:leftChars="0"/>
    </w:pPr>
    <w:rPr>
      <w:rFonts w:asciiTheme="minorHAnsi" w:hAnsiTheme="minorHAnsi" w:eastAsiaTheme="minorEastAsia" w:cstheme="minorBidi"/>
      <w:sz w:val="20"/>
      <w:szCs w:val="20"/>
    </w:rPr>
  </w:style>
  <w:style w:type="paragraph" w:customStyle="1" w:styleId="50">
    <w:name w:val="WPSOffice手动目录 2"/>
    <w:qFormat/>
    <w:uiPriority w:val="0"/>
    <w:pPr>
      <w:ind w:leftChars="200"/>
    </w:pPr>
    <w:rPr>
      <w:rFonts w:asciiTheme="minorHAnsi" w:hAnsiTheme="minorHAnsi" w:eastAsiaTheme="minorEastAsia" w:cstheme="minorBidi"/>
      <w:sz w:val="20"/>
      <w:szCs w:val="20"/>
    </w:rPr>
  </w:style>
  <w:style w:type="paragraph" w:customStyle="1" w:styleId="51">
    <w:name w:val="WPSOffice手动目录 3"/>
    <w:qFormat/>
    <w:uiPriority w:val="0"/>
    <w:pPr>
      <w:ind w:leftChars="400"/>
    </w:pPr>
    <w:rPr>
      <w:rFonts w:asciiTheme="minorHAnsi" w:hAnsiTheme="minorHAnsi" w:eastAsiaTheme="minorEastAsia" w:cstheme="minorBidi"/>
      <w:sz w:val="20"/>
      <w:szCs w:val="20"/>
    </w:rPr>
  </w:style>
  <w:style w:type="paragraph" w:customStyle="1" w:styleId="52">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0\template\wps\0"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D830A6-477C-468C-A853-322F819D0099}">
  <ds:schemaRefs/>
</ds:datastoreItem>
</file>

<file path=docProps/app.xml><?xml version="1.0" encoding="utf-8"?>
<Properties xmlns="http://schemas.openxmlformats.org/officeDocument/2006/extended-properties" xmlns:vt="http://schemas.openxmlformats.org/officeDocument/2006/docPropsVTypes">
  <Template>0</Template>
  <Company>微软中国</Company>
  <Pages>1</Pages>
  <Words>5257</Words>
  <Characters>29966</Characters>
  <Lines>249</Lines>
  <Paragraphs>70</Paragraphs>
  <TotalTime>296</TotalTime>
  <ScaleCrop>false</ScaleCrop>
  <LinksUpToDate>false</LinksUpToDate>
  <CharactersWithSpaces>35153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2018-06-08T03:01:00Z</dcterms:created>
  <dc:creator>1383204802</dc:creator>
  <cp:lastModifiedBy>Administrator</cp:lastModifiedBy>
  <cp:lastPrinted>2021-07-22T08:06:32Z</cp:lastPrinted>
  <dcterms:modified xsi:type="dcterms:W3CDTF">2021-07-22T08:14:31Z</dcterms:modified>
  <cp:revision>167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4DB2A07E930A43578BFB1376864D134C</vt:lpwstr>
  </property>
</Properties>
</file>