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B8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28"/>
          <w:szCs w:val="28"/>
          <w:lang w:val="en-US" w:eastAsia="zh-CN"/>
        </w:rPr>
      </w:pPr>
    </w:p>
    <w:p w14:paraId="6A9C2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eastAsia="zh-CN"/>
        </w:rPr>
        <w:t>隆回县人民政府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val="en-US" w:eastAsia="zh-CN"/>
        </w:rPr>
        <w:t>花门</w:t>
      </w: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  <w:lang w:eastAsia="zh-CN"/>
        </w:rPr>
        <w:t>街道办事处</w:t>
      </w:r>
    </w:p>
    <w:p w14:paraId="0851D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28"/>
          <w:szCs w:val="28"/>
        </w:rPr>
        <w:t>部门整体支出绩效自评报告</w:t>
      </w:r>
    </w:p>
    <w:p w14:paraId="6A275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2B7A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、单位基本情况</w:t>
      </w:r>
    </w:p>
    <w:p w14:paraId="0B34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机构情况。</w:t>
      </w:r>
    </w:p>
    <w:p w14:paraId="2E2CF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(一）街道党工委、办事处设置6个党政内设机构</w:t>
      </w:r>
    </w:p>
    <w:p w14:paraId="0FB8E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.党政综合办公室</w:t>
      </w:r>
    </w:p>
    <w:p w14:paraId="6B60C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主要负责机关党务和行政事务工作；负责机关文电、机要、保密、信息、会务、档案、督办、政务公开、后勤保障等工作；负责重要事项的综合协调和重要文稿的起草审核工作；承担社会经济调查和综合统计等职责。</w:t>
      </w:r>
    </w:p>
    <w:p w14:paraId="1FFF2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.基层党建办公室</w:t>
      </w:r>
    </w:p>
    <w:p w14:paraId="69F3B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主要负责基层党的建设、意识形态、统一战线工作；负责协调辖区内群团组织开展工作；负责机关干部队伍建设等工作。</w:t>
      </w:r>
    </w:p>
    <w:p w14:paraId="5B51E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.经济发展办公室（挂农业农村工作办公室牌子和扶贫工作办公室两块牌子）</w:t>
      </w:r>
    </w:p>
    <w:p w14:paraId="61ECF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紧扣城乡基层治理，聚焦乡村振兴等重点工作，承担经济发展规划的制定和落实，第一、二、三产业的指导、管理等职责；负责道路交通建设的相关工作；负责精准扶贫、移民开发等工作；负责产业发展、乡镇企业、民营企业、招商引资、科技普及等工作；负责产品质量、食品药品安全、市场监管等工作；负责农村经济、农业发展、水利等工作；负责动物检疫防疫等工作；承担农民负担监督管理、农村土地承包管理、集体资产与村级财务管理指导、村级财务审计、农民专业合作组织指导和管理等职责；负责协调与发展经济相关的其他工作。</w:t>
      </w:r>
    </w:p>
    <w:p w14:paraId="038EE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.社会事务办公室（挂行政审批服务办公室牌子）</w:t>
      </w:r>
    </w:p>
    <w:p w14:paraId="4D87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负责就业和社会保障、民政优抚、社会救助、医疗保障、卫生健康、文体、计生、教育、慈善、民族宗教等工作；负责退役军人事务等工作；负责行政审批和公共服务事项管理工作；负责协调职业技能培训和劳务输出、劳动争议调解、社会保障服务等工作。</w:t>
      </w:r>
    </w:p>
    <w:p w14:paraId="10848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.社会治安和应急管理办公室</w:t>
      </w:r>
    </w:p>
    <w:p w14:paraId="2202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负责社会治安、维护社会稳定、群众工作和应急管理工作；承担人民来信来访职责，协调政法综治、群防群治、司法、人民调解、安全文明创建等工作。负责宣传贯彻安全生产有关法律、法规、政策；负责安全生产综合监管和打非治违、禁毒等工作；负责突发公共事件（如火灾、洪灾、旱灾、地震、地质灾害等自然灾害、事故灾难、公共卫生事件，社会安全事件等）的应急管理和处置等工作。</w:t>
      </w:r>
    </w:p>
    <w:p w14:paraId="3E35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.自然资源和生态环境办公室</w:t>
      </w:r>
    </w:p>
    <w:p w14:paraId="218C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负责宣传贯彻自然资源、生态环境保护、城镇建设和管理有关法律、法规政策；负责自然资源管理工作；负责村镇城市规划、建设、管理工作；负责市容市貌、环境卫生整治工作；负责基础设施建设与维护工作；负责协调小区物业管理工作；负责生态环境建设、环境保护监督管理等工作。</w:t>
      </w:r>
    </w:p>
    <w:p w14:paraId="26E4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依法设置人大机构，依章程依规定设置政协机构、党的纪律检查委员会和监察机构、工会、共青团、妇联等组织。</w:t>
      </w:r>
    </w:p>
    <w:p w14:paraId="103AB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设立人民武装部，依法履行国防动员、国防教育、国防设施保护、兵役征集、双拥、民兵预备役建设等职能。</w:t>
      </w:r>
    </w:p>
    <w:p w14:paraId="42E02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财政所暂维持现有管理体制。</w:t>
      </w:r>
    </w:p>
    <w:p w14:paraId="2E52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（二）街道党工委、办事处设置1个综合行政执法大队</w:t>
      </w:r>
    </w:p>
    <w:p w14:paraId="3AA4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县级主管部门未设置专业执法机构的，根据县级主管部门的委托，由行政综合执法大队以镇（乡）人民政府（街道办事处）名义开展执法工作，依法相对集中行使行政处罚权，接受县级主管部门的业务指导和监督；县级主管部门设置有专业执法机构的，根据县级主管部门的委托，负责本行政区域（县城规划区除外）范围内的日常巡查、综合检查、接受投诉举报、协助调查取证等工作，加强联合执法、联动执法。</w:t>
      </w:r>
    </w:p>
    <w:p w14:paraId="4A304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（三）街道党工委、办事处设置4个直属事业单位</w:t>
      </w:r>
    </w:p>
    <w:p w14:paraId="0926E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（1）社会事务综合服务中心</w:t>
      </w:r>
    </w:p>
    <w:p w14:paraId="6CB1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群众提供社会事业公共服务。宣传贯彻相关政策方针；负责劳动就业、残疾人事业和基本养老、医疗、工伤、失业等社会保险相关事务性工作；为群众文化生活提供服务。组织群众文化体育活动，繁荣群众文化生活，协助管理文化市场、广播电视等工作；负责网格化综合管理的事务性、辅助性工作，为网格化管理的巡查、指挥、调度、督办等工作提供技术支撑。</w:t>
      </w:r>
    </w:p>
    <w:p w14:paraId="2AF80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（2）农业综合服务中心（挂动物防疫站牌子）</w:t>
      </w:r>
    </w:p>
    <w:p w14:paraId="11CE1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农村农业发展、提高农民科技文化水平提供保障和服务。宣传贯彻相关法律、法规、政策；负责农业技术推广应用与指导，农作物病虫害监测与防治，农产品质量监管服务；负责国家强制免疫的动物疫病的免疫接种和重大动物疫病的检测、报告、控制与扑灭，开展畜禽水产品品种改良工作；负责水利基本建设规划的实施，水利设施防洪保安与开发利用，防汛抗旱等事务性工作；负责保护森林资源，推广林业科学技术，加强林区生态建设、森林防火与病虫害防治等工作；做好其他相关社会服务工作。</w:t>
      </w:r>
    </w:p>
    <w:p w14:paraId="212E6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（3）政务服务中心</w:t>
      </w:r>
    </w:p>
    <w:p w14:paraId="68C3D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负责本级和经授权行使的相关行政审批服务、证照办理、信息咨询、非涉密文件查询服务等工作，进一步优化审批流程，简化审批程序，为居民提供优质快捷的政务服务；负责对窗口工作人员的绩效考核工作；受理当事人对窗口及窗口工作人员服务质量、办事效率等方面的投诉等。</w:t>
      </w:r>
    </w:p>
    <w:p w14:paraId="68058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(4)退役军人服务站</w:t>
      </w:r>
    </w:p>
    <w:p w14:paraId="5218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协调落实就业创业、优扶优待、权益保障等方面的政策，承担信息采集、关系转接、联络接待、帮扶援助、情况摸底、走访慰问等事务性工作。</w:t>
      </w:r>
    </w:p>
    <w:p w14:paraId="21F4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人员编制情况</w:t>
      </w:r>
    </w:p>
    <w:p w14:paraId="3698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年12月31日，单位共计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人，其中机关公务员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58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人，工勤人员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人，财政所公务员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人，工勤人员4人，其余事业单位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人。</w:t>
      </w:r>
    </w:p>
    <w:p w14:paraId="4B827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主要职能职责</w:t>
      </w:r>
    </w:p>
    <w:p w14:paraId="06AD1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贯彻执行党的路线、方针、政策和国家法律法规，贯彻执行上级行政机关的决议，执行街道人民代表大会的决议。制定和实施本行政区域的经济和社会发展计划，编制并执行财政预算。管理本行政区域经济和各项社会事业的行政工作。负责辖区内行政执法工作，维护社会秩序，保护公民人身、民主、财产等合法权利，保护各种经济组织的合法权益。完成上级党委政府交办的其他事项以及法律规定的其它职责。</w:t>
      </w:r>
    </w:p>
    <w:p w14:paraId="06B8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年的重点工作</w:t>
      </w:r>
    </w:p>
    <w:p w14:paraId="3DDDC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（一）2023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街道在县委、县政府的正确领导下，以习近平新时代中国特色社会主义思想为指引，深入学习贯彻党的二十大精神，完整、准确、全面贯彻新发展理念，推动高质量发展，坚决贯彻落实县委、县政府的决策部署，花门街道上下一心、团结奋进，各项工作较好完成。1～12月份，预计实现地区生产总值 66.5亿元，同比增长6.3%；全社会固定资产投资 18.94亿元，完成全年任务200%多，在全县遥遥领先；工业总产值约 9.82 亿元，同比增长3.1 %，社会零售品消费总额34813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万元，增速6.1%。</w:t>
      </w:r>
    </w:p>
    <w:p w14:paraId="3D38D34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）突出政治引领，建强基层党建堡垒</w:t>
      </w:r>
    </w:p>
    <w:p w14:paraId="682960C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一是聚焦中心强思想，坚持旗帜鲜明讲政治。二是规范提升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固根基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，培厚基层治理新沃土。三是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党建赋能聚合力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，筑牢高质量发展根基。</w:t>
      </w:r>
    </w:p>
    <w:p w14:paraId="7214A50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2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2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深化平安建设，提升社会治理效能</w:t>
      </w:r>
    </w:p>
    <w:p w14:paraId="6A3F7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社区强基工程工作。二是扎实开展社会治理七项重点工作。</w:t>
      </w:r>
    </w:p>
    <w:p w14:paraId="6AB3C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仿宋_GB2312" w:hAnsi="仿宋_GB2312" w:eastAsia="楷体_GB2312" w:cs="仿宋_GB2312"/>
          <w:sz w:val="28"/>
          <w:szCs w:val="28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3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建设美丽乡村</w:t>
      </w:r>
      <w:r>
        <w:rPr>
          <w:rFonts w:hint="eastAsia" w:ascii="楷体_GB2312" w:hAnsi="仿宋" w:eastAsia="楷体_GB2312" w:cs="仿宋"/>
          <w:b/>
          <w:sz w:val="28"/>
          <w:szCs w:val="28"/>
        </w:rPr>
        <w:t>，深化人居环境整治</w:t>
      </w:r>
    </w:p>
    <w:p w14:paraId="05CA1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一是突出整治重点，美化道路环境。二是加强督导考核，建立常态化机制。</w:t>
      </w:r>
    </w:p>
    <w:p w14:paraId="624EE7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562" w:firstLineChars="200"/>
        <w:textAlignment w:val="auto"/>
        <w:rPr>
          <w:rFonts w:eastAsia="楷体_GB2312"/>
          <w:sz w:val="28"/>
          <w:szCs w:val="28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4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r>
        <w:rPr>
          <w:rFonts w:hint="eastAsia" w:ascii="楷体_GB2312" w:eastAsia="楷体_GB2312"/>
          <w:b/>
          <w:sz w:val="28"/>
          <w:szCs w:val="28"/>
        </w:rPr>
        <w:t>发展特色产业</w:t>
      </w:r>
      <w:r>
        <w:rPr>
          <w:rFonts w:hint="eastAsia" w:ascii="楷体_GB2312" w:hAnsi="仿宋" w:eastAsia="楷体_GB2312" w:cs="仿宋"/>
          <w:b/>
          <w:sz w:val="28"/>
          <w:szCs w:val="28"/>
        </w:rPr>
        <w:t>，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全面推进</w:t>
      </w:r>
      <w:r>
        <w:rPr>
          <w:rFonts w:hint="eastAsia" w:ascii="楷体_GB2312" w:hAnsi="仿宋" w:eastAsia="楷体_GB2312" w:cs="仿宋"/>
          <w:b/>
          <w:sz w:val="28"/>
          <w:szCs w:val="28"/>
        </w:rPr>
        <w:t>乡村振兴</w:t>
      </w:r>
    </w:p>
    <w:p w14:paraId="0918B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仿宋_GB2312" w:hAnsi="仿宋_GB2312" w:eastAsia="楷体_GB2312" w:cs="仿宋_GB2312"/>
          <w:sz w:val="28"/>
          <w:szCs w:val="28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5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）强化服务意识，民生保障有力有效</w:t>
      </w:r>
    </w:p>
    <w:p w14:paraId="3760F3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562" w:firstLineChars="200"/>
        <w:textAlignment w:val="auto"/>
        <w:rPr>
          <w:rFonts w:ascii="楷体_GB2312" w:hAnsi="仿宋" w:eastAsia="楷体_GB2312" w:cs="仿宋"/>
          <w:b/>
          <w:sz w:val="28"/>
          <w:szCs w:val="28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6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）注重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监督执纪</w:t>
      </w:r>
      <w:r>
        <w:rPr>
          <w:rFonts w:hint="eastAsia" w:ascii="楷体_GB2312" w:hAnsi="仿宋" w:eastAsia="楷体_GB2312" w:cs="仿宋"/>
          <w:b/>
          <w:sz w:val="28"/>
          <w:szCs w:val="28"/>
        </w:rPr>
        <w:t>，狠抓干部作风建设</w:t>
      </w:r>
    </w:p>
    <w:p w14:paraId="0DE8FB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562" w:firstLineChars="200"/>
        <w:textAlignment w:val="auto"/>
        <w:rPr>
          <w:rFonts w:hint="default" w:ascii="楷体_GB2312" w:hAnsi="仿宋" w:eastAsia="楷体_GB2312" w:cs="仿宋"/>
          <w:b/>
          <w:sz w:val="28"/>
          <w:szCs w:val="28"/>
          <w:lang w:val="en-US" w:eastAsia="zh-CN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7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bookmarkStart w:id="0" w:name="_GoBack"/>
      <w:bookmarkEnd w:id="0"/>
      <w:r>
        <w:rPr>
          <w:rFonts w:hint="eastAsia" w:ascii="楷体_GB2312" w:hAnsi="仿宋" w:eastAsia="楷体_GB2312" w:cs="仿宋"/>
          <w:b/>
          <w:sz w:val="28"/>
          <w:szCs w:val="28"/>
        </w:rPr>
        <w:t>严守耕地红线，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强化违法用地整改</w:t>
      </w:r>
    </w:p>
    <w:p w14:paraId="6817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一是严格农村宅基地审批。二是加强耕地“非农化”“非粮化”整改。</w:t>
      </w:r>
    </w:p>
    <w:p w14:paraId="0397A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）部门整体支出情况</w:t>
      </w:r>
    </w:p>
    <w:p w14:paraId="661D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本年支出合计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5131.9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万元，与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4514.03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万元相比增加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617.87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万元，增加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13.69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%，其中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项目增加、人员经费增加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E54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二、部门整体支出管理及使用情况</w:t>
      </w:r>
    </w:p>
    <w:p w14:paraId="25DE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（一）基本支出情况</w:t>
      </w:r>
    </w:p>
    <w:p w14:paraId="572BF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年度我单位的基本支出数为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4714.2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万元，这是为保障单位机构正常运转、完成日常工作任务而发生的各项支出，包括用于基本工资、津贴补贴等人员经费以及办公费、印刷费、水电费、办公设备购置等日常公用经费及村级运转等经费。</w:t>
      </w:r>
    </w:p>
    <w:p w14:paraId="6D33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）县级专项资金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情况</w:t>
      </w:r>
    </w:p>
    <w:p w14:paraId="150F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我单位在202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县级专项资金无，本单位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项目支出为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417.7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主要为村级建设项目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CC1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（三）“三公”经费情况</w:t>
      </w:r>
    </w:p>
    <w:p w14:paraId="7C570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因公出国（境）费用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3AAA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公务接待费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0.73万元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37CC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公务用车购置及运行费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3.97万元，</w:t>
      </w: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主要是公车运行的加油、保险等开支。</w:t>
      </w:r>
    </w:p>
    <w:p w14:paraId="30D600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三、政府性基金预算支出情况</w:t>
      </w:r>
    </w:p>
    <w:p w14:paraId="09ECB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2023年政府性基金预算财政拨款支出0万元，2022年支出13万元，同比减少13万元，减少率100%，原因为2023年无基金支出。</w:t>
      </w:r>
    </w:p>
    <w:p w14:paraId="083FA1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国有资本经营预算支出情况</w:t>
      </w:r>
    </w:p>
    <w:p w14:paraId="2D4D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2023年国有资本经营预算支出0元</w:t>
      </w:r>
    </w:p>
    <w:p w14:paraId="448436E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社会保险基金预算支出情况</w:t>
      </w:r>
    </w:p>
    <w:p w14:paraId="4F82F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2023年社会保险基金预算支出0元</w:t>
      </w:r>
    </w:p>
    <w:p w14:paraId="3CA618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、部门整体支出绩效情况</w:t>
      </w:r>
    </w:p>
    <w:p w14:paraId="64F8FD8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突出政治引领，建强基层党建堡垒</w:t>
      </w:r>
    </w:p>
    <w:p w14:paraId="71D7F3B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562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2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r>
        <w:rPr>
          <w:rFonts w:hint="eastAsia" w:ascii="楷体_GB2312" w:hAnsi="仿宋" w:eastAsia="楷体_GB2312" w:cs="仿宋"/>
          <w:b/>
          <w:sz w:val="28"/>
          <w:szCs w:val="28"/>
          <w:lang w:eastAsia="zh-CN"/>
        </w:rPr>
        <w:t>、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深化平安建设，提升社会治理效能</w:t>
      </w:r>
    </w:p>
    <w:p w14:paraId="70DE9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3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r>
        <w:rPr>
          <w:rFonts w:hint="eastAsia" w:ascii="楷体_GB2312" w:hAnsi="仿宋" w:eastAsia="楷体_GB2312" w:cs="仿宋"/>
          <w:b/>
          <w:sz w:val="28"/>
          <w:szCs w:val="28"/>
          <w:lang w:eastAsia="zh-CN"/>
        </w:rPr>
        <w:t>、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建设美丽乡村</w:t>
      </w:r>
      <w:r>
        <w:rPr>
          <w:rFonts w:hint="eastAsia" w:ascii="楷体_GB2312" w:hAnsi="仿宋" w:eastAsia="楷体_GB2312" w:cs="仿宋"/>
          <w:b/>
          <w:sz w:val="28"/>
          <w:szCs w:val="28"/>
        </w:rPr>
        <w:t>，深化人居环境整治</w:t>
      </w:r>
    </w:p>
    <w:p w14:paraId="2862D3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562" w:firstLineChars="200"/>
        <w:textAlignment w:val="auto"/>
        <w:rPr>
          <w:rFonts w:hint="eastAsia" w:ascii="楷体_GB2312" w:hAnsi="仿宋" w:eastAsia="楷体_GB2312" w:cs="仿宋"/>
          <w:b/>
          <w:sz w:val="28"/>
          <w:szCs w:val="28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4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r>
        <w:rPr>
          <w:rFonts w:hint="eastAsia" w:ascii="楷体_GB2312" w:hAnsi="仿宋" w:eastAsia="楷体_GB2312" w:cs="仿宋"/>
          <w:b/>
          <w:sz w:val="28"/>
          <w:szCs w:val="28"/>
          <w:lang w:eastAsia="zh-CN"/>
        </w:rPr>
        <w:t>、</w:t>
      </w:r>
      <w:r>
        <w:rPr>
          <w:rFonts w:hint="eastAsia" w:ascii="楷体_GB2312" w:eastAsia="楷体_GB2312"/>
          <w:b/>
          <w:sz w:val="28"/>
          <w:szCs w:val="28"/>
        </w:rPr>
        <w:t>发展特色产业</w:t>
      </w:r>
      <w:r>
        <w:rPr>
          <w:rFonts w:hint="eastAsia" w:ascii="楷体_GB2312" w:hAnsi="仿宋" w:eastAsia="楷体_GB2312" w:cs="仿宋"/>
          <w:b/>
          <w:sz w:val="28"/>
          <w:szCs w:val="28"/>
        </w:rPr>
        <w:t>，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全面推进</w:t>
      </w:r>
      <w:r>
        <w:rPr>
          <w:rFonts w:hint="eastAsia" w:ascii="楷体_GB2312" w:hAnsi="仿宋" w:eastAsia="楷体_GB2312" w:cs="仿宋"/>
          <w:b/>
          <w:sz w:val="28"/>
          <w:szCs w:val="28"/>
        </w:rPr>
        <w:t>乡村振兴</w:t>
      </w:r>
    </w:p>
    <w:p w14:paraId="1B66D5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562" w:firstLineChars="200"/>
        <w:textAlignment w:val="auto"/>
        <w:rPr>
          <w:rFonts w:ascii="仿宋_GB2312" w:hAnsi="仿宋_GB2312" w:eastAsia="楷体_GB2312" w:cs="仿宋_GB2312"/>
          <w:sz w:val="28"/>
          <w:szCs w:val="28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5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r>
        <w:rPr>
          <w:rFonts w:hint="eastAsia" w:ascii="楷体_GB2312" w:hAnsi="仿宋" w:eastAsia="楷体_GB2312" w:cs="仿宋"/>
          <w:b/>
          <w:sz w:val="28"/>
          <w:szCs w:val="28"/>
          <w:lang w:eastAsia="zh-CN"/>
        </w:rPr>
        <w:t>、</w:t>
      </w:r>
      <w:r>
        <w:rPr>
          <w:rFonts w:hint="eastAsia" w:ascii="楷体_GB2312" w:hAnsi="仿宋" w:eastAsia="楷体_GB2312" w:cs="仿宋"/>
          <w:b/>
          <w:sz w:val="28"/>
          <w:szCs w:val="28"/>
        </w:rPr>
        <w:t>强化服务意识，民生保障有力有效</w:t>
      </w:r>
    </w:p>
    <w:p w14:paraId="5E113A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562" w:firstLineChars="200"/>
        <w:textAlignment w:val="auto"/>
        <w:rPr>
          <w:rFonts w:ascii="楷体_GB2312" w:hAnsi="仿宋" w:eastAsia="楷体_GB2312" w:cs="仿宋"/>
          <w:b/>
          <w:sz w:val="28"/>
          <w:szCs w:val="28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6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r>
        <w:rPr>
          <w:rFonts w:hint="eastAsia" w:ascii="楷体_GB2312" w:hAnsi="仿宋" w:eastAsia="楷体_GB2312" w:cs="仿宋"/>
          <w:b/>
          <w:sz w:val="28"/>
          <w:szCs w:val="28"/>
          <w:lang w:eastAsia="zh-CN"/>
        </w:rPr>
        <w:t>、</w:t>
      </w:r>
      <w:r>
        <w:rPr>
          <w:rFonts w:hint="eastAsia" w:ascii="楷体_GB2312" w:hAnsi="仿宋" w:eastAsia="楷体_GB2312" w:cs="仿宋"/>
          <w:b/>
          <w:sz w:val="28"/>
          <w:szCs w:val="28"/>
        </w:rPr>
        <w:t>注重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监督执纪</w:t>
      </w:r>
      <w:r>
        <w:rPr>
          <w:rFonts w:hint="eastAsia" w:ascii="楷体_GB2312" w:hAnsi="仿宋" w:eastAsia="楷体_GB2312" w:cs="仿宋"/>
          <w:b/>
          <w:sz w:val="28"/>
          <w:szCs w:val="28"/>
        </w:rPr>
        <w:t>，狠抓干部作风建设</w:t>
      </w:r>
    </w:p>
    <w:p w14:paraId="78A49A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ind w:firstLine="562" w:firstLineChars="200"/>
        <w:textAlignment w:val="auto"/>
        <w:rPr>
          <w:rFonts w:hint="default" w:ascii="楷体_GB2312" w:hAnsi="仿宋" w:eastAsia="楷体_GB2312" w:cs="仿宋"/>
          <w:b/>
          <w:sz w:val="28"/>
          <w:szCs w:val="28"/>
          <w:lang w:val="en-US" w:eastAsia="zh-CN"/>
        </w:rPr>
      </w:pPr>
      <w:r>
        <w:rPr>
          <w:rFonts w:hint="eastAsia" w:ascii="楷体_GB2312" w:hAnsi="仿宋" w:eastAsia="楷体_GB2312" w:cs="仿宋"/>
          <w:b/>
          <w:sz w:val="28"/>
          <w:szCs w:val="28"/>
        </w:rPr>
        <w:t>（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7</w:t>
      </w:r>
      <w:r>
        <w:rPr>
          <w:rFonts w:hint="eastAsia" w:ascii="楷体_GB2312" w:hAnsi="仿宋" w:eastAsia="楷体_GB2312" w:cs="仿宋"/>
          <w:b/>
          <w:sz w:val="28"/>
          <w:szCs w:val="28"/>
        </w:rPr>
        <w:t>）</w:t>
      </w:r>
      <w:r>
        <w:rPr>
          <w:rFonts w:hint="eastAsia" w:ascii="楷体_GB2312" w:hAnsi="仿宋" w:eastAsia="楷体_GB2312" w:cs="仿宋"/>
          <w:b/>
          <w:sz w:val="28"/>
          <w:szCs w:val="28"/>
          <w:lang w:eastAsia="zh-CN"/>
        </w:rPr>
        <w:t>、</w:t>
      </w:r>
      <w:r>
        <w:rPr>
          <w:rFonts w:hint="eastAsia" w:ascii="楷体_GB2312" w:hAnsi="仿宋" w:eastAsia="楷体_GB2312" w:cs="仿宋"/>
          <w:b/>
          <w:sz w:val="28"/>
          <w:szCs w:val="28"/>
        </w:rPr>
        <w:t>严守耕地红线，</w:t>
      </w:r>
      <w:r>
        <w:rPr>
          <w:rFonts w:hint="eastAsia" w:ascii="楷体_GB2312" w:hAnsi="仿宋" w:eastAsia="楷体_GB2312" w:cs="仿宋"/>
          <w:b/>
          <w:sz w:val="28"/>
          <w:szCs w:val="28"/>
          <w:lang w:val="en-US" w:eastAsia="zh-CN"/>
        </w:rPr>
        <w:t>强化违法用地整改</w:t>
      </w:r>
    </w:p>
    <w:p w14:paraId="441F89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存在的问题</w:t>
      </w:r>
    </w:p>
    <w:p w14:paraId="719B0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1.近些年来，县对街道（乡镇）这实行了新的财政体制，对街道（乡镇）的财政投入越来越大，但各项公共事业等工作开支日益增大，而公用经费有限，财政非常困难，保工资保运转的资金压力较大。</w:t>
      </w:r>
    </w:p>
    <w:p w14:paraId="14A0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2.街道（乡镇）无其他收入来源，基本依靠县财政拨款。</w:t>
      </w:r>
    </w:p>
    <w:p w14:paraId="4BEF913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3.各种突发工作增多，却无经费解决。</w:t>
      </w:r>
    </w:p>
    <w:p w14:paraId="5A91C2C4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改进措施及有关建议</w:t>
      </w:r>
    </w:p>
    <w:p w14:paraId="62C55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规范财政管理，严格执行预算。一是在预算编制上要严格按照“零基预算、部门预算”的编制方法，本着透明、公开的原则进行详细、具体的编制。二是在预算执行过程中，加强管理，严格监督，按时足额发放工资。三是增强支出透明度，实行政务公开。堵塞漏洞，减少支出随意性，发挥财政支出的效益。</w:t>
      </w:r>
    </w:p>
    <w:p w14:paraId="663E3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contextualSpacing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2、县财政应加大对乡镇（街道）财力投入，应保尽保。</w:t>
      </w:r>
    </w:p>
    <w:p w14:paraId="2046E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0FE5C63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报告应包括以下附件：</w:t>
      </w:r>
    </w:p>
    <w:p w14:paraId="3740C43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1.部门整体支出绩效评价基础数据表</w:t>
      </w:r>
    </w:p>
    <w:p w14:paraId="1212548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2.部门整体支出绩效自评表</w:t>
      </w:r>
    </w:p>
    <w:p w14:paraId="4776EED4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353F35DD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495CEC96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144F78CA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64CE16FE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2B8A2DB5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3CE14125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9D93664">
      <w:pPr>
        <w:pStyle w:val="10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2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1053"/>
        <w:gridCol w:w="936"/>
        <w:gridCol w:w="1078"/>
      </w:tblGrid>
      <w:tr w14:paraId="0BE7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1686863D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6127" w:type="dxa"/>
            <w:gridSpan w:val="6"/>
            <w:vAlign w:val="center"/>
          </w:tcPr>
          <w:p w14:paraId="400E34E8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隆回县人民政府花门街道办事处</w:t>
            </w:r>
          </w:p>
        </w:tc>
      </w:tr>
      <w:tr w14:paraId="75FF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00" w:type="dxa"/>
            <w:vMerge w:val="restart"/>
            <w:vAlign w:val="center"/>
          </w:tcPr>
          <w:p w14:paraId="5AE31BD0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7DD53A24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180" w:type="dxa"/>
            <w:gridSpan w:val="2"/>
            <w:vAlign w:val="center"/>
          </w:tcPr>
          <w:p w14:paraId="7DB58362">
            <w:pPr>
              <w:pStyle w:val="1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2023年实际在职人数</w:t>
            </w:r>
          </w:p>
        </w:tc>
        <w:tc>
          <w:tcPr>
            <w:tcW w:w="2014" w:type="dxa"/>
            <w:gridSpan w:val="2"/>
            <w:vAlign w:val="center"/>
          </w:tcPr>
          <w:p w14:paraId="0726B67D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0A68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4341A726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3098EEE8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172</w:t>
            </w:r>
          </w:p>
        </w:tc>
        <w:tc>
          <w:tcPr>
            <w:tcW w:w="2180" w:type="dxa"/>
            <w:gridSpan w:val="2"/>
            <w:vAlign w:val="center"/>
          </w:tcPr>
          <w:p w14:paraId="6D862119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203</w:t>
            </w:r>
          </w:p>
        </w:tc>
        <w:tc>
          <w:tcPr>
            <w:tcW w:w="2014" w:type="dxa"/>
            <w:gridSpan w:val="2"/>
            <w:vAlign w:val="center"/>
          </w:tcPr>
          <w:p w14:paraId="6F5062A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100%</w:t>
            </w:r>
          </w:p>
        </w:tc>
      </w:tr>
      <w:tr w14:paraId="56EC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0" w:type="dxa"/>
            <w:vAlign w:val="center"/>
          </w:tcPr>
          <w:p w14:paraId="7CB494FB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3B917444">
            <w:pPr>
              <w:pStyle w:val="1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2022年决算数</w:t>
            </w:r>
          </w:p>
        </w:tc>
        <w:tc>
          <w:tcPr>
            <w:tcW w:w="2180" w:type="dxa"/>
            <w:gridSpan w:val="2"/>
            <w:vAlign w:val="center"/>
          </w:tcPr>
          <w:p w14:paraId="7358A46D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2023年预算数</w:t>
            </w:r>
          </w:p>
        </w:tc>
        <w:tc>
          <w:tcPr>
            <w:tcW w:w="2014" w:type="dxa"/>
            <w:gridSpan w:val="2"/>
            <w:vAlign w:val="center"/>
          </w:tcPr>
          <w:p w14:paraId="60F4098F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</w:tr>
      <w:tr w14:paraId="1161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 w14:paraId="36C8182C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14:paraId="3439E212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6.31</w:t>
            </w:r>
          </w:p>
        </w:tc>
        <w:tc>
          <w:tcPr>
            <w:tcW w:w="2180" w:type="dxa"/>
            <w:gridSpan w:val="2"/>
            <w:vAlign w:val="center"/>
          </w:tcPr>
          <w:p w14:paraId="24000C0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9.8</w:t>
            </w:r>
          </w:p>
        </w:tc>
        <w:tc>
          <w:tcPr>
            <w:tcW w:w="2014" w:type="dxa"/>
            <w:gridSpan w:val="2"/>
            <w:vAlign w:val="center"/>
          </w:tcPr>
          <w:p w14:paraId="7E1BE969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4.7</w:t>
            </w:r>
          </w:p>
        </w:tc>
      </w:tr>
      <w:tr w14:paraId="111A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 w14:paraId="41FB4B94">
            <w:pPr>
              <w:pStyle w:val="10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 w14:paraId="4C329772"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14:paraId="0205F973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581B9D98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014" w:type="dxa"/>
            <w:gridSpan w:val="2"/>
            <w:vAlign w:val="center"/>
          </w:tcPr>
          <w:p w14:paraId="48B7685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3.97</w:t>
            </w:r>
          </w:p>
        </w:tc>
      </w:tr>
      <w:tr w14:paraId="2F1F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 w14:paraId="3B1D72F7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14:paraId="3912C53B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622B3471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280A22FF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9AB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644D473C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14:paraId="21CBD034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3.7</w:t>
            </w:r>
          </w:p>
        </w:tc>
        <w:tc>
          <w:tcPr>
            <w:tcW w:w="2180" w:type="dxa"/>
            <w:gridSpan w:val="2"/>
            <w:vAlign w:val="center"/>
          </w:tcPr>
          <w:p w14:paraId="19C767A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014" w:type="dxa"/>
            <w:gridSpan w:val="2"/>
            <w:vAlign w:val="center"/>
          </w:tcPr>
          <w:p w14:paraId="3C53AA8A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3.97</w:t>
            </w:r>
          </w:p>
        </w:tc>
      </w:tr>
      <w:tr w14:paraId="07C7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00" w:type="dxa"/>
            <w:vAlign w:val="center"/>
          </w:tcPr>
          <w:p w14:paraId="037FE7D9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14:paraId="2D80FC9B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1073A992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14FC6899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04DA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 w14:paraId="7F345801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14:paraId="269AAC14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2.61</w:t>
            </w:r>
          </w:p>
        </w:tc>
        <w:tc>
          <w:tcPr>
            <w:tcW w:w="2180" w:type="dxa"/>
            <w:gridSpan w:val="2"/>
            <w:vAlign w:val="center"/>
          </w:tcPr>
          <w:p w14:paraId="0A2050AB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3.8</w:t>
            </w:r>
          </w:p>
        </w:tc>
        <w:tc>
          <w:tcPr>
            <w:tcW w:w="2014" w:type="dxa"/>
            <w:gridSpan w:val="2"/>
            <w:vAlign w:val="center"/>
          </w:tcPr>
          <w:p w14:paraId="59700491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0.73</w:t>
            </w:r>
          </w:p>
        </w:tc>
      </w:tr>
      <w:tr w14:paraId="53A1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 w14:paraId="71E6E1B5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14:paraId="032DBA2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4F58AD96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52311510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7CB7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7E2B4EA2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14:paraId="0302DA89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770A3806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43AF3036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4F6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18882BE4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14:paraId="2AC00B1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2200CF3B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294F2451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CFE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6B72E398">
            <w:pPr>
              <w:pStyle w:val="1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14:paraId="322BC50E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31BD0639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1201738A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3CE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 w14:paraId="4845B2FB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14:paraId="1A9B3524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778.42</w:t>
            </w:r>
          </w:p>
        </w:tc>
        <w:tc>
          <w:tcPr>
            <w:tcW w:w="2180" w:type="dxa"/>
            <w:gridSpan w:val="2"/>
            <w:vAlign w:val="center"/>
          </w:tcPr>
          <w:p w14:paraId="7268D98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278.05</w:t>
            </w:r>
          </w:p>
        </w:tc>
        <w:tc>
          <w:tcPr>
            <w:tcW w:w="2014" w:type="dxa"/>
            <w:gridSpan w:val="2"/>
            <w:vAlign w:val="center"/>
          </w:tcPr>
          <w:p w14:paraId="6DD6E768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724.61</w:t>
            </w:r>
          </w:p>
        </w:tc>
      </w:tr>
      <w:tr w14:paraId="197D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 w14:paraId="75A8AC84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14:paraId="5615D18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91.06</w:t>
            </w:r>
          </w:p>
        </w:tc>
        <w:tc>
          <w:tcPr>
            <w:tcW w:w="2180" w:type="dxa"/>
            <w:gridSpan w:val="2"/>
            <w:vAlign w:val="center"/>
          </w:tcPr>
          <w:p w14:paraId="300FDB48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014" w:type="dxa"/>
            <w:gridSpan w:val="2"/>
            <w:vAlign w:val="center"/>
          </w:tcPr>
          <w:p w14:paraId="20922D4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31.42</w:t>
            </w:r>
          </w:p>
        </w:tc>
      </w:tr>
      <w:tr w14:paraId="517D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 w14:paraId="325414CC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14:paraId="2A2F0FC3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16.65</w:t>
            </w:r>
          </w:p>
        </w:tc>
        <w:tc>
          <w:tcPr>
            <w:tcW w:w="2180" w:type="dxa"/>
            <w:gridSpan w:val="2"/>
            <w:vAlign w:val="center"/>
          </w:tcPr>
          <w:p w14:paraId="0D03F49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014" w:type="dxa"/>
            <w:gridSpan w:val="2"/>
            <w:vAlign w:val="center"/>
          </w:tcPr>
          <w:p w14:paraId="46A5CEBE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28.99</w:t>
            </w:r>
          </w:p>
        </w:tc>
      </w:tr>
      <w:tr w14:paraId="4C2A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0" w:type="dxa"/>
            <w:vAlign w:val="center"/>
          </w:tcPr>
          <w:p w14:paraId="6586DB65">
            <w:pPr>
              <w:pStyle w:val="1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14:paraId="64F8765F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4.56</w:t>
            </w:r>
          </w:p>
        </w:tc>
        <w:tc>
          <w:tcPr>
            <w:tcW w:w="2180" w:type="dxa"/>
            <w:gridSpan w:val="2"/>
            <w:vAlign w:val="center"/>
          </w:tcPr>
          <w:p w14:paraId="22921DC9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20.57</w:t>
            </w:r>
          </w:p>
        </w:tc>
        <w:tc>
          <w:tcPr>
            <w:tcW w:w="2014" w:type="dxa"/>
            <w:gridSpan w:val="2"/>
            <w:vAlign w:val="center"/>
          </w:tcPr>
          <w:p w14:paraId="0DAE0993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11.95</w:t>
            </w:r>
          </w:p>
        </w:tc>
      </w:tr>
      <w:tr w14:paraId="6F82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 w14:paraId="19761802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14:paraId="1E1B436A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165</w:t>
            </w:r>
          </w:p>
        </w:tc>
        <w:tc>
          <w:tcPr>
            <w:tcW w:w="2180" w:type="dxa"/>
            <w:gridSpan w:val="2"/>
            <w:vAlign w:val="center"/>
          </w:tcPr>
          <w:p w14:paraId="2C15AC1F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6.75</w:t>
            </w:r>
          </w:p>
        </w:tc>
        <w:tc>
          <w:tcPr>
            <w:tcW w:w="2014" w:type="dxa"/>
            <w:gridSpan w:val="2"/>
            <w:vAlign w:val="center"/>
          </w:tcPr>
          <w:p w14:paraId="7A091AAF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97.5</w:t>
            </w:r>
          </w:p>
        </w:tc>
      </w:tr>
      <w:tr w14:paraId="4177D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271C23F7">
            <w:pPr>
              <w:pStyle w:val="1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1FDDA692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0404C660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5350E3E5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8B2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00" w:type="dxa"/>
            <w:vMerge w:val="restart"/>
            <w:vAlign w:val="center"/>
          </w:tcPr>
          <w:p w14:paraId="6225CD6D">
            <w:pPr>
              <w:pStyle w:val="10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0AEEEA70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4C43A927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3052132A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1053" w:type="dxa"/>
            <w:vAlign w:val="center"/>
          </w:tcPr>
          <w:p w14:paraId="2D3401A3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936" w:type="dxa"/>
            <w:vAlign w:val="center"/>
          </w:tcPr>
          <w:p w14:paraId="0D066877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1078" w:type="dxa"/>
            <w:vAlign w:val="center"/>
          </w:tcPr>
          <w:p w14:paraId="646000B4"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7AE1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211F5344">
            <w:pPr>
              <w:pStyle w:val="1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782CD728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83" w:type="dxa"/>
            <w:vAlign w:val="center"/>
          </w:tcPr>
          <w:p w14:paraId="06320A7C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27" w:type="dxa"/>
            <w:vAlign w:val="center"/>
          </w:tcPr>
          <w:p w14:paraId="241174BE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53" w:type="dxa"/>
            <w:vAlign w:val="center"/>
          </w:tcPr>
          <w:p w14:paraId="3C80917B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41AA0B8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78" w:type="dxa"/>
            <w:vAlign w:val="center"/>
          </w:tcPr>
          <w:p w14:paraId="2F6A6A51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27B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 w14:paraId="40EA6015">
            <w:pPr>
              <w:pStyle w:val="1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6127" w:type="dxa"/>
            <w:gridSpan w:val="6"/>
            <w:vAlign w:val="center"/>
          </w:tcPr>
          <w:p w14:paraId="59B15FD7">
            <w:pPr>
              <w:pStyle w:val="1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 w14:paraId="0DFFEF8C">
      <w:pPr>
        <w:pStyle w:val="10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261481DE">
      <w:pPr>
        <w:pStyle w:val="10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1960A21C">
      <w:pPr>
        <w:pStyle w:val="10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54053EC8"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0DE839BD"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296E4A96"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2E060264">
      <w:pP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</w:pPr>
    </w:p>
    <w:p w14:paraId="46139DC2">
      <w:pPr>
        <w:rPr>
          <w:rFonts w:hint="eastAsia"/>
          <w:lang w:eastAsia="zh-CN"/>
        </w:rPr>
      </w:pPr>
    </w:p>
    <w:p w14:paraId="7DA2EBB1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2146ED1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11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1223"/>
      </w:tblGrid>
      <w:tr w14:paraId="17482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56732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AA7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隆回县人民政府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花门</w:t>
            </w:r>
            <w:r>
              <w:rPr>
                <w:rFonts w:hint="eastAsia" w:ascii="仿宋_GB2312" w:eastAsia="仿宋_GB2312"/>
                <w:kern w:val="0"/>
                <w:szCs w:val="21"/>
              </w:rPr>
              <w:t>街道办事处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CB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0A23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2DE730D3">
            <w:pPr>
              <w:spacing w:line="240" w:lineRule="exact"/>
              <w:ind w:firstLine="0" w:firstLineChars="0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</w:p>
          <w:p w14:paraId="013156C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D454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7AAB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D56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ABDB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78A5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A88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F088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20BD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486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1E9C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15DA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3547.81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C00A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5131.9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D1B4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5131.9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59CC">
            <w:pPr>
              <w:spacing w:line="240" w:lineRule="exact"/>
              <w:ind w:firstLine="0" w:firstLineChars="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71502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BF68D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 w14:paraId="5C87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2520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BBB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BDD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3168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252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CA04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5131.9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A4EB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5131.9</w:t>
            </w:r>
          </w:p>
        </w:tc>
      </w:tr>
      <w:tr w14:paraId="038DD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9FE2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60C9"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1439">
            <w:pPr>
              <w:spacing w:line="240" w:lineRule="exact"/>
              <w:ind w:firstLine="540" w:firstLineChars="3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县级专项资金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CCA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FF75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A2964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604.45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160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854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074D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933D">
            <w:pPr>
              <w:spacing w:line="240" w:lineRule="exact"/>
              <w:ind w:firstLine="1260" w:firstLineChars="7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B498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5728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78C97F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B3205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93D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641D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70256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ED14B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强化党建引领、推进乡村振兴、推进重点项目、推动产业发展、推进民生保障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AF57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突出政治引领，建强基层党建堡垒</w:t>
            </w:r>
          </w:p>
          <w:p w14:paraId="7B9761B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深化平安建设，提升社会治理效能</w:t>
            </w:r>
          </w:p>
          <w:p w14:paraId="3D626530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建设美丽乡村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，深化人居环境整治</w:t>
            </w:r>
          </w:p>
          <w:p w14:paraId="77236CCE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发展特色产业，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全面推进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乡村振兴</w:t>
            </w:r>
          </w:p>
          <w:p w14:paraId="6302B06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强化服务意识，民生保障有力有效</w:t>
            </w:r>
          </w:p>
          <w:p w14:paraId="1C2068C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注重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监督执纪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，狠抓干部作风建设</w:t>
            </w:r>
          </w:p>
          <w:p w14:paraId="0058AE22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严守耕地红线，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强化违法用地整改</w:t>
            </w:r>
          </w:p>
          <w:p w14:paraId="11F0CD8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C248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7C9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238DB62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C3AD03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655BE42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3DE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465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7EA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44CF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7F2A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946D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5A87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D56C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7B184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11B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DB14F7E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1ADE6017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259C9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6348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审批服务便民化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9C0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50件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CDA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50件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C8B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9AC7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6CA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7276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7DD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5F5FD3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B411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684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禁毒宣传活动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9D32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≥200次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6AD6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200次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370E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A194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17A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A228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EA3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45BC4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CFB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4EE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9DC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F97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CA2B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2BB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779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538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C63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0C778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6A4EF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1D1D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工程验收合格率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27B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0E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8854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2092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9763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D78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993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DBBED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25C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F319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各项工作合格率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F39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91D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DD81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CC35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2FB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D89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FF7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91A55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5C3B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61C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5ED5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41D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B40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C89E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D25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005F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DF4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5701E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43A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5A24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各个项目完成时间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170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按计划完成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6F1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按计划完成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BDB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6376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3AFC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5DF2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C77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4B6BB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FEC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321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预算执行率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6F3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98%以上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F5D4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5D46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580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4E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BBB5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0EC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793BB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FEF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4D8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050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3EA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080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20C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1621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DD88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4B3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66DBC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85E4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8E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基本支出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39F6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2240.81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89D4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4714.2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4C5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051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81643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年初绩效目标根据预算填报，实际拨款数大于预算数</w:t>
            </w:r>
          </w:p>
        </w:tc>
      </w:tr>
      <w:tr w14:paraId="2B42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ADBB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A13FA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2C1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E7D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项目支出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28E8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1307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68F2A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417.7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FAF0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4E6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06D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年初绩效目标根据预算填报，实际拨款数小于预算数</w:t>
            </w:r>
          </w:p>
        </w:tc>
      </w:tr>
      <w:tr w14:paraId="65617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2ECB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75E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F887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E8F8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9CF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8DE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E1FD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244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3C0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4AF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3EB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FA31494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58F7CDDA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CEE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C19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村集体经济收入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8025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C363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17F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F45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0DD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D5BB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469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9ADAE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7327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9CC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农业增收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2FE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</w:rPr>
              <w:t>00万元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81A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</w:rPr>
              <w:t>00万元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7FD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AF78"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6875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089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329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DE10B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50C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E414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EDA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4E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EAA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C87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FFB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3D73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2245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BC9B94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DC60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21FDE365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6DB4B3E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3BF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社会维稳形势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252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较好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5201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较好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F33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B1F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C2B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1DE5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52C3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C067E4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163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84F8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带动就业增长率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5476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Cs w:val="21"/>
              </w:rPr>
              <w:t>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6C08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Cs w:val="21"/>
              </w:rPr>
              <w:t>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10DE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365F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7AE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51B1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5230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A2DB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597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B13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44D0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AD29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DF8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A20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4C8E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3C1F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1DE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B511C6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02F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FA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河道绿化情况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43D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较好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20A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较好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ABD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B8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90F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3F1E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370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AE541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1DD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60F5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生态环境污染防治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5A1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显著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ED7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显著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5C8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1EC8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72AF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4F3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2B1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770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4ADF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C0B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EEBE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295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12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D05A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0A1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100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345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50AF7C4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41F44D8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3887E4A2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38F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E2E7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4A4927C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768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提升全镇人居环境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C870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长期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D331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长期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B97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B989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B2F0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4D4B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E9C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DE51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54D7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08F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脱贫攻坚帮扶措施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605A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健全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A9D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健全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0A8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3A1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C31F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E9BB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BF62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A7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8441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4C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DDB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933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4009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4510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545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8BF4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B1A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973D624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C1B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33C1939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4DDC5C0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307AB80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F10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7C0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95%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DF1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92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5ADA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56C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D3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63A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D524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D43182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459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信访群众满意度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7DC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95%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94F8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95%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EDE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BFA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67E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B0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CFB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81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0E7C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CE7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D20B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2B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AAAD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B25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000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F854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8E29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316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3770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F0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7F2D5A42">
      <w:pPr>
        <w:spacing w:line="600" w:lineRule="exact"/>
        <w:jc w:val="left"/>
        <w:rPr>
          <w:rFonts w:hint="default" w:ascii="仿宋" w:hAnsi="仿宋" w:eastAsia="仿宋_GB2312" w:cs="仿宋"/>
          <w:kern w:val="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233D8A-DB90-48EB-A7F6-6105A953DA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4962DD-C87B-4EBE-8882-7779AC2A3B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F2907C8F-9917-4B6E-9C22-04191A9005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8C57FBA-7779-4A3D-B518-9A69475F90A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B81FC67-96AE-4623-9DDB-7D0402C655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E5B8EDC4-6226-44F9-BF22-2E8E53E8A95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E40A8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6C24D">
                          <w:pPr>
                            <w:pStyle w:val="7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6C24D">
                    <w:pPr>
                      <w:pStyle w:val="7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F514"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63FF4B78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046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03C9D6"/>
    <w:multiLevelType w:val="singleLevel"/>
    <w:tmpl w:val="0F03C9D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817AF1"/>
    <w:multiLevelType w:val="singleLevel"/>
    <w:tmpl w:val="7D817A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5NzcyMDUwZDg4NzVkODMxOTI0Y2I3MjQ3MGU2NTgifQ=="/>
    <w:docVar w:name="KSO_WPS_MARK_KEY" w:val="50c2d4a4-3031-4938-81f7-829e5dfc1037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746D33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856C30"/>
    <w:rsid w:val="0A9B55FC"/>
    <w:rsid w:val="0AD96F7B"/>
    <w:rsid w:val="0AE24082"/>
    <w:rsid w:val="0B1D155E"/>
    <w:rsid w:val="0B301291"/>
    <w:rsid w:val="0BC65752"/>
    <w:rsid w:val="0C6B6720"/>
    <w:rsid w:val="0C760F26"/>
    <w:rsid w:val="0C9E6D20"/>
    <w:rsid w:val="0CB0030D"/>
    <w:rsid w:val="0CBD4DA7"/>
    <w:rsid w:val="0CC779D3"/>
    <w:rsid w:val="0CDD2D53"/>
    <w:rsid w:val="0D766D04"/>
    <w:rsid w:val="0DD74424"/>
    <w:rsid w:val="0E8F2773"/>
    <w:rsid w:val="0EF44384"/>
    <w:rsid w:val="0F31382A"/>
    <w:rsid w:val="0F3A448D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C57FC2"/>
    <w:rsid w:val="13C72A25"/>
    <w:rsid w:val="13DD7ADC"/>
    <w:rsid w:val="13E40E6B"/>
    <w:rsid w:val="13EB2DF0"/>
    <w:rsid w:val="144F5156"/>
    <w:rsid w:val="14740441"/>
    <w:rsid w:val="14B52807"/>
    <w:rsid w:val="15916DD0"/>
    <w:rsid w:val="161D68B6"/>
    <w:rsid w:val="167504A0"/>
    <w:rsid w:val="1711641B"/>
    <w:rsid w:val="17233A58"/>
    <w:rsid w:val="174148B4"/>
    <w:rsid w:val="1767588B"/>
    <w:rsid w:val="176D1177"/>
    <w:rsid w:val="17D007DC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AC31890"/>
    <w:rsid w:val="1B326960"/>
    <w:rsid w:val="1B5468D6"/>
    <w:rsid w:val="1B8B42C2"/>
    <w:rsid w:val="1BCD6688"/>
    <w:rsid w:val="1BD417C5"/>
    <w:rsid w:val="1CB05D8E"/>
    <w:rsid w:val="1CCF110C"/>
    <w:rsid w:val="1D743260"/>
    <w:rsid w:val="1D9456B0"/>
    <w:rsid w:val="1DB4365C"/>
    <w:rsid w:val="1DCF1B02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0A1B60"/>
    <w:rsid w:val="220D1F62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7819CD"/>
    <w:rsid w:val="259F2E44"/>
    <w:rsid w:val="25B05D49"/>
    <w:rsid w:val="25C91C6F"/>
    <w:rsid w:val="25F72C80"/>
    <w:rsid w:val="26555BF8"/>
    <w:rsid w:val="266D2F42"/>
    <w:rsid w:val="26834513"/>
    <w:rsid w:val="26A12BEB"/>
    <w:rsid w:val="273852FE"/>
    <w:rsid w:val="274517C9"/>
    <w:rsid w:val="27873B8F"/>
    <w:rsid w:val="281D135F"/>
    <w:rsid w:val="28377363"/>
    <w:rsid w:val="288325A9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BE9306B"/>
    <w:rsid w:val="2C1125C1"/>
    <w:rsid w:val="2C2B5641"/>
    <w:rsid w:val="2C8F2F53"/>
    <w:rsid w:val="2CAE79CE"/>
    <w:rsid w:val="2CB6067E"/>
    <w:rsid w:val="2CC66F08"/>
    <w:rsid w:val="2CCA094F"/>
    <w:rsid w:val="2D610085"/>
    <w:rsid w:val="2D987578"/>
    <w:rsid w:val="2E1B3283"/>
    <w:rsid w:val="2E2B5E45"/>
    <w:rsid w:val="2E515D05"/>
    <w:rsid w:val="2F5702EB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56702B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9D61EE"/>
    <w:rsid w:val="3FEA0343"/>
    <w:rsid w:val="40363F4D"/>
    <w:rsid w:val="4044666A"/>
    <w:rsid w:val="40550877"/>
    <w:rsid w:val="4061225A"/>
    <w:rsid w:val="409A272E"/>
    <w:rsid w:val="413B181B"/>
    <w:rsid w:val="418307B3"/>
    <w:rsid w:val="41A25D3E"/>
    <w:rsid w:val="41CC2DBB"/>
    <w:rsid w:val="42A14049"/>
    <w:rsid w:val="42A25018"/>
    <w:rsid w:val="42E80618"/>
    <w:rsid w:val="42E867DB"/>
    <w:rsid w:val="43016A94"/>
    <w:rsid w:val="43366D8F"/>
    <w:rsid w:val="434A21E9"/>
    <w:rsid w:val="435B61A4"/>
    <w:rsid w:val="43925E19"/>
    <w:rsid w:val="442347E8"/>
    <w:rsid w:val="446A440B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69318E"/>
    <w:rsid w:val="4BB905DA"/>
    <w:rsid w:val="4BC468B1"/>
    <w:rsid w:val="4C9E5354"/>
    <w:rsid w:val="4D8A005F"/>
    <w:rsid w:val="4DBC3CE3"/>
    <w:rsid w:val="4DE4323A"/>
    <w:rsid w:val="4E0B709E"/>
    <w:rsid w:val="4E2A5D47"/>
    <w:rsid w:val="4E7E368F"/>
    <w:rsid w:val="4EC97B8E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75D46"/>
    <w:rsid w:val="508D1967"/>
    <w:rsid w:val="50B20CEB"/>
    <w:rsid w:val="50E517A3"/>
    <w:rsid w:val="5167040A"/>
    <w:rsid w:val="521E54EC"/>
    <w:rsid w:val="522E2CD6"/>
    <w:rsid w:val="527E3C5D"/>
    <w:rsid w:val="53C01A33"/>
    <w:rsid w:val="545D5AF4"/>
    <w:rsid w:val="547370C6"/>
    <w:rsid w:val="54CF07A0"/>
    <w:rsid w:val="54E62062"/>
    <w:rsid w:val="55164621"/>
    <w:rsid w:val="552F2E36"/>
    <w:rsid w:val="558D41B7"/>
    <w:rsid w:val="55C35EAF"/>
    <w:rsid w:val="55FE57CA"/>
    <w:rsid w:val="56231F37"/>
    <w:rsid w:val="562B40FC"/>
    <w:rsid w:val="563C6D66"/>
    <w:rsid w:val="565C4B5A"/>
    <w:rsid w:val="567B3D51"/>
    <w:rsid w:val="56A33D3D"/>
    <w:rsid w:val="57034731"/>
    <w:rsid w:val="578E37A1"/>
    <w:rsid w:val="57922247"/>
    <w:rsid w:val="579D2DD8"/>
    <w:rsid w:val="57DB3900"/>
    <w:rsid w:val="586C6306"/>
    <w:rsid w:val="58B224C7"/>
    <w:rsid w:val="58B303D9"/>
    <w:rsid w:val="58C76ABA"/>
    <w:rsid w:val="58E10AA2"/>
    <w:rsid w:val="592B7F6F"/>
    <w:rsid w:val="59941FB8"/>
    <w:rsid w:val="59CA59DA"/>
    <w:rsid w:val="59E7033A"/>
    <w:rsid w:val="5A026F22"/>
    <w:rsid w:val="5A343B61"/>
    <w:rsid w:val="5A696FA1"/>
    <w:rsid w:val="5AC02939"/>
    <w:rsid w:val="5B523ED9"/>
    <w:rsid w:val="5B8878FB"/>
    <w:rsid w:val="5B955B74"/>
    <w:rsid w:val="5BDA081C"/>
    <w:rsid w:val="5C3F445D"/>
    <w:rsid w:val="5C8400C2"/>
    <w:rsid w:val="5C910A31"/>
    <w:rsid w:val="5CB7744C"/>
    <w:rsid w:val="5D415FB3"/>
    <w:rsid w:val="5D6C7344"/>
    <w:rsid w:val="5E007C1C"/>
    <w:rsid w:val="5E454BA5"/>
    <w:rsid w:val="5E5E5BE2"/>
    <w:rsid w:val="5EA551F5"/>
    <w:rsid w:val="5F28567D"/>
    <w:rsid w:val="5F41673E"/>
    <w:rsid w:val="5F4D50E3"/>
    <w:rsid w:val="5F773F0E"/>
    <w:rsid w:val="5FB70BF2"/>
    <w:rsid w:val="5FBA3DFB"/>
    <w:rsid w:val="5FDF2370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311D83"/>
    <w:rsid w:val="6346230D"/>
    <w:rsid w:val="63521D29"/>
    <w:rsid w:val="635B32B1"/>
    <w:rsid w:val="63727F71"/>
    <w:rsid w:val="63870498"/>
    <w:rsid w:val="639808F7"/>
    <w:rsid w:val="63AD5DD7"/>
    <w:rsid w:val="63D3192F"/>
    <w:rsid w:val="64354398"/>
    <w:rsid w:val="648C045C"/>
    <w:rsid w:val="64AD03D2"/>
    <w:rsid w:val="64BE438D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AE3745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057314"/>
    <w:rsid w:val="704D50B7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3B733A7"/>
    <w:rsid w:val="743957DE"/>
    <w:rsid w:val="744523C5"/>
    <w:rsid w:val="745037BC"/>
    <w:rsid w:val="7460720F"/>
    <w:rsid w:val="7463506E"/>
    <w:rsid w:val="74A40EAA"/>
    <w:rsid w:val="751A5610"/>
    <w:rsid w:val="767C2482"/>
    <w:rsid w:val="77F71C38"/>
    <w:rsid w:val="77FA34D6"/>
    <w:rsid w:val="78016613"/>
    <w:rsid w:val="78270946"/>
    <w:rsid w:val="786B1CDE"/>
    <w:rsid w:val="78853E63"/>
    <w:rsid w:val="78B27C05"/>
    <w:rsid w:val="78CA0B02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BDA3403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"/>
    <w:basedOn w:val="1"/>
    <w:next w:val="5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1"/>
    <w:qFormat/>
    <w:uiPriority w:val="0"/>
    <w:pPr>
      <w:ind w:firstLine="640" w:firstLineChars="20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adjustRightInd/>
      <w:snapToGrid/>
      <w:spacing w:after="0"/>
    </w:pPr>
    <w:rPr>
      <w:rFonts w:ascii="微软雅黑" w:hAnsi="微软雅黑" w:cs="宋体"/>
      <w:sz w:val="18"/>
      <w:szCs w:val="18"/>
    </w:rPr>
  </w:style>
  <w:style w:type="paragraph" w:styleId="10">
    <w:name w:val="Body Text First Indent 2"/>
    <w:basedOn w:val="6"/>
    <w:next w:val="1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4003</Words>
  <Characters>4223</Characters>
  <Lines>0</Lines>
  <Paragraphs>0</Paragraphs>
  <TotalTime>46</TotalTime>
  <ScaleCrop>false</ScaleCrop>
  <LinksUpToDate>false</LinksUpToDate>
  <CharactersWithSpaces>4231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随风而起</cp:lastModifiedBy>
  <cp:lastPrinted>2024-05-23T01:55:00Z</cp:lastPrinted>
  <dcterms:modified xsi:type="dcterms:W3CDTF">2025-12-18T08:15:59Z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AB810C59E2894EE691622EC438F15754_13</vt:lpwstr>
  </property>
  <property fmtid="{D5CDD505-2E9C-101B-9397-08002B2CF9AE}" pid="4" name="KSOTemplateDocerSaveRecord">
    <vt:lpwstr>eyJoZGlkIjoiMzUyMGJjZGJkYTMxNmM2MGVkODM5NTNmZjk2YzllNDIiLCJ1c2VySWQiOiIyNzg1MzQ3NzgifQ==</vt:lpwstr>
  </property>
</Properties>
</file>