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1B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</w:p>
    <w:p w14:paraId="16EA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隆回县人民政府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val="en-US" w:eastAsia="zh-CN"/>
        </w:rPr>
        <w:t>花门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街道办事处</w:t>
      </w:r>
    </w:p>
    <w:p w14:paraId="37D1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  <w:t>部门整体支出绩效自评报告</w:t>
      </w:r>
    </w:p>
    <w:p w14:paraId="2179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DA1F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、单位基本情况</w:t>
      </w:r>
    </w:p>
    <w:p w14:paraId="0064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机构情况。</w:t>
      </w:r>
    </w:p>
    <w:p w14:paraId="21BB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街道党工委、办事处设置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4个内设机构、1个执法机构和5个直属事业单位。</w:t>
      </w:r>
    </w:p>
    <w:p w14:paraId="691A8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（一）内设机构</w:t>
      </w:r>
    </w:p>
    <w:p w14:paraId="1292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党政办公室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党建办公室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经济发展办公室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平安法治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和应急管理办公室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9D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依法设置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纪检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监察、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人大、人民武装等机构和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工会、共青团、妇联等组织。</w:t>
      </w:r>
    </w:p>
    <w:p w14:paraId="180E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财政所暂维持现有管理体制。</w:t>
      </w:r>
    </w:p>
    <w:p w14:paraId="7FCEE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综合行政执法大队。</w:t>
      </w:r>
    </w:p>
    <w:p w14:paraId="69A5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个直属事业单位</w:t>
      </w:r>
    </w:p>
    <w:p w14:paraId="6042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（1）社会事务综合服务中心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（2）农业综合服务中心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生态事务中心、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自然资源和村镇建设事务中心、（5）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退役军人服务站</w:t>
      </w:r>
    </w:p>
    <w:p w14:paraId="10AE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人员编制情况</w:t>
      </w:r>
    </w:p>
    <w:p w14:paraId="4180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年12月31日，单位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共计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人，其中机关公务员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人，财政所公务员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人，工勤人员4人，其余事业单位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128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1D4D6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主要职能职责</w:t>
      </w:r>
    </w:p>
    <w:p w14:paraId="0352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(一)宣传和贯彻执行党的路线方针政策和法律法规；制定地方经济社会发展规划和年度计划并组织实施；坚持依法行政，推进民主政治，加强基层政权建设；做好农业、农村、农民和社区工作。</w:t>
      </w:r>
    </w:p>
    <w:p w14:paraId="1FF75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(二)落实基层管党治党工作责任制，加强党员队伍的思想建设、组织建设、作风建设、制度建设和党风廉政建设；做好党员管理、发展工作，改善党员队伍结构，提高党员素质；</w:t>
      </w:r>
    </w:p>
    <w:p w14:paraId="3D63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加强党对意识形态和统一战线工作的领导；宣传普及社会主义核心价值观，组织开展文明实践活动；指导工会、共青团、妇联等群团工作。</w:t>
      </w:r>
    </w:p>
    <w:p w14:paraId="5C3D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三)规范经济管理，组织指导经济发展和经济结构调整；加强综合生产能力建设；健全社会化服务体系，完善产业支持保护体系，推进产业现代化；着力提升经济发展的质量和水平，发展壮大村级集体经济，增加村(居)民收入，不断提高人民生活水平。</w:t>
      </w:r>
    </w:p>
    <w:p w14:paraId="30D67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四)加强社会管理和基础设施建设，创造良好环境。推进政务、村(居)务公开；抓好卫生健康工作，保障妇女儿童合法权益；加强自然资源管理、村镇建设、生态环境保护和修复等工作；加强人民武装、民族宗教等工作；强化安全生产和公共安全，组织抢险救灾、优抚救助，及时上报和处置重大社情、疫情、险情等，保护人民群众的生命财产安全。</w:t>
      </w:r>
    </w:p>
    <w:p w14:paraId="135B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(五)发展民生事业，强化公共服务。搞好公共设施建设，开展社会保障服务，着力解决群众生产生活中的问题；发展科教文卫事业，促进精神文明建设；制订公共服务事项目录清单，加强公共服务体系建设。</w:t>
      </w:r>
    </w:p>
    <w:p w14:paraId="19934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六)加强平安建设，维护社会稳定。调解民事纠纷、化解社会矛盾，接待上访群众，处理群体性突发事件，保证社会公正，维护社会秩序和社会稳定。指导村(居)民自治，推动基层社会建设，促进社会组织健康发展，增强社会自治功能。</w:t>
      </w:r>
    </w:p>
    <w:p w14:paraId="3661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(七)按照管理权限，负责机关和事业单位工作人员的教育、培养、选拔和监督工作。协助管理好派驻单位人员。</w:t>
      </w:r>
    </w:p>
    <w:p w14:paraId="6655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(八)依法依规承担下放的经济社会管理权限和行政执法事项。</w:t>
      </w:r>
    </w:p>
    <w:p w14:paraId="56A0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(九)行使《中华人民共和国地方各级人民代表大会和地方各级人民政府组织法》等法律法规赋予的职权。</w:t>
      </w:r>
    </w:p>
    <w:p w14:paraId="61A4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(十)完成县委、县政府交办的其他任务。</w:t>
      </w:r>
    </w:p>
    <w:p w14:paraId="13B7F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4.2024年的重点工作</w:t>
      </w:r>
    </w:p>
    <w:p w14:paraId="08E17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（一）2024年我街道在县委、县政府的正确领导下，以习近平新时代中国特色社会主义思想为指引，深入学习贯彻党的二十大</w:t>
      </w:r>
      <w:bookmarkStart w:id="3" w:name="_GoBack"/>
      <w:bookmarkEnd w:id="3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精神，完整、准确、全面贯彻新发展理念，推动高质量发展，坚决贯彻落实县委、县政府的决策部署。</w:t>
      </w:r>
    </w:p>
    <w:p w14:paraId="48B5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</w:t>
      </w:r>
      <w:bookmarkStart w:id="0" w:name="OLE_LINK3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产业发展成果丰硕</w:t>
      </w:r>
      <w:bookmarkEnd w:id="0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6DDB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一是经济指标稳步攀升。2024年1-12月份，预计实现地区生产总值66.81亿元，同比增长 3.52%；全社会固定资产投资12.46亿元，超额完成全年任务，在全县遥排第一，工业总产值12.48 亿元，同比增长 8.2%，社会零售品消费总额38.75亿，增速5.23%。</w:t>
      </w:r>
    </w:p>
    <w:p w14:paraId="0D24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产业协同融合发展。在城区，积极推动项目建设，新新高速、湘林冷链物流、大健康产业园道地药材、学校、医院、停车场等26个国家、省、市、县重点项目在花门顺利实施，成为带动经济发展的有力引擎。在农村，引导农民采用新技术、新品种，整合土地资源，发展特色种植养殖业。新建3千平集中育秧工厂1个，完成双季稻种植面积2125亩，同比增加46.1%。太平洲富硒蔬菜基地成为隆回县最大的蔬菜生产基地。</w:t>
      </w:r>
    </w:p>
    <w:p w14:paraId="5EC93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2、社会治理成效显著。</w:t>
      </w:r>
    </w:p>
    <w:p w14:paraId="33AD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安全大局和谐稳定。认真贯彻落实上级决策部署，对社会治理重点工作常抓不懈，从安全生产、交通安全、信访维稳、利剑护蕾、禁毒、反电诈、防溺水等多个方面入手，夯实社会治理工作基础，强化安全生产监管，定期开展安全隐患排查整治，深化矛盾纠纷多元化解机制，保障了辖区的安全稳定，营造了安居乐业的美好环境。</w:t>
      </w:r>
    </w:p>
    <w:p w14:paraId="1A44E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重点工作显著转变。信访维稳方面，今年无进京登记上访人员、无到“敏感”部位非访、无到市集体访事件、无群体性事件、无重大恶性事件、无负面网络舆情。禁毒方面，非法种植罂粟明显下降，社戒社康人员逐年减少，今年来无外流贩毒案件发生。“利剑护蕾”方面，案件呈断崖式下降，从去年的发案6起到今年未发生“利剑护蕾”案件。</w:t>
      </w:r>
    </w:p>
    <w:p w14:paraId="093A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3、生态环境持续改善。</w:t>
      </w:r>
    </w:p>
    <w:p w14:paraId="3DC9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深化生态环保宣传。充分利用各种形式进行环保宣传，通过“3月21日世界森林日”、“3月22日世界水日”、“4月22日世界地球日”“6月5日世界环境日”、“8月22日中元节”、“8月25日全国低碳日”等节日进行现场宣传。</w:t>
      </w:r>
    </w:p>
    <w:p w14:paraId="195EB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加强生态环保巡查。街道各部门加强联动协调，抽调专门力量参与到生态环保巡查中来，坚持24小时不间断全面巡查和重点区域监督，持续强化日常巡查力度，严查辖区内道路渣土运输扬尘、建筑工地“8个百分百”、工业污染、河道污染、餐饮油烟、露天焚烧垃圾秸秆、熏制腊制品、烟花鞭炮燃放等行为，做到发现一起、制止一起、查处一起，守护好花门街道的青山绿水。</w:t>
      </w:r>
    </w:p>
    <w:p w14:paraId="7B85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4、正风肃纪力度加大。</w:t>
      </w:r>
    </w:p>
    <w:p w14:paraId="1C78E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一是强化监督执纪。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zh-CN" w:eastAsia="zh-CN"/>
          <w14:textFill>
            <w14:solidFill>
              <w14:schemeClr w14:val="tx1"/>
            </w14:solidFill>
          </w14:textFill>
        </w:rPr>
        <w:t>认真开展问题线索核查，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充分利用数据分析、信访举报、专项检查等手段，精准查找问题，严肃查处各类违纪违规行为。</w:t>
      </w:r>
    </w:p>
    <w:p w14:paraId="5969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二是开展专项整治。深入纠治群众身边不正之风和腐败问题。</w:t>
      </w:r>
      <w:r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聚焦惠农补贴资金、农村集体“三资”管理、耕地“非农化”、基本农田“非粮化”、涉农项目资金审批分配等四个方面存在的突出问题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246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2E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）部门整体支出情况</w:t>
      </w:r>
    </w:p>
    <w:p w14:paraId="7D7F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本年支出合计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4539.49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5131.9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万元相比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减少592.41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下降11.54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村干部工资由组织部发放，支出减少，因经费紧张部分公用支出未报账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EC1C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二、部门整体支出管理及使用情况</w:t>
      </w:r>
    </w:p>
    <w:p w14:paraId="5FE5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（一）基本支出情况</w:t>
      </w:r>
    </w:p>
    <w:p w14:paraId="29BD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年度我单位的基本支出数为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3851.47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万元，这是为保障单位机构正常运转、完成日常工作任务而发生的各项支出，包括用于基本工资、津贴补贴等人员经费以及办公费、印刷费、水电费、办公设备购置等日常公用经费及村级运转等经费。</w:t>
      </w:r>
    </w:p>
    <w:p w14:paraId="2AB05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）县级专项资金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</w:t>
      </w:r>
    </w:p>
    <w:p w14:paraId="11EC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我单位在202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县级专项资金无，本单位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项目支出为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688.02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主要为村级建设项目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37D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（三）“三公”经费情况</w:t>
      </w:r>
    </w:p>
    <w:p w14:paraId="5F7E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因公出国（境）费用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09115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公务接待费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0.50万元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805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公务用车购置及运行费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3.96万元，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主要是公车运行的加油、保险等开支。</w:t>
      </w:r>
    </w:p>
    <w:p w14:paraId="671DF9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三、政府性基金预算支出情况</w:t>
      </w:r>
    </w:p>
    <w:p w14:paraId="3C2F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2024年政府性基金预算财政拨款支出100万元，2023年支出0万元，同比增加100万元，增长100%，原因为2023年无基金支出。</w:t>
      </w:r>
    </w:p>
    <w:p w14:paraId="64F040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国有资本经营预算支出情况</w:t>
      </w:r>
    </w:p>
    <w:p w14:paraId="1FFC4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2024年国有资本经营预算支出0元</w:t>
      </w:r>
    </w:p>
    <w:p w14:paraId="4EFC1D3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社会保险基金预算支出情况</w:t>
      </w:r>
    </w:p>
    <w:p w14:paraId="520F2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2024年社会保险基金预算支出0元</w:t>
      </w:r>
    </w:p>
    <w:p w14:paraId="398E700C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部门整体支出绩效情况</w:t>
      </w:r>
    </w:p>
    <w:p w14:paraId="19B2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1、经济指标稳步攀升，产业协同融合发展。</w:t>
      </w:r>
    </w:p>
    <w:p w14:paraId="2BDC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2、安全大局和谐稳定，重点工作显著转变。</w:t>
      </w:r>
    </w:p>
    <w:p w14:paraId="6EAAC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3、深化生态环保宣传，加强生态环保巡查。</w:t>
      </w:r>
    </w:p>
    <w:p w14:paraId="2D19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4、强化监督执纪，开展专项整治。</w:t>
      </w:r>
    </w:p>
    <w:bookmarkEnd w:id="1"/>
    <w:p w14:paraId="48342766">
      <w:pPr>
        <w:numPr>
          <w:ilvl w:val="0"/>
          <w:numId w:val="0"/>
        </w:numPr>
        <w:ind w:leftChars="200"/>
        <w:rPr>
          <w:rFonts w:hint="eastAsia"/>
        </w:rPr>
      </w:pPr>
    </w:p>
    <w:p w14:paraId="37BA976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存在的问题</w:t>
      </w:r>
    </w:p>
    <w:p w14:paraId="13125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 w14:paraId="5829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2.街道（乡镇）无其他收入来源，基本依靠县财政拨款。</w:t>
      </w:r>
    </w:p>
    <w:p w14:paraId="1DAD646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3.各种突发工作增多，却无经费解决。</w:t>
      </w:r>
    </w:p>
    <w:p w14:paraId="67051C44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改进措施及有关建议</w:t>
      </w:r>
    </w:p>
    <w:p w14:paraId="3D67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，按时足额发放工资。三是增强支出透明度，实行政务公开。堵塞漏洞，减少支出随意性，发挥财政支出的效益。</w:t>
      </w:r>
    </w:p>
    <w:p w14:paraId="2312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2、县财政应加大对乡镇（街道）财力投入，应保尽保。</w:t>
      </w:r>
    </w:p>
    <w:p w14:paraId="7527D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53EE16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报告应包括以下附件：</w:t>
      </w:r>
    </w:p>
    <w:p w14:paraId="41DEDA5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1.部门整体支出绩效评价基础数据表</w:t>
      </w:r>
    </w:p>
    <w:p w14:paraId="5EBB852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2.部门整体支出绩效自评表</w:t>
      </w:r>
    </w:p>
    <w:p w14:paraId="30BB383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F918640">
      <w:pPr>
        <w:pStyle w:val="1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</w:p>
    <w:p w14:paraId="494A059F">
      <w:pPr>
        <w:pStyle w:val="1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2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1053"/>
        <w:gridCol w:w="936"/>
        <w:gridCol w:w="1078"/>
      </w:tblGrid>
      <w:tr w14:paraId="2815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D0D3D8"/>
            <w:vAlign w:val="center"/>
          </w:tcPr>
          <w:p w14:paraId="6A4A11D9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6127" w:type="dxa"/>
            <w:gridSpan w:val="6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D0D3D8"/>
            <w:vAlign w:val="center"/>
          </w:tcPr>
          <w:p w14:paraId="6684B3CE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隆回县人民政府花门街道办事处</w:t>
            </w:r>
          </w:p>
        </w:tc>
      </w:tr>
      <w:tr w14:paraId="0F58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0" w:type="dxa"/>
            <w:vMerge w:val="restart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7F6287AF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C811790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53B8FF94">
            <w:pPr>
              <w:pStyle w:val="1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0B03769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5599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637EFFC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AEED51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171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57E397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194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A65AF7D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113.45%</w:t>
            </w:r>
          </w:p>
        </w:tc>
      </w:tr>
      <w:tr w14:paraId="769D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76B1F702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8A8C810">
            <w:pPr>
              <w:pStyle w:val="1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FB21453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C0F391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0AB2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58FF5D48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bookmarkStart w:id="2" w:name="OLE_LINK1" w:colFirst="3" w:colLast="3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9D1AE0A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4.7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2792CC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8.6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36D33FD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4.46</w:t>
            </w:r>
          </w:p>
        </w:tc>
      </w:tr>
      <w:tr w14:paraId="547D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D27453C">
            <w:pPr>
              <w:pStyle w:val="1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4EB6D908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104E4F0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5B96762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860C26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3.96</w:t>
            </w:r>
          </w:p>
        </w:tc>
      </w:tr>
      <w:tr w14:paraId="78B3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5D8587D2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212BC52F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EB0709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6E46444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72A0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F026FAB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C7D74D7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F3CF75C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70455E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3.96</w:t>
            </w:r>
          </w:p>
        </w:tc>
      </w:tr>
      <w:tr w14:paraId="5616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F4A6FE0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675FD06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E3885C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CD4B8A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26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0ABC0900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9FDA9C7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86A8E1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2.6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8D0F3A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0.5</w:t>
            </w:r>
          </w:p>
        </w:tc>
      </w:tr>
      <w:tr w14:paraId="16CEF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B676548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23CA1262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8894161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45AF37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F1C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5B5439D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72BFA72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E6697F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0D44CE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F94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0F5DD8C0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EFAE46F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55B1B4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1472E58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E31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B9AAFAE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3B377B6C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CE1CE60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C564AF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2B4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7F2ABB5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D7F7D0F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724.61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15A083D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285.4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9078C8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719.75</w:t>
            </w:r>
          </w:p>
        </w:tc>
      </w:tr>
      <w:tr w14:paraId="3C26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5A592FD3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05F16DF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31.42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9A2EBD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CC8A58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48.62</w:t>
            </w:r>
          </w:p>
        </w:tc>
      </w:tr>
      <w:tr w14:paraId="32A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18930477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6A83126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28.99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B7B0B6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17.4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13AC63E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36.41</w:t>
            </w:r>
          </w:p>
        </w:tc>
      </w:tr>
      <w:tr w14:paraId="430F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5CA02F0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6046B8C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11.95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72ECF29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22.8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F8ADF4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1.3</w:t>
            </w:r>
          </w:p>
        </w:tc>
      </w:tr>
      <w:tr w14:paraId="0E37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4B011FD5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7DEDDA50">
            <w:pPr>
              <w:pStyle w:val="10"/>
              <w:ind w:firstLine="360" w:firstLineChars="20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EDFF72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58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BA11D2C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76</w:t>
            </w:r>
          </w:p>
        </w:tc>
      </w:tr>
      <w:bookmarkEnd w:id="2"/>
      <w:tr w14:paraId="49D9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0B1D3B2B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0B7C9F50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6338E1C3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C1327D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597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00" w:type="dxa"/>
            <w:vMerge w:val="restart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16759AE8">
            <w:pPr>
              <w:pStyle w:val="10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4A82CE6B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7B94C11C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1EEEFFD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105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677EF2B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93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A6733BF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1078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1D2F19A3">
            <w:pPr>
              <w:bidi w:val="0"/>
              <w:jc w:val="center"/>
              <w:rPr>
                <w:rFonts w:hint="eastAsia"/>
                <w:b w:val="0"/>
                <w:bCs w:val="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4F36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0D52B48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1F130F1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954DCD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2AC568F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23B3D674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57497D0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7836307D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588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EFEFE"/>
            <w:vAlign w:val="center"/>
          </w:tcPr>
          <w:p w14:paraId="39A4D616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127" w:type="dxa"/>
            <w:gridSpan w:val="6"/>
            <w:tcBorders>
              <w:top w:val="single" w:color="9CA1AC" w:sz="4" w:space="0"/>
              <w:left w:val="single" w:color="9CA1AC" w:sz="4" w:space="0"/>
              <w:bottom w:val="single" w:color="9CA1AC" w:sz="4" w:space="0"/>
              <w:right w:val="single" w:color="9CA1AC" w:sz="4" w:space="0"/>
            </w:tcBorders>
            <w:shd w:val="clear" w:color="auto" w:fill="F0F0F0"/>
            <w:vAlign w:val="center"/>
          </w:tcPr>
          <w:p w14:paraId="61F9138F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1、加强宣传教育2、完善规章制度3、优化资源配置</w:t>
            </w:r>
          </w:p>
          <w:p w14:paraId="5B3B541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4、加强资产管理5、控制运行成本6、强化监督检查</w:t>
            </w:r>
          </w:p>
        </w:tc>
      </w:tr>
    </w:tbl>
    <w:p w14:paraId="6D6EF510">
      <w:pPr>
        <w:pStyle w:val="10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09F31487"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6137981C"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29CB2A99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349B744A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09AAF6A1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141ECC02">
      <w:pPr>
        <w:pStyle w:val="10"/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   填报日期：     联系电话：           单位负责人签字：</w:t>
      </w:r>
    </w:p>
    <w:p w14:paraId="7219086F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01119D3C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4D9BFE2B">
      <w:pPr>
        <w:rPr>
          <w:rFonts w:hint="eastAsia"/>
          <w:lang w:eastAsia="zh-CN"/>
        </w:rPr>
      </w:pPr>
    </w:p>
    <w:p w14:paraId="00B74846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6B6C2A7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p w14:paraId="513970F3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11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996"/>
        <w:gridCol w:w="1117"/>
      </w:tblGrid>
      <w:tr w14:paraId="591E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131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1411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隆回县人民政府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花门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街道办事处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58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5EC8A"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45AFF911">
            <w:pPr>
              <w:spacing w:line="240" w:lineRule="exact"/>
              <w:ind w:firstLine="0" w:firstLineChars="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32DB3E3F">
            <w:pPr>
              <w:spacing w:line="240" w:lineRule="exact"/>
              <w:ind w:firstLine="0" w:firstLineChars="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84EC">
            <w:pPr>
              <w:spacing w:line="240" w:lineRule="exact"/>
              <w:ind w:firstLine="360"/>
              <w:jc w:val="both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8012"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4325"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1B20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AA2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7E8F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BAA4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2781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9D57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3D00">
            <w:pPr>
              <w:spacing w:line="240" w:lineRule="exact"/>
              <w:ind w:firstLine="0" w:firstLineChars="0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0998"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3937.31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CE00"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4539.49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1263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4539.49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D02A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85DC"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A627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6A35D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6FC2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85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813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18852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5108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7AA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4180.07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03AA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4539.49</w:t>
            </w:r>
          </w:p>
        </w:tc>
      </w:tr>
      <w:tr w14:paraId="1CC17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E888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CA5E1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5D292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CDF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BBAB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C746D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259.42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B1B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C18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8E6D36">
            <w:pPr>
              <w:spacing w:line="240" w:lineRule="exact"/>
              <w:ind w:firstLine="360"/>
              <w:jc w:val="both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DB77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68B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761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AC17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006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2FF9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1E2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978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D194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产业发展成果丰硕、社会治理成效显著、生态环境持续改善、正风肃纪力度加大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D0F5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1、经济指标稳步攀升，产业协同融合发展。</w:t>
            </w:r>
          </w:p>
          <w:p w14:paraId="51F4CFA7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2、安全大局和谐稳定，重点工作显著转变。</w:t>
            </w:r>
          </w:p>
          <w:p w14:paraId="4A4F8EA8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3、深化生态环保宣传，加强生态环保巡查。</w:t>
            </w:r>
          </w:p>
          <w:p w14:paraId="5DB21A4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4、强化监督执纪，开展专项整治。</w:t>
            </w:r>
          </w:p>
        </w:tc>
      </w:tr>
      <w:tr w14:paraId="1315D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E131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189A6EE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57ED60D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960B50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DD3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003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4FD1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96D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78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2C1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08D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E2F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E230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0F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8B32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1115D2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EA3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BB5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审批服务便民化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5FAC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AE6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FFF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4FE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16D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327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4F4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01AE2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295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49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禁毒宣传活动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2E4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≥200次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15AC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C5E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8B2F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053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6AF4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6DF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141C8D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9AF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87D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C2D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8BE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FCC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3C4A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B6B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822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7395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5C695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778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BED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工程验收合格率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CC4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D2D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8B1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51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054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9AF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2F7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6DDAC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08F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918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各项工作合格率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849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C5A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1FB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5AEE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ADA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45E7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67E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E3AE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1E11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457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63A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4E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549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F1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D61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C1A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1A42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13EE2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D88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DC3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各个项目完成时间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4B9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按计划完成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D6C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按计划完成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EC7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2C38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BB7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972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76C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945AA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F33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FEA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207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98%以上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F309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105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9A3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ECA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E60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BC6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73F2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9D8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C18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5EE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9D1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AD4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D99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076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82A2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5DF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4154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D077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A14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77CE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2414.31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75A0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3851.47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6CC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C73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016D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年初绩效目标根据预算填报，实际拨款数大于预算数</w:t>
            </w:r>
          </w:p>
        </w:tc>
      </w:tr>
      <w:tr w14:paraId="7AB2F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26F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F75FA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2E8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EB1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4BD6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1523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5B61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688.02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300A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532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CE28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年初绩效目标根据预算填报，实际拨款数小于预算数</w:t>
            </w:r>
          </w:p>
        </w:tc>
      </w:tr>
      <w:tr w14:paraId="55A5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190C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303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7DB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1AE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F2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F74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F28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539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4EA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E9E1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BE5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114192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03356D4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5BE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07E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村集体经济收入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21DE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492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1A7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6CF2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87C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12E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CD94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A0BCF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AED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36FC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农业增收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967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00万元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236D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00万元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1D9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E65E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C1E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1EA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AE8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11941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47C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234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8AF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C15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068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BB2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9D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AE13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3C0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997FF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D4B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753969B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6B4109B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BB5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社会维稳形势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FCB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50D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BDF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F75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D4C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52B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CA0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535F9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142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E28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带动就业增长率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E4C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7AE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1FE6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8EC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37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541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9E6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39ADA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B4A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963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F90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DEE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5F56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0BD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C9F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828E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5EC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1AB51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E81F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010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河道绿化情况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37B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CF3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C8E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B554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BAB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B785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823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27604B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764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E92C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生态环境污染防治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3AE8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228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显著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616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33A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816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5C69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3A9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5AA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D8D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56F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042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E31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E42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C1B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AD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401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5FDDA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084EF28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6E4882B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6E0B77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E76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A07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014EC29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B75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提升全镇人居环境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DE6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长期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864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长期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ECB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866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78E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1E1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D65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DC6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B8B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C11A5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乡村振兴措施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F0D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48F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健全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762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B89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8E42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3356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831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FC6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E56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B52D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A6E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00F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A41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56A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CEC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8D4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4A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F7FE9C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C3E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32FDD57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60F39B2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2616BCE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4E8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8C05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2EC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D1A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7EC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A2F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5F89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B5E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BECE2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14D45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2DDD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信访群众满意度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AEA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9EF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53B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00D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353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B65E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8F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36B50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9DD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AE6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8C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07F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95B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4E8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B74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0149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AE3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3B48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55A9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A62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5E8BA7">
      <w:pPr>
        <w:spacing w:line="600" w:lineRule="exact"/>
        <w:ind w:firstLine="420"/>
        <w:jc w:val="left"/>
        <w:rPr>
          <w:rFonts w:eastAsia="仿宋_GB2312"/>
          <w:kern w:val="0"/>
          <w:sz w:val="21"/>
          <w:szCs w:val="21"/>
        </w:rPr>
      </w:pPr>
      <w:r>
        <w:rPr>
          <w:rFonts w:eastAsia="仿宋_GB2312"/>
          <w:kern w:val="0"/>
          <w:sz w:val="21"/>
          <w:szCs w:val="21"/>
        </w:rPr>
        <w:t>填表人：        填报日期：          联系电话：          单位负责人签字：</w:t>
      </w:r>
    </w:p>
    <w:p w14:paraId="6530B4BF">
      <w:pPr>
        <w:spacing w:line="600" w:lineRule="exact"/>
        <w:jc w:val="left"/>
        <w:rPr>
          <w:rFonts w:hint="default" w:ascii="仿宋" w:hAnsi="仿宋" w:eastAsia="仿宋_GB2312" w:cs="仿宋"/>
          <w:kern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4A52D6-3491-4CAD-888D-3D964D35B3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7D11BC-62F9-4E6B-8C44-9F269F6BC2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0EDCEDD-CF34-41C0-B9AC-8535E15F08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781416A-050B-4C0B-9634-AA3B7DCD92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C52A6B4-42AF-4859-AB4F-8C9A7F423E0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F1ED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3D525C"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3D525C"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2CCE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1E0AB2A8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119B5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03C9D6"/>
    <w:multiLevelType w:val="singleLevel"/>
    <w:tmpl w:val="0F03C9D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817AF1"/>
    <w:multiLevelType w:val="singleLevel"/>
    <w:tmpl w:val="7D817A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cyMDUwZDg4NzVkODMxOTI0Y2I3MjQ3MGU2NTgifQ=="/>
    <w:docVar w:name="KSO_WPS_MARK_KEY" w:val="50c2d4a4-3031-4938-81f7-829e5dfc1037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584860"/>
    <w:rsid w:val="027A76EE"/>
    <w:rsid w:val="02B54947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4EA77CB"/>
    <w:rsid w:val="050B0AD1"/>
    <w:rsid w:val="0526590B"/>
    <w:rsid w:val="05323055"/>
    <w:rsid w:val="05746D33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0261BB"/>
    <w:rsid w:val="083E11BD"/>
    <w:rsid w:val="086C1887"/>
    <w:rsid w:val="091837BC"/>
    <w:rsid w:val="095E3180"/>
    <w:rsid w:val="099472E7"/>
    <w:rsid w:val="09972933"/>
    <w:rsid w:val="09D347BB"/>
    <w:rsid w:val="0A40746F"/>
    <w:rsid w:val="0A6273E5"/>
    <w:rsid w:val="0A686BF6"/>
    <w:rsid w:val="0A856C30"/>
    <w:rsid w:val="0A9B55FC"/>
    <w:rsid w:val="0AD96F7B"/>
    <w:rsid w:val="0AE24082"/>
    <w:rsid w:val="0B1D155E"/>
    <w:rsid w:val="0B301291"/>
    <w:rsid w:val="0BC65752"/>
    <w:rsid w:val="0C6B6720"/>
    <w:rsid w:val="0C760F26"/>
    <w:rsid w:val="0C9E6D20"/>
    <w:rsid w:val="0CB0030D"/>
    <w:rsid w:val="0CBD4DA7"/>
    <w:rsid w:val="0CC779D3"/>
    <w:rsid w:val="0CDD2D53"/>
    <w:rsid w:val="0D766D04"/>
    <w:rsid w:val="0DD74424"/>
    <w:rsid w:val="0E8F2773"/>
    <w:rsid w:val="0EF44384"/>
    <w:rsid w:val="0F31382A"/>
    <w:rsid w:val="0F3A448D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1E4280"/>
    <w:rsid w:val="13C57FC2"/>
    <w:rsid w:val="13C72A25"/>
    <w:rsid w:val="13DD7ADC"/>
    <w:rsid w:val="13E40E6B"/>
    <w:rsid w:val="13EB2DF0"/>
    <w:rsid w:val="144F5156"/>
    <w:rsid w:val="14740441"/>
    <w:rsid w:val="14B52807"/>
    <w:rsid w:val="15916DD0"/>
    <w:rsid w:val="161D68B6"/>
    <w:rsid w:val="16337E88"/>
    <w:rsid w:val="167504A0"/>
    <w:rsid w:val="1711641B"/>
    <w:rsid w:val="17233A58"/>
    <w:rsid w:val="174148B4"/>
    <w:rsid w:val="1767588B"/>
    <w:rsid w:val="176D1177"/>
    <w:rsid w:val="17D007DC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AC31890"/>
    <w:rsid w:val="1B326960"/>
    <w:rsid w:val="1B5468D6"/>
    <w:rsid w:val="1B8B42C2"/>
    <w:rsid w:val="1BCD6688"/>
    <w:rsid w:val="1BD417C5"/>
    <w:rsid w:val="1CB05D8E"/>
    <w:rsid w:val="1CCF110C"/>
    <w:rsid w:val="1D743260"/>
    <w:rsid w:val="1D9456B0"/>
    <w:rsid w:val="1DB4365C"/>
    <w:rsid w:val="1DCF1B02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0A1B60"/>
    <w:rsid w:val="220D1F62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7819CD"/>
    <w:rsid w:val="259F2E44"/>
    <w:rsid w:val="25B05D49"/>
    <w:rsid w:val="25C91C6F"/>
    <w:rsid w:val="25F72C80"/>
    <w:rsid w:val="26555BF8"/>
    <w:rsid w:val="266D2F42"/>
    <w:rsid w:val="26834513"/>
    <w:rsid w:val="26A12BEB"/>
    <w:rsid w:val="273852FE"/>
    <w:rsid w:val="274517C9"/>
    <w:rsid w:val="27873B8F"/>
    <w:rsid w:val="281D135F"/>
    <w:rsid w:val="28377363"/>
    <w:rsid w:val="288325A9"/>
    <w:rsid w:val="28BF4190"/>
    <w:rsid w:val="28C4406E"/>
    <w:rsid w:val="28C878C3"/>
    <w:rsid w:val="29037B8D"/>
    <w:rsid w:val="29C31611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E9306B"/>
    <w:rsid w:val="2C1125C1"/>
    <w:rsid w:val="2C2B5641"/>
    <w:rsid w:val="2C8F2F53"/>
    <w:rsid w:val="2CAE79CE"/>
    <w:rsid w:val="2CB6067E"/>
    <w:rsid w:val="2CC66F08"/>
    <w:rsid w:val="2CCA094F"/>
    <w:rsid w:val="2D610085"/>
    <w:rsid w:val="2D987578"/>
    <w:rsid w:val="2E1B3283"/>
    <w:rsid w:val="2E2B5E45"/>
    <w:rsid w:val="2E515D05"/>
    <w:rsid w:val="2F5702EB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7D60DE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56702B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1E7F36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7F72E9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9D61EE"/>
    <w:rsid w:val="3FEA0343"/>
    <w:rsid w:val="40363F4D"/>
    <w:rsid w:val="4044666A"/>
    <w:rsid w:val="40550877"/>
    <w:rsid w:val="4061225A"/>
    <w:rsid w:val="409A272E"/>
    <w:rsid w:val="40AE3341"/>
    <w:rsid w:val="413B181B"/>
    <w:rsid w:val="418307B3"/>
    <w:rsid w:val="41A25D3E"/>
    <w:rsid w:val="41CC2DBB"/>
    <w:rsid w:val="42A14049"/>
    <w:rsid w:val="42A25018"/>
    <w:rsid w:val="42E80618"/>
    <w:rsid w:val="42E867DB"/>
    <w:rsid w:val="43016A94"/>
    <w:rsid w:val="43366D8F"/>
    <w:rsid w:val="434A21E9"/>
    <w:rsid w:val="435B61A4"/>
    <w:rsid w:val="43925E19"/>
    <w:rsid w:val="442347E8"/>
    <w:rsid w:val="446A440B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7A22FB0"/>
    <w:rsid w:val="47CA56A6"/>
    <w:rsid w:val="4874505C"/>
    <w:rsid w:val="488F069E"/>
    <w:rsid w:val="48A56114"/>
    <w:rsid w:val="49136AFE"/>
    <w:rsid w:val="49201968"/>
    <w:rsid w:val="49837645"/>
    <w:rsid w:val="49DB003F"/>
    <w:rsid w:val="49F04DE4"/>
    <w:rsid w:val="49F977A4"/>
    <w:rsid w:val="4A0B1FA6"/>
    <w:rsid w:val="4ADB406F"/>
    <w:rsid w:val="4B6814D6"/>
    <w:rsid w:val="4B69318E"/>
    <w:rsid w:val="4BB905DA"/>
    <w:rsid w:val="4BC468B1"/>
    <w:rsid w:val="4C9E5354"/>
    <w:rsid w:val="4D8A005F"/>
    <w:rsid w:val="4DBC3CE3"/>
    <w:rsid w:val="4DE4323A"/>
    <w:rsid w:val="4E0B709E"/>
    <w:rsid w:val="4E2A5D47"/>
    <w:rsid w:val="4E7E368F"/>
    <w:rsid w:val="4EC97B8E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75D46"/>
    <w:rsid w:val="508D1967"/>
    <w:rsid w:val="50B20CEB"/>
    <w:rsid w:val="50E517A3"/>
    <w:rsid w:val="5167040A"/>
    <w:rsid w:val="521E54EC"/>
    <w:rsid w:val="522E2CD6"/>
    <w:rsid w:val="527E3C5D"/>
    <w:rsid w:val="53956A7C"/>
    <w:rsid w:val="53C01A33"/>
    <w:rsid w:val="545D5AF4"/>
    <w:rsid w:val="547370C6"/>
    <w:rsid w:val="54CF07A0"/>
    <w:rsid w:val="54E62062"/>
    <w:rsid w:val="55164621"/>
    <w:rsid w:val="552F2E36"/>
    <w:rsid w:val="558D41B7"/>
    <w:rsid w:val="55C35EAF"/>
    <w:rsid w:val="55FE57CA"/>
    <w:rsid w:val="56231F37"/>
    <w:rsid w:val="562B40FC"/>
    <w:rsid w:val="563C6D66"/>
    <w:rsid w:val="565C4B5A"/>
    <w:rsid w:val="567B3D51"/>
    <w:rsid w:val="56A33D3D"/>
    <w:rsid w:val="57034731"/>
    <w:rsid w:val="578E37A1"/>
    <w:rsid w:val="57922247"/>
    <w:rsid w:val="579D2DD8"/>
    <w:rsid w:val="57DB3900"/>
    <w:rsid w:val="586C6306"/>
    <w:rsid w:val="58B224C7"/>
    <w:rsid w:val="58B303D9"/>
    <w:rsid w:val="58C76ABA"/>
    <w:rsid w:val="58E10AA2"/>
    <w:rsid w:val="592B7F6F"/>
    <w:rsid w:val="59941FB8"/>
    <w:rsid w:val="59CA59DA"/>
    <w:rsid w:val="59E7033A"/>
    <w:rsid w:val="5A026F22"/>
    <w:rsid w:val="5A343B61"/>
    <w:rsid w:val="5A544481"/>
    <w:rsid w:val="5A696FA1"/>
    <w:rsid w:val="5AC02939"/>
    <w:rsid w:val="5B523ED9"/>
    <w:rsid w:val="5B775347"/>
    <w:rsid w:val="5B8878FB"/>
    <w:rsid w:val="5B955B74"/>
    <w:rsid w:val="5BDA081C"/>
    <w:rsid w:val="5C3F445D"/>
    <w:rsid w:val="5C8400C2"/>
    <w:rsid w:val="5C910A31"/>
    <w:rsid w:val="5CB7744C"/>
    <w:rsid w:val="5D415FB3"/>
    <w:rsid w:val="5D6C7344"/>
    <w:rsid w:val="5E007C1C"/>
    <w:rsid w:val="5E454BA5"/>
    <w:rsid w:val="5E5E5BE2"/>
    <w:rsid w:val="5EA551F5"/>
    <w:rsid w:val="5F28567D"/>
    <w:rsid w:val="5F41673E"/>
    <w:rsid w:val="5F4D50E3"/>
    <w:rsid w:val="5F773F0E"/>
    <w:rsid w:val="5FB70BF2"/>
    <w:rsid w:val="5FBA3DFB"/>
    <w:rsid w:val="5FDF2370"/>
    <w:rsid w:val="5FF732A1"/>
    <w:rsid w:val="60651FB9"/>
    <w:rsid w:val="60675D31"/>
    <w:rsid w:val="60730BF0"/>
    <w:rsid w:val="610F0A45"/>
    <w:rsid w:val="618A51FD"/>
    <w:rsid w:val="61AF2FE3"/>
    <w:rsid w:val="61F23FBA"/>
    <w:rsid w:val="622C5484"/>
    <w:rsid w:val="62600C89"/>
    <w:rsid w:val="62BD60DC"/>
    <w:rsid w:val="62C27B96"/>
    <w:rsid w:val="62FC63F4"/>
    <w:rsid w:val="63311D83"/>
    <w:rsid w:val="6346230D"/>
    <w:rsid w:val="63521D29"/>
    <w:rsid w:val="635B32B1"/>
    <w:rsid w:val="63727F71"/>
    <w:rsid w:val="63870498"/>
    <w:rsid w:val="639808F7"/>
    <w:rsid w:val="63AD5DD7"/>
    <w:rsid w:val="63D3192F"/>
    <w:rsid w:val="64354398"/>
    <w:rsid w:val="648C045C"/>
    <w:rsid w:val="64AD03D2"/>
    <w:rsid w:val="64BE438D"/>
    <w:rsid w:val="6502071E"/>
    <w:rsid w:val="650E0E71"/>
    <w:rsid w:val="65491EA9"/>
    <w:rsid w:val="65A417D5"/>
    <w:rsid w:val="65B57F02"/>
    <w:rsid w:val="65B75B1D"/>
    <w:rsid w:val="65BA2DA7"/>
    <w:rsid w:val="65C16EE0"/>
    <w:rsid w:val="65D06126"/>
    <w:rsid w:val="65ED7F30"/>
    <w:rsid w:val="666A3541"/>
    <w:rsid w:val="670B01C0"/>
    <w:rsid w:val="6726573D"/>
    <w:rsid w:val="67975221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AE37452"/>
    <w:rsid w:val="6BCC55E2"/>
    <w:rsid w:val="6C1D5E3D"/>
    <w:rsid w:val="6C264CF2"/>
    <w:rsid w:val="6C3311BD"/>
    <w:rsid w:val="6C370310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057314"/>
    <w:rsid w:val="704B11CB"/>
    <w:rsid w:val="704D50B7"/>
    <w:rsid w:val="70C60851"/>
    <w:rsid w:val="70C64CF5"/>
    <w:rsid w:val="714F6A99"/>
    <w:rsid w:val="71DB032D"/>
    <w:rsid w:val="71F0075E"/>
    <w:rsid w:val="723637B5"/>
    <w:rsid w:val="724265FE"/>
    <w:rsid w:val="726256EA"/>
    <w:rsid w:val="73301622"/>
    <w:rsid w:val="7343262D"/>
    <w:rsid w:val="738B5D82"/>
    <w:rsid w:val="73B733A7"/>
    <w:rsid w:val="742C0394"/>
    <w:rsid w:val="743957DE"/>
    <w:rsid w:val="744523C5"/>
    <w:rsid w:val="745037BC"/>
    <w:rsid w:val="7460720F"/>
    <w:rsid w:val="7463506E"/>
    <w:rsid w:val="748E12E6"/>
    <w:rsid w:val="74A40EAA"/>
    <w:rsid w:val="751A5610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BDA3403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after="0"/>
    </w:pPr>
    <w:rPr>
      <w:rFonts w:ascii="微软雅黑" w:hAnsi="微软雅黑" w:cs="宋体"/>
      <w:sz w:val="18"/>
      <w:szCs w:val="18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4409</Words>
  <Characters>4772</Characters>
  <Lines>0</Lines>
  <Paragraphs>0</Paragraphs>
  <TotalTime>1</TotalTime>
  <ScaleCrop>false</ScaleCrop>
  <LinksUpToDate>false</LinksUpToDate>
  <CharactersWithSpaces>4834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随风而起</cp:lastModifiedBy>
  <cp:lastPrinted>2024-05-23T01:55:00Z</cp:lastPrinted>
  <dcterms:modified xsi:type="dcterms:W3CDTF">2025-12-18T08:17:53Z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298C5ADCEB474705893C35726E73646B_13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