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rPr>
          <w:rFonts w:hint="eastAsia"/>
          <w:sz w:val="2"/>
          <w:szCs w:val="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隆回县荷田乡人民政府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65"/>
        <w:gridCol w:w="2012"/>
        <w:gridCol w:w="768"/>
        <w:gridCol w:w="567"/>
        <w:gridCol w:w="992"/>
        <w:gridCol w:w="355"/>
        <w:gridCol w:w="1147"/>
        <w:gridCol w:w="464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基本情况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编制人数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10" w:firstLineChars="5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实有人数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部门职能概述</w:t>
            </w:r>
          </w:p>
        </w:tc>
        <w:tc>
          <w:tcPr>
            <w:tcW w:w="7311" w:type="dxa"/>
            <w:gridSpan w:val="8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发展公益事业，强化公共服务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行使《中华人民共和国地方各级人民代表大会和地方各级人民政府组织法》等法律法规赋予的职权。（十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年度收入（万元）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县财政预算安排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1747.92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非税收入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1747.92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中央省市安排资金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其他收入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年度支出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（万元）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基本支出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1663.92</w:t>
            </w:r>
          </w:p>
        </w:tc>
        <w:tc>
          <w:tcPr>
            <w:tcW w:w="134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项目支出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1747.92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其中三公经费支出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3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实施情况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财政供养人员控制情况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是否存在超编超配人员：  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三公经费管理情况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非税收入完成情况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政府采购及金额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预算执行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否□, 追加金额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428.51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公开时间: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预算绩效管理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财务管理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会计机构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  <w:color w:val="auto"/>
              </w:rPr>
              <w:t>是否按规定设置: 是</w:t>
            </w:r>
            <w:r>
              <w:rPr>
                <w:rFonts w:hint="eastAsia" w:ascii="仿宋" w:hAnsi="仿宋" w:eastAsia="仿宋" w:cs="仿宋"/>
                <w:color w:val="auto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是</w:t>
            </w:r>
            <w:r>
              <w:rPr>
                <w:rFonts w:hint="eastAsia" w:ascii="仿宋" w:hAnsi="仿宋" w:eastAsia="仿宋" w:cs="仿宋"/>
                <w:color w:val="auto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color w:val="auto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  <w:color w:val="auto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会计人员是否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  <w:color w:val="auto"/>
              </w:rPr>
              <w:t>: 是</w:t>
            </w:r>
            <w:r>
              <w:rPr>
                <w:rFonts w:hint="eastAsia" w:ascii="仿宋" w:hAnsi="仿宋" w:eastAsia="仿宋" w:cs="仿宋"/>
                <w:color w:val="auto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资金管理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资产管理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职责履行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主要绩效</w:t>
            </w:r>
          </w:p>
        </w:tc>
        <w:tc>
          <w:tcPr>
            <w:tcW w:w="8676" w:type="dxa"/>
            <w:gridSpan w:val="9"/>
            <w:noWrap w:val="0"/>
            <w:vAlign w:val="center"/>
          </w:tcPr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202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年我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乡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积极履职，强化管理，较好的完成了年度工作目标。通过加强预算收支管理，不断建立健全内部管理制度，梳理内部管理流程，整体支出管理水平得到提升。主要表现在：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1.经济环境进一步优化；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2.农村工作进一步深化；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3.基础建设进一步规范化；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.精神文明建设及民主法治建设进一步现代化；</w:t>
            </w:r>
          </w:p>
          <w:p>
            <w:pPr>
              <w:ind w:firstLine="110" w:firstLineChars="5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.社会稳定进一步强化。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自评结论</w:t>
            </w:r>
          </w:p>
        </w:tc>
        <w:tc>
          <w:tcPr>
            <w:tcW w:w="867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问题与建议</w:t>
            </w:r>
          </w:p>
        </w:tc>
        <w:tc>
          <w:tcPr>
            <w:tcW w:w="867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1.存在的问题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需要进一步细化预算编制，预算编制不够明确和细化，预算编制的合理性需要提高，预算执行力度还要进一步加强。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需要进一步规范财政资金管理，加强主体责任意识，提高财政资金的使用效益，加强财务清查监管，强化组织纪律观念，切实履行财务监管责任。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2.改进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细化预算编制工作，认真做好预算的编制。对预算编制人员进行培训，加强其对预算编制的相关制度和要求的认识，进一步提高预算编制的科学性、严谨性和可控性；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加强财务管理，严格财务审核支付，专款专用、杜绝超支现象的发生，完善资产管理制度，合理压缩“三公”经费支出，杜绝挪用和挤占其他预算资金行为。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主管部门意见</w:t>
            </w:r>
          </w:p>
        </w:tc>
        <w:tc>
          <w:tcPr>
            <w:tcW w:w="8676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sectPr>
      <w:headerReference r:id="rId3" w:type="default"/>
      <w:footerReference r:id="rId4" w:type="default"/>
      <w:footerReference r:id="rId5" w:type="even"/>
      <w:pgSz w:w="11905" w:h="16837"/>
      <w:pgMar w:top="1134" w:right="1587" w:bottom="1134" w:left="1587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GQ0NDlmYzMyZjEzODNhOGQyMDNkYTIxY2NjOGEifQ=="/>
  </w:docVars>
  <w:rsids>
    <w:rsidRoot w:val="18D538B0"/>
    <w:rsid w:val="01600BAC"/>
    <w:rsid w:val="018E17F6"/>
    <w:rsid w:val="01E50D53"/>
    <w:rsid w:val="01EB6738"/>
    <w:rsid w:val="03524CB6"/>
    <w:rsid w:val="03B40C48"/>
    <w:rsid w:val="03D2624F"/>
    <w:rsid w:val="040501C3"/>
    <w:rsid w:val="05323055"/>
    <w:rsid w:val="05E337FC"/>
    <w:rsid w:val="06536294"/>
    <w:rsid w:val="07155C37"/>
    <w:rsid w:val="09D347BB"/>
    <w:rsid w:val="0A0D1635"/>
    <w:rsid w:val="0A6273E5"/>
    <w:rsid w:val="0A686BF6"/>
    <w:rsid w:val="0C760F26"/>
    <w:rsid w:val="0DD74424"/>
    <w:rsid w:val="0E523E52"/>
    <w:rsid w:val="107F4121"/>
    <w:rsid w:val="10C57C4D"/>
    <w:rsid w:val="11456604"/>
    <w:rsid w:val="117C2E73"/>
    <w:rsid w:val="11E9622E"/>
    <w:rsid w:val="12607728"/>
    <w:rsid w:val="126104A5"/>
    <w:rsid w:val="13113C31"/>
    <w:rsid w:val="13C57FC2"/>
    <w:rsid w:val="13DD7ADC"/>
    <w:rsid w:val="13EB2DF0"/>
    <w:rsid w:val="144F5156"/>
    <w:rsid w:val="1767588B"/>
    <w:rsid w:val="18D538B0"/>
    <w:rsid w:val="18E032C2"/>
    <w:rsid w:val="19A277FE"/>
    <w:rsid w:val="1CCF110C"/>
    <w:rsid w:val="1D9456B0"/>
    <w:rsid w:val="1FA31533"/>
    <w:rsid w:val="213827F6"/>
    <w:rsid w:val="21796BC2"/>
    <w:rsid w:val="21B552CB"/>
    <w:rsid w:val="22BE0E76"/>
    <w:rsid w:val="23250B58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E5C2057"/>
    <w:rsid w:val="2FC02FA6"/>
    <w:rsid w:val="2FF745A3"/>
    <w:rsid w:val="31593336"/>
    <w:rsid w:val="316450AF"/>
    <w:rsid w:val="335115F0"/>
    <w:rsid w:val="3546366F"/>
    <w:rsid w:val="357070B5"/>
    <w:rsid w:val="376A3C4C"/>
    <w:rsid w:val="38FC7F68"/>
    <w:rsid w:val="394108F2"/>
    <w:rsid w:val="39C175C6"/>
    <w:rsid w:val="3A1F2AB9"/>
    <w:rsid w:val="3A754CC9"/>
    <w:rsid w:val="3BEA370A"/>
    <w:rsid w:val="3DCE3E6E"/>
    <w:rsid w:val="3E3A69A0"/>
    <w:rsid w:val="3ECD3124"/>
    <w:rsid w:val="3F9A003D"/>
    <w:rsid w:val="3FEA0343"/>
    <w:rsid w:val="44DC6472"/>
    <w:rsid w:val="475F4422"/>
    <w:rsid w:val="4874505C"/>
    <w:rsid w:val="49136AFE"/>
    <w:rsid w:val="49201968"/>
    <w:rsid w:val="49F977A4"/>
    <w:rsid w:val="4B6814D6"/>
    <w:rsid w:val="4BB905DA"/>
    <w:rsid w:val="4E0B709E"/>
    <w:rsid w:val="5039786D"/>
    <w:rsid w:val="507C62DD"/>
    <w:rsid w:val="50B20CEB"/>
    <w:rsid w:val="537A08DB"/>
    <w:rsid w:val="55FE57CA"/>
    <w:rsid w:val="563C6D66"/>
    <w:rsid w:val="565C4B5A"/>
    <w:rsid w:val="572D004A"/>
    <w:rsid w:val="578E37A1"/>
    <w:rsid w:val="58C76ABA"/>
    <w:rsid w:val="59435650"/>
    <w:rsid w:val="59CA59DA"/>
    <w:rsid w:val="5D6C7344"/>
    <w:rsid w:val="5EA551F5"/>
    <w:rsid w:val="61AF2FE3"/>
    <w:rsid w:val="63521D29"/>
    <w:rsid w:val="635B32B1"/>
    <w:rsid w:val="63AD5DD7"/>
    <w:rsid w:val="65B75B1D"/>
    <w:rsid w:val="65ED7F30"/>
    <w:rsid w:val="670B01C0"/>
    <w:rsid w:val="68045877"/>
    <w:rsid w:val="6A522671"/>
    <w:rsid w:val="6ACB22C2"/>
    <w:rsid w:val="6C3C39CA"/>
    <w:rsid w:val="6C6A0E2B"/>
    <w:rsid w:val="6C801864"/>
    <w:rsid w:val="6E356F79"/>
    <w:rsid w:val="6E615BFD"/>
    <w:rsid w:val="72BD37E5"/>
    <w:rsid w:val="745037BC"/>
    <w:rsid w:val="767C2482"/>
    <w:rsid w:val="769A7B1F"/>
    <w:rsid w:val="78270946"/>
    <w:rsid w:val="784B3534"/>
    <w:rsid w:val="78853E63"/>
    <w:rsid w:val="79367029"/>
    <w:rsid w:val="7A031D57"/>
    <w:rsid w:val="7A3613CA"/>
    <w:rsid w:val="7B3D3D71"/>
    <w:rsid w:val="7CB579CC"/>
    <w:rsid w:val="7D2A54B9"/>
    <w:rsid w:val="7D887789"/>
    <w:rsid w:val="7E250153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1573</Words>
  <Characters>1625</Characters>
  <Lines>0</Lines>
  <Paragraphs>0</Paragraphs>
  <TotalTime>2</TotalTime>
  <ScaleCrop>false</ScaleCrop>
  <LinksUpToDate>false</LinksUpToDate>
  <CharactersWithSpaces>1764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2023-04-25T06:46:00Z</cp:lastPrinted>
  <dcterms:modified xsi:type="dcterms:W3CDTF">2023-09-13T01:45:52Z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E4BE45A33DC24F6AA5EF34F14E4C62B4_13</vt:lpwstr>
  </property>
</Properties>
</file>