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宋体" w:hAnsi="宋体" w:eastAsia="宋体"/>
          <w:b/>
          <w:sz w:val="36"/>
          <w:szCs w:val="36"/>
        </w:rPr>
      </w:pPr>
      <w:r>
        <w:rPr>
          <w:rFonts w:hint="eastAsia" w:ascii="宋体" w:hAnsi="宋体" w:eastAsia="宋体"/>
          <w:b/>
          <w:sz w:val="36"/>
          <w:szCs w:val="36"/>
        </w:rPr>
        <w:t>隆回县</w:t>
      </w:r>
      <w:r>
        <w:rPr>
          <w:rFonts w:hint="eastAsia" w:ascii="宋体" w:hAnsi="宋体" w:eastAsia="宋体"/>
          <w:b/>
          <w:sz w:val="36"/>
          <w:szCs w:val="36"/>
          <w:lang w:val="en-US" w:eastAsia="zh-CN"/>
        </w:rPr>
        <w:t>交通运输局</w:t>
      </w:r>
      <w:r>
        <w:rPr>
          <w:rFonts w:hint="eastAsia" w:ascii="宋体" w:hAnsi="宋体"/>
          <w:b/>
          <w:sz w:val="36"/>
          <w:szCs w:val="36"/>
          <w:lang w:val="en-US" w:eastAsia="zh-CN"/>
        </w:rPr>
        <w:t>2022</w:t>
      </w:r>
      <w:r>
        <w:rPr>
          <w:rFonts w:hint="eastAsia" w:ascii="宋体" w:hAnsi="宋体" w:eastAsia="宋体"/>
          <w:b/>
          <w:sz w:val="36"/>
          <w:szCs w:val="36"/>
        </w:rPr>
        <w:t>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宋体" w:hAnsi="宋体" w:eastAsia="宋体"/>
          <w:b/>
          <w:sz w:val="36"/>
          <w:szCs w:val="36"/>
        </w:rPr>
      </w:pPr>
      <w:r>
        <w:rPr>
          <w:rFonts w:hint="eastAsia" w:ascii="宋体" w:hAnsi="宋体" w:eastAsia="宋体"/>
          <w:b/>
          <w:sz w:val="36"/>
          <w:szCs w:val="36"/>
          <w:lang w:val="en-US" w:eastAsia="zh-CN"/>
        </w:rPr>
        <w:t>专项</w:t>
      </w:r>
      <w:r>
        <w:rPr>
          <w:rFonts w:hint="eastAsia" w:ascii="宋体" w:hAnsi="宋体" w:eastAsia="宋体"/>
          <w:b/>
          <w:sz w:val="36"/>
          <w:szCs w:val="36"/>
        </w:rPr>
        <w:t>资金绩效自评报告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一、项目概况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隆回县交通运输专项资金项目用于</w:t>
      </w:r>
      <w:r>
        <w:rPr>
          <w:rFonts w:hint="eastAsia" w:eastAsia="仿宋"/>
          <w:sz w:val="30"/>
          <w:szCs w:val="30"/>
        </w:rPr>
        <w:t>公路建设专项工作</w:t>
      </w:r>
      <w:r>
        <w:rPr>
          <w:rFonts w:hint="eastAsia" w:eastAsia="仿宋"/>
          <w:sz w:val="30"/>
          <w:szCs w:val="30"/>
          <w:lang w:eastAsia="zh-CN"/>
        </w:rPr>
        <w:t>、</w:t>
      </w:r>
      <w:r>
        <w:rPr>
          <w:rFonts w:eastAsia="仿宋"/>
          <w:sz w:val="30"/>
          <w:szCs w:val="30"/>
        </w:rPr>
        <w:t>重点项目前期工作</w:t>
      </w:r>
      <w:r>
        <w:rPr>
          <w:rFonts w:hint="eastAsia" w:eastAsia="仿宋"/>
          <w:sz w:val="30"/>
          <w:szCs w:val="30"/>
          <w:lang w:eastAsia="zh-CN"/>
        </w:rPr>
        <w:t>、</w:t>
      </w:r>
      <w:r>
        <w:rPr>
          <w:rFonts w:hint="eastAsia" w:eastAsia="仿宋"/>
          <w:sz w:val="30"/>
          <w:szCs w:val="30"/>
        </w:rPr>
        <w:t>脱贫攻坚自然村通水泥(</w:t>
      </w:r>
      <w:r>
        <w:rPr>
          <w:rFonts w:eastAsia="仿宋"/>
          <w:sz w:val="30"/>
          <w:szCs w:val="30"/>
        </w:rPr>
        <w:t>沥青</w:t>
      </w:r>
      <w:r>
        <w:rPr>
          <w:rFonts w:hint="eastAsia" w:eastAsia="仿宋"/>
          <w:sz w:val="30"/>
          <w:szCs w:val="30"/>
        </w:rPr>
        <w:t>)路项目建设工作</w:t>
      </w:r>
      <w:r>
        <w:rPr>
          <w:rFonts w:hint="eastAsia" w:eastAsia="仿宋"/>
          <w:sz w:val="30"/>
          <w:szCs w:val="30"/>
          <w:lang w:eastAsia="zh-CN"/>
        </w:rPr>
        <w:t>、</w:t>
      </w:r>
      <w:r>
        <w:rPr>
          <w:rFonts w:eastAsia="仿宋"/>
          <w:sz w:val="30"/>
          <w:szCs w:val="30"/>
        </w:rPr>
        <w:t>交通项目安全生产管理</w:t>
      </w:r>
      <w:r>
        <w:rPr>
          <w:rFonts w:hint="eastAsia" w:eastAsia="仿宋"/>
          <w:sz w:val="30"/>
          <w:szCs w:val="30"/>
          <w:lang w:eastAsia="zh-CN"/>
        </w:rPr>
        <w:t>、</w:t>
      </w:r>
      <w:r>
        <w:rPr>
          <w:rFonts w:hint="eastAsia" w:eastAsia="仿宋"/>
          <w:sz w:val="28"/>
          <w:szCs w:val="28"/>
          <w:lang w:eastAsia="zh-CN"/>
        </w:rPr>
        <w:t>农村公路工作、</w:t>
      </w:r>
      <w:r>
        <w:rPr>
          <w:rFonts w:hint="eastAsia" w:ascii="仿宋" w:hAnsi="仿宋" w:eastAsia="仿宋"/>
          <w:sz w:val="32"/>
          <w:szCs w:val="32"/>
        </w:rPr>
        <w:t>乡村振兴。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rPr>
        <w:t>（二）</w:t>
      </w:r>
      <w:r>
        <w:rPr>
          <w:rFonts w:hint="eastAsia" w:ascii="仿宋" w:hAnsi="仿宋" w:eastAsia="仿宋" w:cs="仿宋"/>
          <w:sz w:val="32"/>
          <w:szCs w:val="32"/>
        </w:rPr>
        <w:t>坚持</w:t>
      </w:r>
      <w:r>
        <w:rPr>
          <w:rFonts w:hint="eastAsia" w:ascii="仿宋" w:hAnsi="仿宋" w:eastAsia="仿宋" w:cs="仿宋"/>
          <w:sz w:val="32"/>
          <w:szCs w:val="32"/>
          <w:lang w:val="en-US" w:eastAsia="zh-CN"/>
        </w:rPr>
        <w:t>党建引</w:t>
      </w:r>
      <w:r>
        <w:rPr>
          <w:rFonts w:hint="eastAsia" w:ascii="仿宋" w:hAnsi="仿宋" w:eastAsia="仿宋" w:cs="仿宋"/>
          <w:kern w:val="0"/>
          <w:sz w:val="32"/>
          <w:szCs w:val="32"/>
        </w:rPr>
        <w:t>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以项目建设为抓手，</w:t>
      </w:r>
      <w:r>
        <w:rPr>
          <w:rFonts w:hint="eastAsia" w:ascii="仿宋" w:hAnsi="仿宋" w:eastAsia="仿宋" w:cs="仿宋"/>
          <w:sz w:val="32"/>
          <w:szCs w:val="32"/>
          <w:lang w:eastAsia="zh-CN"/>
        </w:rPr>
        <w:t>以“平安交通”为主线，</w:t>
      </w:r>
      <w:r>
        <w:rPr>
          <w:rFonts w:hint="eastAsia" w:ascii="仿宋" w:hAnsi="仿宋" w:eastAsia="仿宋" w:cs="仿宋"/>
          <w:sz w:val="32"/>
          <w:szCs w:val="32"/>
          <w:lang w:val="en-US" w:eastAsia="zh-CN"/>
        </w:rPr>
        <w:t>立足“三宜三融三区”发展大局，</w:t>
      </w:r>
      <w:r>
        <w:rPr>
          <w:rFonts w:hint="eastAsia" w:ascii="仿宋" w:hAnsi="仿宋" w:eastAsia="仿宋"/>
          <w:sz w:val="30"/>
          <w:szCs w:val="32"/>
        </w:rPr>
        <w:t>加快隆回交通基础设施建设步伐，</w:t>
      </w:r>
      <w:r>
        <w:rPr>
          <w:rFonts w:hint="eastAsia" w:ascii="仿宋" w:hAnsi="仿宋" w:eastAsia="仿宋" w:cs="仿宋"/>
          <w:sz w:val="32"/>
          <w:szCs w:val="32"/>
          <w:lang w:val="en-US" w:eastAsia="zh-CN"/>
        </w:rPr>
        <w:t>努力建设人民满意交通。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二、项目资金使用及管理情况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重点项目和农村公路建设项目等专项</w:t>
      </w:r>
      <w:r>
        <w:rPr>
          <w:rFonts w:hint="eastAsia" w:ascii="仿宋" w:hAnsi="仿宋" w:eastAsia="仿宋" w:cs="仿宋"/>
          <w:sz w:val="30"/>
          <w:szCs w:val="30"/>
        </w:rPr>
        <w:t>资金</w:t>
      </w:r>
      <w:r>
        <w:rPr>
          <w:rFonts w:hint="eastAsia" w:ascii="仿宋" w:hAnsi="仿宋" w:eastAsia="仿宋" w:cs="仿宋"/>
          <w:sz w:val="30"/>
          <w:szCs w:val="30"/>
          <w:lang w:val="en-US" w:eastAsia="zh-CN"/>
        </w:rPr>
        <w:t>300</w:t>
      </w:r>
      <w:r>
        <w:rPr>
          <w:rFonts w:hint="eastAsia" w:ascii="仿宋" w:hAnsi="仿宋" w:eastAsia="仿宋" w:cs="仿宋"/>
          <w:sz w:val="30"/>
          <w:szCs w:val="30"/>
        </w:rPr>
        <w:t>万元，已全额下达，资金到位及时，时效性好，有效的推动了</w:t>
      </w:r>
      <w:r>
        <w:rPr>
          <w:rFonts w:hint="eastAsia" w:ascii="仿宋" w:hAnsi="仿宋" w:eastAsia="仿宋" w:cs="仿宋"/>
          <w:sz w:val="30"/>
          <w:szCs w:val="30"/>
          <w:lang w:val="en-US" w:eastAsia="zh-CN"/>
        </w:rPr>
        <w:t>我单位</w:t>
      </w:r>
      <w:r>
        <w:rPr>
          <w:rFonts w:hint="eastAsia" w:ascii="仿宋" w:hAnsi="仿宋" w:eastAsia="仿宋" w:cs="仿宋"/>
          <w:sz w:val="30"/>
          <w:szCs w:val="30"/>
        </w:rPr>
        <w:t>专项工作开展的时效性。</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2022</w:t>
      </w:r>
      <w:r>
        <w:rPr>
          <w:rFonts w:hint="eastAsia" w:ascii="仿宋" w:hAnsi="仿宋" w:eastAsia="仿宋" w:cs="仿宋"/>
          <w:sz w:val="30"/>
          <w:szCs w:val="30"/>
        </w:rPr>
        <w:t>年专项资金预算批复并到位金额</w:t>
      </w:r>
      <w:r>
        <w:rPr>
          <w:rFonts w:hint="eastAsia" w:ascii="仿宋" w:hAnsi="仿宋" w:eastAsia="仿宋" w:cs="仿宋"/>
          <w:sz w:val="30"/>
          <w:szCs w:val="30"/>
          <w:lang w:val="en-US" w:eastAsia="zh-CN"/>
        </w:rPr>
        <w:t>300</w:t>
      </w:r>
      <w:r>
        <w:rPr>
          <w:rFonts w:hint="eastAsia" w:ascii="仿宋" w:hAnsi="仿宋" w:eastAsia="仿宋" w:cs="仿宋"/>
          <w:sz w:val="30"/>
          <w:szCs w:val="30"/>
        </w:rPr>
        <w:t>万元，专项资金实际支出总额</w:t>
      </w:r>
      <w:r>
        <w:rPr>
          <w:rFonts w:hint="eastAsia" w:ascii="仿宋" w:hAnsi="仿宋" w:eastAsia="仿宋" w:cs="仿宋"/>
          <w:sz w:val="30"/>
          <w:szCs w:val="30"/>
          <w:lang w:val="en-US" w:eastAsia="zh-CN"/>
        </w:rPr>
        <w:t>300</w:t>
      </w:r>
      <w:r>
        <w:rPr>
          <w:rFonts w:hint="eastAsia" w:ascii="仿宋" w:hAnsi="仿宋" w:eastAsia="仿宋" w:cs="仿宋"/>
          <w:sz w:val="30"/>
          <w:szCs w:val="30"/>
        </w:rPr>
        <w:t>万元，资金投入总进度100%。总体情况如下：</w:t>
      </w:r>
    </w:p>
    <w:p>
      <w:pPr>
        <w:keepNext w:val="0"/>
        <w:keepLines w:val="0"/>
        <w:pageBreakBefore w:val="0"/>
        <w:kinsoku/>
        <w:wordWrap/>
        <w:overflowPunct/>
        <w:topLinePunct w:val="0"/>
        <w:autoSpaceDE/>
        <w:autoSpaceDN/>
        <w:bidi w:val="0"/>
        <w:adjustRightInd/>
        <w:snapToGrid/>
        <w:spacing w:line="600" w:lineRule="exact"/>
        <w:ind w:firstLine="615"/>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1、公路建设及</w:t>
      </w:r>
      <w:r>
        <w:rPr>
          <w:rFonts w:hint="eastAsia" w:ascii="仿宋" w:hAnsi="仿宋" w:eastAsia="仿宋" w:cs="仿宋"/>
          <w:sz w:val="30"/>
          <w:szCs w:val="30"/>
        </w:rPr>
        <w:t>前期工作经费</w:t>
      </w:r>
      <w:r>
        <w:rPr>
          <w:rFonts w:hint="eastAsia" w:ascii="仿宋" w:hAnsi="仿宋" w:eastAsia="仿宋" w:cs="仿宋"/>
          <w:sz w:val="30"/>
          <w:szCs w:val="30"/>
          <w:lang w:val="en-US" w:eastAsia="zh-CN"/>
        </w:rPr>
        <w:t>285</w:t>
      </w:r>
      <w:r>
        <w:rPr>
          <w:rFonts w:hint="eastAsia" w:ascii="仿宋" w:hAnsi="仿宋" w:eastAsia="仿宋" w:cs="仿宋"/>
          <w:sz w:val="30"/>
          <w:szCs w:val="30"/>
        </w:rPr>
        <w:t>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）农村公路安防设施建设、坝上桥、横冲桥等危桥改造、青罗公路、高新区公交枢纽站、荷香桥至马头山公路提质改造、虎形山瑶族乡水源公路、白水洞至穿岩山国家森林公园公路等旅游资源产业路通景公路</w:t>
      </w:r>
      <w:r>
        <w:rPr>
          <w:rFonts w:hint="eastAsia" w:ascii="仿宋" w:hAnsi="仿宋" w:eastAsia="仿宋" w:cs="仿宋"/>
          <w:sz w:val="30"/>
          <w:szCs w:val="30"/>
        </w:rPr>
        <w:t>勘察</w:t>
      </w:r>
      <w:r>
        <w:rPr>
          <w:rFonts w:hint="eastAsia" w:ascii="仿宋" w:hAnsi="仿宋" w:eastAsia="仿宋" w:cs="仿宋"/>
          <w:sz w:val="30"/>
          <w:szCs w:val="30"/>
          <w:lang w:eastAsia="zh-CN"/>
        </w:rPr>
        <w:t>、设计费用</w:t>
      </w:r>
      <w:r>
        <w:rPr>
          <w:rFonts w:hint="eastAsia" w:ascii="仿宋" w:hAnsi="仿宋" w:eastAsia="仿宋" w:cs="仿宋"/>
          <w:sz w:val="30"/>
          <w:szCs w:val="30"/>
          <w:lang w:val="en-US" w:eastAsia="zh-CN"/>
        </w:rPr>
        <w:t>108</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）“四好农村公路”中长期规划可行性研究报告编制、巴油公路、六溪公路、荷香桥环城路、水源公路建设可行性评价报告编制</w:t>
      </w:r>
      <w:r>
        <w:rPr>
          <w:rFonts w:hint="eastAsia" w:ascii="仿宋" w:hAnsi="仿宋" w:eastAsia="仿宋" w:cs="仿宋"/>
          <w:sz w:val="30"/>
          <w:szCs w:val="30"/>
        </w:rPr>
        <w:t>费用</w:t>
      </w:r>
      <w:r>
        <w:rPr>
          <w:rFonts w:hint="eastAsia" w:ascii="仿宋" w:hAnsi="仿宋" w:eastAsia="仿宋" w:cs="仿宋"/>
          <w:sz w:val="30"/>
          <w:szCs w:val="30"/>
          <w:lang w:val="en-US" w:eastAsia="zh-CN"/>
        </w:rPr>
        <w:t>44</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）用于</w:t>
      </w:r>
      <w:r>
        <w:rPr>
          <w:rFonts w:hint="eastAsia" w:ascii="仿宋" w:hAnsi="仿宋" w:eastAsia="仿宋" w:cs="仿宋"/>
          <w:sz w:val="30"/>
          <w:szCs w:val="30"/>
          <w:lang w:val="en-US" w:eastAsia="zh-CN"/>
        </w:rPr>
        <w:t>巴油公路改建扩宽工程、</w:t>
      </w:r>
      <w:r>
        <w:rPr>
          <w:rFonts w:hint="eastAsia" w:ascii="仿宋" w:hAnsi="仿宋" w:eastAsia="仿宋" w:cs="仿宋"/>
          <w:sz w:val="30"/>
          <w:szCs w:val="30"/>
          <w:lang w:eastAsia="zh-CN"/>
        </w:rPr>
        <w:t>丁洞公路</w:t>
      </w:r>
      <w:r>
        <w:rPr>
          <w:rFonts w:hint="eastAsia" w:ascii="仿宋" w:hAnsi="仿宋" w:eastAsia="仿宋" w:cs="仿宋"/>
          <w:sz w:val="30"/>
          <w:szCs w:val="30"/>
          <w:lang w:val="en-US" w:eastAsia="zh-CN"/>
        </w:rPr>
        <w:t>及六都寨至西山</w:t>
      </w:r>
      <w:r>
        <w:rPr>
          <w:rFonts w:hint="eastAsia" w:ascii="仿宋" w:hAnsi="仿宋" w:eastAsia="仿宋" w:cs="仿宋"/>
          <w:sz w:val="30"/>
          <w:szCs w:val="30"/>
          <w:lang w:eastAsia="zh-CN"/>
        </w:rPr>
        <w:t>公路</w:t>
      </w:r>
      <w:r>
        <w:rPr>
          <w:rFonts w:hint="eastAsia" w:ascii="仿宋" w:hAnsi="仿宋" w:eastAsia="仿宋" w:cs="仿宋"/>
          <w:sz w:val="30"/>
          <w:szCs w:val="30"/>
          <w:lang w:val="en-US" w:eastAsia="zh-CN"/>
        </w:rPr>
        <w:t>建设工程款133万元；</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交通系统顽瘴痼疾整治工作经费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危险路面修复经费等15</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为进一步加强专项资金管理工作，我单位严格按照《中华人民共和国预算法》、《湖南省交通运输事业发展专项资金管理暂行办法》完善了单位的《财务管理制度》，专项资金实行“专人管理、专户储存、专账核算、专项使用”，且各项目资金严格按照该专项资金的使用管理条例进行开支。专项资金管理能力逐步得到提高，专项管理工作逐步得到加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三、项目组织实施情况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我单位严格按照项目批复内容组织实施，落实项目实施条件，执行项目管理制度，确保绩效目标实现；完善了内部财务管理办法，对项目资金进行财务管理和专项核算，确保项目资金专款专用。按部门职责分工明确，专项制定了相应资金管理办法和实施方案，并严格遵循工作计划稳步推进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 w:hAnsi="仿宋" w:eastAsia="仿宋" w:cs="仿宋"/>
          <w:kern w:val="2"/>
          <w:sz w:val="30"/>
          <w:szCs w:val="30"/>
          <w:lang w:val="en-US" w:eastAsia="zh-CN" w:bidi="ar-SA"/>
        </w:rPr>
      </w:pPr>
      <w:r>
        <w:rPr>
          <w:rFonts w:hint="eastAsia" w:ascii="仿宋" w:hAnsi="仿宋" w:eastAsia="仿宋" w:cs="仿宋"/>
          <w:i w:val="0"/>
          <w:iCs w:val="0"/>
          <w:caps w:val="0"/>
          <w:color w:val="333333"/>
          <w:spacing w:val="0"/>
          <w:sz w:val="30"/>
          <w:szCs w:val="30"/>
        </w:rPr>
        <w:t>　　</w:t>
      </w:r>
      <w:r>
        <w:rPr>
          <w:rFonts w:hint="eastAsia" w:ascii="仿宋" w:hAnsi="仿宋" w:eastAsia="仿宋" w:cs="仿宋"/>
          <w:kern w:val="2"/>
          <w:sz w:val="30"/>
          <w:szCs w:val="30"/>
          <w:lang w:val="en-US" w:eastAsia="zh-CN" w:bidi="ar-SA"/>
        </w:rPr>
        <w:t>（二）各项目实施单位严格执行政府采购的相关制度，对所有需要政府采购的项目均通过政府采购系统进行申报和审批，按规定进行公开招标，或经审批开展单一来源采购，签订政府采购合同后，项目实施单位视项目进度情况，按合同约定标准和条件，通过财政支付系统进行专项资金支付，实现项目资金封闭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四、项目绩效情况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所有项目均按年度目标完成，群众满意度明显提高，取得了较好的成效：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（一）交通项目建设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完成农村公路建设任务76.01公里，完成危桥改造7座，完成省、市下达的农村公路安防工程120.224公里，其中为民办实事和六项重点工作农村公路安防设施建设项目隐患里程118.924公里，春雷行动需要整治隐患里程1.3公里。重点项目建设中，丁洞公路、大花至善缘亭公路现全线路面工程已完工，正在进行安保工程施工；高平滨江南路、G320过境公路、新邵迎光经高平至罗洪巴油公路现均已开工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全面完成干线公路大中修工程53.243km，干线公路绿化提升工程现已完成苗木栽种，正在抓紧实施景观点建设，实施农村公路预防性养护工程130km，修复性养护工程144km，农村公路通行状况得到大幅改善。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（二）安全生产工作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通过加强宣传发动、强化隐患排查、加大监管力度、推进城乡客运一体化等一系列举措，道路交通事故实现了断崖式下降，全力扭转安全生产的被动局面，道路交通安全环境形势稳定向好。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（三）提案办理工作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我局2022年共承办人大代表建议和政协委员提案83件，由局党组成员分别带队负责，深入基层和现场开展走访和调研，高质量办理，按时完成了工作任务。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（四）交通运输执法体制改革</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县交通运输综合行政执法大队137人在6月份全部到岗到位，标志着我县交通执法体制改革圆满完成。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sz w:val="32"/>
          <w:szCs w:val="32"/>
        </w:rPr>
        <w:t>五、存在的问题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（一）机关运行经费缺口大，人头经费预算相对较低，工作推进无法达到预期目标。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（二）机关配备的编制只有13名，事多人少，我局为保障工作的开展，从二级机构抽调大量人员至局机关实行混岗，专业人才缺乏，干部年龄结构老龄化，严重影响工作开展。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六、有关建议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（一）加强项目资金管理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各项目应严格执行国家有关财务制度规定，确保项目建设资金专款专用，向其他单位拨付专项经费，需认真核实项目支出的必要性、合理性。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（二）科学编制预算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加强预算管理，加强预算执行动态监控，在保证资金安全业务正常开展的基础上，做到“无预算不支出”。要提高预算的编制质量，要明确预算编制、执行的责任主体，进一步加强预算编制、执行管理，坚持事权与支出责任相适应,按照年度预算安排和工作进度，持续加大推进预算执行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（三）资金适当均衡安排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专项资金对于农村交通基础建设的发展起到了引导作用，建议整合可用资金，增加资金总量，争取能均衡发展交通建设。</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其他需要说明的问题</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Times New Roman"/>
          <w:kern w:val="2"/>
          <w:sz w:val="32"/>
          <w:szCs w:val="32"/>
          <w:lang w:val="en-US" w:eastAsia="zh-CN" w:bidi="ar-SA"/>
        </w:rPr>
      </w:pPr>
      <w:r>
        <w:rPr>
          <w:rFonts w:hint="eastAsia"/>
          <w:lang w:val="en-US" w:eastAsia="zh-CN"/>
        </w:rPr>
        <w:t xml:space="preserve">     </w:t>
      </w:r>
      <w:r>
        <w:rPr>
          <w:rFonts w:hint="eastAsia" w:ascii="仿宋" w:hAnsi="仿宋" w:eastAsia="仿宋" w:cs="Times New Roman"/>
          <w:kern w:val="2"/>
          <w:sz w:val="32"/>
          <w:szCs w:val="32"/>
          <w:lang w:val="en-US" w:eastAsia="zh-CN" w:bidi="ar-SA"/>
        </w:rPr>
        <w:t xml:space="preserve"> 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隆回县交通运输局</w:t>
      </w:r>
    </w:p>
    <w:p>
      <w:pPr>
        <w:pStyle w:val="2"/>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default"/>
          <w:lang w:val="en-US" w:eastAsia="zh-CN"/>
        </w:rPr>
      </w:pPr>
      <w:r>
        <w:rPr>
          <w:rFonts w:hint="eastAsia" w:ascii="仿宋" w:hAnsi="仿宋" w:eastAsia="仿宋" w:cs="Times New Roman"/>
          <w:kern w:val="2"/>
          <w:sz w:val="32"/>
          <w:szCs w:val="32"/>
          <w:lang w:val="en-US" w:eastAsia="zh-CN" w:bidi="ar-SA"/>
        </w:rPr>
        <w:t>2023年5月11日</w:t>
      </w:r>
    </w:p>
    <w:p>
      <w:pPr>
        <w:pStyle w:val="6"/>
        <w:rPr>
          <w:rFonts w:hint="default" w:eastAsia="仿宋"/>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(盖章）:隆回县交通运输局</w:t>
      </w:r>
    </w:p>
    <w:tbl>
      <w:tblPr>
        <w:tblStyle w:val="1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560"/>
        <w:gridCol w:w="7"/>
        <w:gridCol w:w="993"/>
        <w:gridCol w:w="4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noWrap w:val="0"/>
            <w:vAlign w:val="center"/>
          </w:tcPr>
          <w:p>
            <w:pPr>
              <w:widowControl/>
              <w:jc w:val="center"/>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center"/>
          </w:tcPr>
          <w:p>
            <w:pPr>
              <w:spacing w:line="5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72人</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763" w:type="dxa"/>
            <w:gridSpan w:val="5"/>
            <w:noWrap w:val="0"/>
            <w:vAlign w:val="center"/>
          </w:tcPr>
          <w:p>
            <w:pPr>
              <w:spacing w:line="54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93人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299" w:type="dxa"/>
            <w:gridSpan w:val="9"/>
            <w:noWrap w:val="0"/>
            <w:vAlign w:val="top"/>
          </w:tcPr>
          <w:p>
            <w:pPr>
              <w:numPr>
                <w:ilvl w:val="0"/>
                <w:numId w:val="2"/>
              </w:numPr>
              <w:spacing w:line="340" w:lineRule="exact"/>
              <w:jc w:val="left"/>
              <w:rPr>
                <w:rStyle w:val="13"/>
                <w:rFonts w:hint="eastAsia" w:ascii="楷体" w:hAnsi="楷体" w:eastAsia="楷体" w:cs="楷体"/>
                <w:lang w:val="en-US" w:eastAsia="zh-CN" w:bidi="ar"/>
              </w:rPr>
            </w:pPr>
            <w:r>
              <w:rPr>
                <w:rStyle w:val="13"/>
                <w:rFonts w:hint="eastAsia" w:ascii="楷体" w:hAnsi="楷体" w:eastAsia="楷体" w:cs="楷体"/>
                <w:lang w:val="en-US" w:eastAsia="zh-CN" w:bidi="ar"/>
              </w:rPr>
              <w:t>、承担涉及综合运输体系的规划协调工作，会同有关部门组织编制全县综合运输体系规划，指导交通运输枢纽规划和管理。</w:t>
            </w:r>
          </w:p>
          <w:p>
            <w:pPr>
              <w:numPr>
                <w:ilvl w:val="0"/>
                <w:numId w:val="2"/>
              </w:numPr>
              <w:spacing w:line="340" w:lineRule="exact"/>
              <w:jc w:val="left"/>
              <w:rPr>
                <w:rFonts w:hint="eastAsia" w:ascii="仿宋" w:hAnsi="仿宋" w:eastAsia="仿宋" w:cs="仿宋"/>
                <w:szCs w:val="21"/>
              </w:rPr>
            </w:pPr>
            <w:r>
              <w:rPr>
                <w:rStyle w:val="13"/>
                <w:rFonts w:hint="eastAsia" w:ascii="楷体" w:hAnsi="楷体" w:eastAsia="楷体" w:cs="楷体"/>
                <w:lang w:val="en-US" w:eastAsia="zh-CN" w:bidi="ar"/>
              </w:rPr>
              <w:t>、组织拟订并监督实施全县公路、铁路、水路、民航等行业规划、政策和标准。</w:t>
            </w:r>
          </w:p>
          <w:p>
            <w:pPr>
              <w:numPr>
                <w:ilvl w:val="0"/>
                <w:numId w:val="2"/>
              </w:numPr>
              <w:spacing w:line="340" w:lineRule="exact"/>
              <w:jc w:val="left"/>
              <w:rPr>
                <w:rFonts w:hint="eastAsia" w:ascii="仿宋" w:hAnsi="仿宋" w:eastAsia="仿宋" w:cs="仿宋"/>
                <w:szCs w:val="21"/>
              </w:rPr>
            </w:pPr>
            <w:r>
              <w:rPr>
                <w:rStyle w:val="13"/>
                <w:rFonts w:hint="eastAsia" w:ascii="楷体" w:hAnsi="楷体" w:eastAsia="楷体" w:cs="楷体"/>
                <w:lang w:val="en-US" w:eastAsia="zh-CN" w:bidi="ar"/>
              </w:rPr>
              <w:t>、承担道路、水路运输市场监管责任。</w:t>
            </w:r>
          </w:p>
          <w:p>
            <w:pPr>
              <w:numPr>
                <w:ilvl w:val="0"/>
                <w:numId w:val="2"/>
              </w:numPr>
              <w:spacing w:line="340" w:lineRule="exact"/>
              <w:jc w:val="left"/>
              <w:rPr>
                <w:rFonts w:hint="eastAsia" w:ascii="仿宋" w:hAnsi="仿宋" w:eastAsia="仿宋" w:cs="仿宋"/>
                <w:szCs w:val="21"/>
              </w:rPr>
            </w:pPr>
            <w:r>
              <w:rPr>
                <w:rStyle w:val="13"/>
                <w:rFonts w:hint="eastAsia" w:ascii="楷体" w:hAnsi="楷体" w:eastAsia="楷体" w:cs="楷体"/>
                <w:lang w:val="en-US" w:eastAsia="zh-CN" w:bidi="ar"/>
              </w:rPr>
              <w:t>、承担水上交通安全监管责任。</w:t>
            </w:r>
          </w:p>
          <w:p>
            <w:pPr>
              <w:numPr>
                <w:ilvl w:val="0"/>
                <w:numId w:val="2"/>
              </w:numPr>
              <w:spacing w:line="340" w:lineRule="exact"/>
              <w:jc w:val="left"/>
              <w:rPr>
                <w:rFonts w:hint="eastAsia" w:ascii="仿宋" w:hAnsi="仿宋" w:eastAsia="仿宋" w:cs="仿宋"/>
                <w:szCs w:val="21"/>
              </w:rPr>
            </w:pPr>
            <w:r>
              <w:rPr>
                <w:rStyle w:val="13"/>
                <w:rFonts w:hint="eastAsia" w:ascii="楷体" w:hAnsi="楷体" w:eastAsia="楷体" w:cs="楷体"/>
                <w:lang w:val="en-US" w:eastAsia="zh-CN" w:bidi="ar"/>
              </w:rPr>
              <w:t>、负责提出全县公路、铁路、水路、民航机场建设、固定资产投资规模和方向、县级财政资金安排建议。按县政府规定权限审批、核准全县规划内和年度计划规模内固定资产投资项目。负责公路、桥梁、渡口，码头，隧道的行业管理。</w:t>
            </w:r>
          </w:p>
          <w:p>
            <w:pPr>
              <w:numPr>
                <w:ilvl w:val="0"/>
                <w:numId w:val="2"/>
              </w:numPr>
              <w:spacing w:line="340" w:lineRule="exact"/>
              <w:ind w:left="0" w:leftChars="0" w:firstLine="0" w:firstLineChars="0"/>
              <w:jc w:val="left"/>
              <w:rPr>
                <w:rStyle w:val="13"/>
                <w:rFonts w:hint="eastAsia" w:ascii="楷体" w:hAnsi="楷体" w:eastAsia="楷体" w:cs="楷体"/>
                <w:lang w:val="en-US" w:eastAsia="zh-CN" w:bidi="ar"/>
              </w:rPr>
            </w:pPr>
            <w:r>
              <w:rPr>
                <w:rStyle w:val="13"/>
                <w:rFonts w:hint="eastAsia" w:ascii="楷体" w:hAnsi="楷体" w:eastAsia="楷体" w:cs="楷体"/>
                <w:lang w:val="en-US" w:eastAsia="zh-CN" w:bidi="ar"/>
              </w:rPr>
              <w:t>、承担公路，水路建设市场监管责任。</w:t>
            </w:r>
          </w:p>
          <w:p>
            <w:pPr>
              <w:numPr>
                <w:ilvl w:val="0"/>
                <w:numId w:val="2"/>
              </w:numPr>
              <w:spacing w:line="340" w:lineRule="exact"/>
              <w:ind w:left="0" w:leftChars="0" w:firstLine="0" w:firstLineChars="0"/>
              <w:jc w:val="left"/>
              <w:rPr>
                <w:rStyle w:val="13"/>
                <w:rFonts w:hint="eastAsia" w:ascii="楷体" w:hAnsi="楷体" w:eastAsia="楷体" w:cs="楷体"/>
                <w:lang w:val="en-US" w:eastAsia="zh-CN" w:bidi="ar"/>
              </w:rPr>
            </w:pPr>
            <w:r>
              <w:rPr>
                <w:rStyle w:val="13"/>
                <w:rFonts w:hint="eastAsia" w:ascii="楷体" w:hAnsi="楷体" w:eastAsia="楷体" w:cs="楷体"/>
                <w:lang w:val="en-US" w:eastAsia="zh-CN" w:bidi="ar"/>
              </w:rPr>
              <w:t>、指导全县公路、水路行业安全生产和应急管理工作。</w:t>
            </w:r>
          </w:p>
          <w:p>
            <w:pPr>
              <w:numPr>
                <w:ilvl w:val="0"/>
                <w:numId w:val="2"/>
              </w:numPr>
              <w:spacing w:line="340" w:lineRule="exact"/>
              <w:ind w:left="0" w:leftChars="0" w:firstLine="0" w:firstLineChars="0"/>
              <w:jc w:val="left"/>
              <w:rPr>
                <w:rStyle w:val="13"/>
                <w:rFonts w:hint="eastAsia" w:ascii="楷体" w:hAnsi="楷体" w:eastAsia="楷体" w:cs="楷体"/>
                <w:lang w:val="en-US" w:eastAsia="zh-CN" w:bidi="ar"/>
              </w:rPr>
            </w:pPr>
            <w:r>
              <w:rPr>
                <w:rStyle w:val="13"/>
                <w:rFonts w:hint="eastAsia" w:ascii="楷体" w:hAnsi="楷体" w:eastAsia="楷体" w:cs="楷体"/>
                <w:lang w:val="en-US" w:eastAsia="zh-CN" w:bidi="ar"/>
              </w:rPr>
              <w:t>、制定地方性交通运输行业科技政策、规划和规范并监督实施。</w:t>
            </w:r>
          </w:p>
          <w:p>
            <w:pPr>
              <w:numPr>
                <w:ilvl w:val="0"/>
                <w:numId w:val="2"/>
              </w:numPr>
              <w:spacing w:line="340" w:lineRule="exact"/>
              <w:ind w:left="0" w:leftChars="0" w:firstLine="0" w:firstLineChars="0"/>
              <w:jc w:val="left"/>
              <w:rPr>
                <w:rStyle w:val="13"/>
                <w:rFonts w:hint="eastAsia" w:ascii="楷体" w:hAnsi="楷体" w:eastAsia="楷体" w:cs="楷体"/>
                <w:lang w:val="en-US" w:eastAsia="zh-CN" w:bidi="ar"/>
              </w:rPr>
            </w:pPr>
            <w:r>
              <w:rPr>
                <w:rStyle w:val="13"/>
                <w:rFonts w:hint="eastAsia" w:ascii="楷体" w:hAnsi="楷体" w:eastAsia="楷体" w:cs="楷体"/>
                <w:lang w:val="en-US" w:eastAsia="zh-CN" w:bidi="ar"/>
              </w:rPr>
              <w:t>、指导交通运输行业开展对外交流合作和交通外经外贸工作。</w:t>
            </w:r>
          </w:p>
          <w:p>
            <w:pPr>
              <w:numPr>
                <w:ilvl w:val="0"/>
                <w:numId w:val="0"/>
              </w:numPr>
              <w:spacing w:line="340" w:lineRule="exact"/>
              <w:ind w:leftChars="0"/>
              <w:jc w:val="left"/>
              <w:rPr>
                <w:rFonts w:hint="eastAsia" w:ascii="仿宋" w:hAnsi="仿宋" w:eastAsia="仿宋" w:cs="仿宋"/>
                <w:szCs w:val="21"/>
              </w:rPr>
            </w:pPr>
            <w:r>
              <w:rPr>
                <w:rStyle w:val="14"/>
                <w:rFonts w:hint="eastAsia" w:ascii="楷体" w:hAnsi="楷体" w:eastAsia="楷体" w:cs="楷体"/>
                <w:lang w:val="en-US" w:eastAsia="zh-CN" w:bidi="ar"/>
              </w:rPr>
              <w:t xml:space="preserve"> (</w:t>
            </w:r>
            <w:r>
              <w:rPr>
                <w:rStyle w:val="13"/>
                <w:rFonts w:hint="eastAsia" w:ascii="楷体" w:hAnsi="楷体" w:eastAsia="楷体" w:cs="楷体"/>
                <w:lang w:val="en-US" w:eastAsia="zh-CN" w:bidi="ar"/>
              </w:rPr>
              <w:t>十</w:t>
            </w:r>
            <w:r>
              <w:rPr>
                <w:rStyle w:val="14"/>
                <w:rFonts w:hint="eastAsia" w:ascii="楷体" w:hAnsi="楷体" w:eastAsia="楷体" w:cs="楷体"/>
                <w:lang w:val="en-US" w:eastAsia="zh-CN" w:bidi="ar"/>
              </w:rPr>
              <w:t>)</w:t>
            </w:r>
            <w:r>
              <w:rPr>
                <w:rStyle w:val="13"/>
                <w:rFonts w:hint="eastAsia" w:ascii="楷体" w:hAnsi="楷体" w:eastAsia="楷体" w:cs="楷体"/>
                <w:lang w:val="en-US" w:eastAsia="zh-CN" w:bidi="ar"/>
              </w:rPr>
              <w:t>、承办县人民政府交办的其他事项。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8284.43</w:t>
            </w:r>
          </w:p>
        </w:tc>
        <w:tc>
          <w:tcPr>
            <w:tcW w:w="1552" w:type="dxa"/>
            <w:gridSpan w:val="2"/>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非税收入</w:t>
            </w:r>
          </w:p>
        </w:tc>
        <w:tc>
          <w:tcPr>
            <w:tcW w:w="1000" w:type="dxa"/>
            <w:gridSpan w:val="2"/>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197.79</w:t>
            </w:r>
          </w:p>
        </w:tc>
        <w:tc>
          <w:tcPr>
            <w:tcW w:w="494" w:type="dxa"/>
            <w:vMerge w:val="restart"/>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合计</w:t>
            </w:r>
          </w:p>
        </w:tc>
        <w:tc>
          <w:tcPr>
            <w:tcW w:w="709" w:type="dxa"/>
            <w:vMerge w:val="restart"/>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8482.22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360" w:lineRule="auto"/>
              <w:jc w:val="center"/>
              <w:rPr>
                <w:rFonts w:hint="eastAsia" w:ascii="仿宋" w:hAnsi="仿宋" w:eastAsia="仿宋" w:cs="仿宋"/>
                <w:szCs w:val="21"/>
              </w:rPr>
            </w:pPr>
          </w:p>
        </w:tc>
        <w:tc>
          <w:tcPr>
            <w:tcW w:w="2372"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noWrap w:val="0"/>
            <w:vAlign w:val="center"/>
          </w:tcPr>
          <w:p>
            <w:pPr>
              <w:spacing w:line="240" w:lineRule="auto"/>
              <w:jc w:val="center"/>
              <w:rPr>
                <w:rFonts w:hint="eastAsia" w:ascii="仿宋" w:hAnsi="仿宋" w:eastAsia="仿宋" w:cs="仿宋"/>
                <w:szCs w:val="21"/>
              </w:rPr>
            </w:pPr>
          </w:p>
        </w:tc>
        <w:tc>
          <w:tcPr>
            <w:tcW w:w="1552" w:type="dxa"/>
            <w:gridSpan w:val="2"/>
            <w:noWrap w:val="0"/>
            <w:vAlign w:val="center"/>
          </w:tcPr>
          <w:p>
            <w:pPr>
              <w:spacing w:line="240" w:lineRule="auto"/>
              <w:ind w:firstLine="315" w:firstLineChars="150"/>
              <w:jc w:val="center"/>
              <w:rPr>
                <w:rFonts w:hint="eastAsia" w:ascii="仿宋" w:hAnsi="仿宋" w:eastAsia="仿宋" w:cs="仿宋"/>
                <w:szCs w:val="21"/>
              </w:rPr>
            </w:pPr>
            <w:r>
              <w:rPr>
                <w:rFonts w:hint="eastAsia" w:ascii="仿宋" w:hAnsi="仿宋" w:eastAsia="仿宋" w:cs="仿宋"/>
                <w:szCs w:val="21"/>
              </w:rPr>
              <w:t>其他收入</w:t>
            </w:r>
          </w:p>
        </w:tc>
        <w:tc>
          <w:tcPr>
            <w:tcW w:w="1000" w:type="dxa"/>
            <w:gridSpan w:val="2"/>
            <w:noWrap w:val="0"/>
            <w:vAlign w:val="center"/>
          </w:tcPr>
          <w:p>
            <w:pPr>
              <w:spacing w:line="240" w:lineRule="auto"/>
              <w:jc w:val="center"/>
              <w:rPr>
                <w:rFonts w:hint="eastAsia" w:ascii="仿宋" w:hAnsi="仿宋" w:eastAsia="仿宋" w:cs="仿宋"/>
                <w:szCs w:val="21"/>
              </w:rPr>
            </w:pPr>
          </w:p>
        </w:tc>
        <w:tc>
          <w:tcPr>
            <w:tcW w:w="494" w:type="dxa"/>
            <w:vMerge w:val="continue"/>
            <w:noWrap w:val="0"/>
            <w:vAlign w:val="center"/>
          </w:tcPr>
          <w:p>
            <w:pPr>
              <w:spacing w:line="240" w:lineRule="auto"/>
              <w:jc w:val="center"/>
              <w:rPr>
                <w:rFonts w:hint="eastAsia" w:ascii="仿宋" w:hAnsi="仿宋" w:eastAsia="仿宋" w:cs="仿宋"/>
                <w:szCs w:val="21"/>
              </w:rPr>
            </w:pPr>
          </w:p>
        </w:tc>
        <w:tc>
          <w:tcPr>
            <w:tcW w:w="709" w:type="dxa"/>
            <w:vMerge w:val="continue"/>
            <w:noWrap w:val="0"/>
            <w:vAlign w:val="center"/>
          </w:tcPr>
          <w:p>
            <w:pPr>
              <w:spacing w:line="24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年度支出</w:t>
            </w:r>
          </w:p>
          <w:p>
            <w:pPr>
              <w:spacing w:line="360" w:lineRule="auto"/>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1316.17</w:t>
            </w:r>
          </w:p>
        </w:tc>
        <w:tc>
          <w:tcPr>
            <w:tcW w:w="1559" w:type="dxa"/>
            <w:gridSpan w:val="3"/>
            <w:vMerge w:val="restart"/>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项目支出</w:t>
            </w:r>
          </w:p>
        </w:tc>
        <w:tc>
          <w:tcPr>
            <w:tcW w:w="993" w:type="dxa"/>
            <w:vMerge w:val="restart"/>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7166.05</w:t>
            </w:r>
          </w:p>
        </w:tc>
        <w:tc>
          <w:tcPr>
            <w:tcW w:w="494" w:type="dxa"/>
            <w:vMerge w:val="restart"/>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合计</w:t>
            </w:r>
          </w:p>
        </w:tc>
        <w:tc>
          <w:tcPr>
            <w:tcW w:w="709" w:type="dxa"/>
            <w:vMerge w:val="restart"/>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8482.22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372" w:type="dxa"/>
            <w:noWrap w:val="0"/>
            <w:tcMar>
              <w:left w:w="0" w:type="dxa"/>
              <w:right w:w="0" w:type="dxa"/>
            </w:tcMar>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noWrap w:val="0"/>
            <w:vAlign w:val="center"/>
          </w:tcPr>
          <w:p>
            <w:pPr>
              <w:spacing w:line="24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15.3</w:t>
            </w:r>
          </w:p>
        </w:tc>
        <w:tc>
          <w:tcPr>
            <w:tcW w:w="1559" w:type="dxa"/>
            <w:gridSpan w:val="3"/>
            <w:vMerge w:val="continue"/>
            <w:noWrap w:val="0"/>
            <w:vAlign w:val="center"/>
          </w:tcPr>
          <w:p>
            <w:pPr>
              <w:spacing w:line="240" w:lineRule="auto"/>
              <w:jc w:val="center"/>
              <w:rPr>
                <w:rFonts w:hint="eastAsia" w:ascii="仿宋" w:hAnsi="仿宋" w:eastAsia="仿宋" w:cs="仿宋"/>
                <w:szCs w:val="21"/>
              </w:rPr>
            </w:pPr>
          </w:p>
        </w:tc>
        <w:tc>
          <w:tcPr>
            <w:tcW w:w="993" w:type="dxa"/>
            <w:vMerge w:val="continue"/>
            <w:noWrap w:val="0"/>
            <w:vAlign w:val="center"/>
          </w:tcPr>
          <w:p>
            <w:pPr>
              <w:spacing w:line="240" w:lineRule="auto"/>
              <w:jc w:val="center"/>
              <w:rPr>
                <w:rFonts w:hint="eastAsia" w:ascii="仿宋" w:hAnsi="仿宋" w:eastAsia="仿宋" w:cs="仿宋"/>
                <w:szCs w:val="21"/>
              </w:rPr>
            </w:pPr>
          </w:p>
        </w:tc>
        <w:tc>
          <w:tcPr>
            <w:tcW w:w="494" w:type="dxa"/>
            <w:vMerge w:val="continue"/>
            <w:noWrap w:val="0"/>
            <w:vAlign w:val="center"/>
          </w:tcPr>
          <w:p>
            <w:pPr>
              <w:spacing w:line="240" w:lineRule="auto"/>
              <w:jc w:val="center"/>
              <w:rPr>
                <w:rFonts w:hint="eastAsia" w:ascii="仿宋" w:hAnsi="仿宋" w:eastAsia="仿宋" w:cs="仿宋"/>
                <w:szCs w:val="21"/>
              </w:rPr>
            </w:pPr>
          </w:p>
        </w:tc>
        <w:tc>
          <w:tcPr>
            <w:tcW w:w="709" w:type="dxa"/>
            <w:vMerge w:val="continue"/>
            <w:noWrap w:val="0"/>
            <w:vAlign w:val="center"/>
          </w:tcPr>
          <w:p>
            <w:pPr>
              <w:spacing w:line="24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exact"/>
          <w:jc w:val="center"/>
        </w:trPr>
        <w:tc>
          <w:tcPr>
            <w:tcW w:w="53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299" w:type="dxa"/>
            <w:gridSpan w:val="9"/>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是否存在超编超配人员：   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rPr>
              <w:sym w:font="Wingdings 2" w:char="0052"/>
            </w:r>
            <w:r>
              <w:rPr>
                <w:rFonts w:hint="eastAsia" w:ascii="仿宋" w:hAnsi="仿宋" w:eastAsia="仿宋" w:cs="仿宋"/>
                <w:szCs w:val="21"/>
              </w:rPr>
              <w:t xml:space="preserve">     否</w:t>
            </w:r>
            <w:r>
              <w:rPr>
                <w:rFonts w:hint="eastAsia" w:ascii="仿宋" w:hAnsi="仿宋" w:eastAsia="仿宋" w:cs="仿宋"/>
                <w:szCs w:val="21"/>
              </w:rPr>
              <w:sym w:font="Wingdings 2" w:char="00A3"/>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rPr>
              <w:sym w:font="Wingdings 2" w:char="0052"/>
            </w:r>
            <w:r>
              <w:rPr>
                <w:rFonts w:hint="eastAsia" w:ascii="仿宋" w:hAnsi="仿宋" w:eastAsia="仿宋" w:cs="仿宋"/>
                <w:szCs w:val="21"/>
              </w:rPr>
              <w:t xml:space="preserve">    否</w:t>
            </w:r>
            <w:r>
              <w:rPr>
                <w:rFonts w:hint="eastAsia" w:ascii="仿宋" w:hAnsi="仿宋" w:eastAsia="仿宋" w:cs="仿宋"/>
                <w:szCs w:val="21"/>
              </w:rPr>
              <w:sym w:font="Wingdings 2" w:char="0052"/>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有无截留、坐支、转移等现象:有□     无</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299" w:type="dxa"/>
            <w:gridSpan w:val="9"/>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42</w:t>
            </w:r>
            <w:r>
              <w:rPr>
                <w:rFonts w:hint="eastAsia" w:ascii="仿宋" w:hAnsi="仿宋" w:eastAsia="仿宋" w:cs="仿宋"/>
                <w:szCs w:val="21"/>
              </w:rPr>
              <w:t>万元，实际采购金额</w:t>
            </w:r>
            <w:r>
              <w:rPr>
                <w:rFonts w:hint="eastAsia" w:ascii="仿宋" w:hAnsi="仿宋" w:eastAsia="仿宋" w:cs="仿宋"/>
                <w:szCs w:val="21"/>
                <w:lang w:val="en-US" w:eastAsia="zh-CN"/>
              </w:rPr>
              <w:t>42</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rPr>
              <w:sym w:font="Wingdings 2" w:char="0052"/>
            </w:r>
            <w:r>
              <w:rPr>
                <w:rFonts w:hint="eastAsia" w:ascii="仿宋" w:hAnsi="仿宋" w:eastAsia="仿宋" w:cs="仿宋"/>
                <w:szCs w:val="21"/>
              </w:rPr>
              <w:t>, 追加金额</w:t>
            </w:r>
            <w:r>
              <w:rPr>
                <w:rFonts w:hint="eastAsia" w:ascii="仿宋" w:hAnsi="仿宋" w:eastAsia="仿宋" w:cs="仿宋"/>
                <w:szCs w:val="21"/>
                <w:lang w:val="en-US" w:eastAsia="zh-CN"/>
              </w:rPr>
              <w:t>0</w:t>
            </w:r>
            <w:r>
              <w:rPr>
                <w:rFonts w:hint="eastAsia" w:ascii="仿宋" w:hAnsi="仿宋" w:eastAsia="仿宋" w:cs="仿宋"/>
                <w:szCs w:val="21"/>
              </w:rPr>
              <w:t>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rPr>
              <w:sym w:font="Wingdings 2" w:char="0052"/>
            </w:r>
            <w:r>
              <w:rPr>
                <w:rFonts w:hint="eastAsia" w:ascii="仿宋" w:hAnsi="仿宋" w:eastAsia="仿宋" w:cs="仿宋"/>
                <w:szCs w:val="21"/>
              </w:rPr>
              <w:t>,结余金额</w:t>
            </w:r>
            <w:r>
              <w:rPr>
                <w:rFonts w:hint="eastAsia" w:ascii="仿宋" w:hAnsi="仿宋" w:eastAsia="仿宋" w:cs="仿宋"/>
                <w:szCs w:val="21"/>
                <w:lang w:val="en-US" w:eastAsia="zh-CN"/>
              </w:rPr>
              <w:t>0</w:t>
            </w:r>
            <w:r>
              <w:rPr>
                <w:rFonts w:hint="eastAsia" w:ascii="仿宋" w:hAnsi="仿宋" w:eastAsia="仿宋" w:cs="仿宋"/>
                <w:szCs w:val="21"/>
              </w:rPr>
              <w:t xml:space="preserve">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rPr>
              <w:sym w:font="Wingdings 2" w:char="0052"/>
            </w:r>
            <w:r>
              <w:rPr>
                <w:rFonts w:hint="eastAsia" w:ascii="仿宋" w:hAnsi="仿宋" w:eastAsia="仿宋" w:cs="仿宋"/>
                <w:szCs w:val="21"/>
              </w:rPr>
              <w:t xml:space="preserve">   否</w:t>
            </w:r>
            <w:r>
              <w:rPr>
                <w:rFonts w:hint="eastAsia" w:ascii="仿宋" w:hAnsi="仿宋" w:eastAsia="仿宋" w:cs="仿宋"/>
                <w:szCs w:val="21"/>
              </w:rPr>
              <w:sym w:font="Wingdings 2" w:char="00A3"/>
            </w:r>
          </w:p>
          <w:p>
            <w:pPr>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2022</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21</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rPr>
              <w:sym w:font="Wingdings 2" w:char="0052"/>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299" w:type="dxa"/>
            <w:gridSpan w:val="9"/>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rPr>
              <w:sym w:font="Wingdings 2" w:char="0052"/>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rPr>
              <w:sym w:font="Wingdings 2" w:char="0052"/>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rPr>
              <w:sym w:font="Wingdings 2" w:char="0052"/>
            </w:r>
            <w:r>
              <w:rPr>
                <w:rFonts w:hint="eastAsia" w:ascii="仿宋" w:hAnsi="仿宋" w:eastAsia="仿宋" w:cs="仿宋"/>
                <w:szCs w:val="21"/>
              </w:rPr>
              <w:t>否</w:t>
            </w:r>
            <w:r>
              <w:rPr>
                <w:rFonts w:hint="eastAsia" w:ascii="仿宋" w:hAnsi="仿宋" w:eastAsia="仿宋" w:cs="仿宋"/>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299" w:type="dxa"/>
            <w:gridSpan w:val="9"/>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467" w:type="dxa"/>
            <w:gridSpan w:val="10"/>
            <w:noWrap w:val="0"/>
            <w:vAlign w:val="center"/>
          </w:tcPr>
          <w:p>
            <w:pPr>
              <w:widowControl/>
              <w:shd w:val="clear" w:color="auto" w:fill="FFFFFF"/>
              <w:spacing w:line="360" w:lineRule="auto"/>
              <w:jc w:val="both"/>
              <w:rPr>
                <w:rFonts w:hint="default" w:ascii="仿宋" w:hAnsi="仿宋" w:eastAsia="仿宋" w:cs="仿宋"/>
                <w:szCs w:val="21"/>
                <w:lang w:val="en-US" w:eastAsia="zh-CN"/>
              </w:rPr>
            </w:pPr>
            <w:r>
              <w:rPr>
                <w:rFonts w:hint="eastAsia" w:ascii="仿宋" w:hAnsi="仿宋" w:eastAsia="仿宋" w:cs="仿宋"/>
                <w:szCs w:val="21"/>
                <w:lang w:val="en-US" w:eastAsia="zh-CN"/>
              </w:rPr>
              <w:t>（一）交通项目建设</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1、2022年度完成农村公路建设任务76.01公里，完成危桥改造7座，完成省、市下达的农村公路安防工程120.224公里，其中为民办实事和六项重点工作农村公路安防设施建设项目隐患里程118.924公里，春雷行动需要整治隐患里程1.3公里。重点项目建设中，丁洞公路、大花至善缘亭公路现全线路面工程已完工，正在进行安保工程施工；高平滨江南路、G320过境公路、新邵迎光经高平至罗洪巴油公路现均已开工建设。</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全面完成干线公路大中修工程53.243km，干线公路绿化提升工程现已完成苗木栽种，正在抓紧实施景观点建设，实施农村公路预防性养护工程130km，修复性养护工程144km，农村公路通行状况得到大幅改善。</w:t>
            </w:r>
          </w:p>
          <w:p>
            <w:pPr>
              <w:widowControl/>
              <w:shd w:val="clear" w:color="auto" w:fill="FFFFFF"/>
              <w:spacing w:line="360" w:lineRule="auto"/>
              <w:jc w:val="both"/>
              <w:rPr>
                <w:rFonts w:hint="default" w:ascii="仿宋" w:hAnsi="仿宋" w:eastAsia="仿宋" w:cs="仿宋"/>
                <w:szCs w:val="21"/>
                <w:lang w:val="en-US" w:eastAsia="zh-CN"/>
              </w:rPr>
            </w:pPr>
            <w:r>
              <w:rPr>
                <w:rFonts w:hint="eastAsia" w:ascii="仿宋" w:hAnsi="仿宋" w:eastAsia="仿宋" w:cs="仿宋"/>
                <w:szCs w:val="21"/>
                <w:lang w:val="en-US" w:eastAsia="zh-CN"/>
              </w:rPr>
              <w:t>（二）安全生产工作</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通过加强宣传发动、强化隐患排查、加大监管力度、推进城乡客运一体化等一系列举措，道路交通事故实现了断崖式下降，全力扭转安全生产的被动局面，道路交通安全环境形势稳定向好。</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（三）提案办理工作</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我局2022年共承办人大代表建议和政协委员提案83件，由局党组成员分别带队负责，深入基层和现场开展走访和调研，高质量办理，按时完成了工作任务。</w:t>
            </w:r>
          </w:p>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（四）交通运输执法体制改革</w:t>
            </w:r>
          </w:p>
          <w:p>
            <w:pPr>
              <w:widowControl/>
              <w:shd w:val="clear" w:color="auto" w:fill="FFFFFF"/>
              <w:spacing w:line="360" w:lineRule="auto"/>
              <w:jc w:val="both"/>
              <w:rPr>
                <w:rFonts w:hint="eastAsia" w:ascii="仿宋" w:hAnsi="仿宋" w:eastAsia="仿宋" w:cs="仿宋"/>
                <w:szCs w:val="21"/>
              </w:rPr>
            </w:pPr>
            <w:r>
              <w:rPr>
                <w:rFonts w:hint="eastAsia" w:ascii="仿宋" w:hAnsi="仿宋" w:eastAsia="仿宋" w:cs="仿宋"/>
                <w:szCs w:val="21"/>
                <w:lang w:val="en-US" w:eastAsia="zh-CN"/>
              </w:rPr>
              <w:t>县交通运输综合行政执法大队137人在6月份全部到岗到位，标志着我县交通执法体制改革圆满完成。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533"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自评结论</w:t>
            </w:r>
          </w:p>
        </w:tc>
        <w:tc>
          <w:tcPr>
            <w:tcW w:w="8467" w:type="dxa"/>
            <w:gridSpan w:val="10"/>
            <w:noWrap w:val="0"/>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良</w:t>
            </w:r>
            <w:r>
              <w:rPr>
                <w:rFonts w:hint="eastAsia" w:ascii="仿宋" w:hAnsi="仿宋" w:eastAsia="仿宋" w:cs="仿宋"/>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533"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问题与建议</w:t>
            </w:r>
          </w:p>
        </w:tc>
        <w:tc>
          <w:tcPr>
            <w:tcW w:w="8467" w:type="dxa"/>
            <w:gridSpan w:val="10"/>
            <w:noWrap w:val="0"/>
            <w:vAlign w:val="center"/>
          </w:tcPr>
          <w:p>
            <w:pPr>
              <w:widowControl/>
              <w:shd w:val="clear" w:color="auto" w:fill="FFFFFF"/>
              <w:spacing w:line="360" w:lineRule="auto"/>
              <w:jc w:val="both"/>
              <w:rPr>
                <w:rFonts w:hint="eastAsia" w:ascii="仿宋" w:hAnsi="仿宋" w:eastAsia="仿宋" w:cs="仿宋"/>
                <w:szCs w:val="21"/>
                <w:lang w:val="en-US" w:eastAsia="zh-CN"/>
              </w:rPr>
            </w:pPr>
            <w:r>
              <w:rPr>
                <w:rFonts w:hint="eastAsia" w:ascii="仿宋" w:hAnsi="仿宋" w:eastAsia="仿宋" w:cs="仿宋"/>
                <w:szCs w:val="21"/>
                <w:lang w:val="en-US" w:eastAsia="zh-CN"/>
              </w:rPr>
              <w:t>（一）机关运行经费缺口大，人头经费预算相对较低，工作推进无法达到预期目标。</w:t>
            </w:r>
          </w:p>
          <w:p>
            <w:pPr>
              <w:widowControl/>
              <w:shd w:val="clear" w:color="auto" w:fill="FFFFFF"/>
              <w:spacing w:line="360" w:lineRule="auto"/>
              <w:jc w:val="both"/>
              <w:rPr>
                <w:rFonts w:hint="eastAsia" w:ascii="仿宋" w:hAnsi="仿宋" w:eastAsia="仿宋" w:cs="仿宋"/>
                <w:szCs w:val="21"/>
              </w:rPr>
            </w:pPr>
            <w:r>
              <w:rPr>
                <w:rFonts w:hint="eastAsia" w:ascii="仿宋" w:hAnsi="仿宋" w:eastAsia="仿宋" w:cs="仿宋"/>
                <w:szCs w:val="21"/>
                <w:lang w:val="en-US" w:eastAsia="zh-CN"/>
              </w:rPr>
              <w:t>（二）机关配备的编制只有13名，事多人少，我局为保障工作的开展，从二级机构抽调大量人员至局机关实行混岗，专业人才缺乏，干部年龄结构老龄化，严重影响工作开展。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533" w:type="dxa"/>
            <w:noWrap w:val="0"/>
            <w:vAlign w:val="top"/>
          </w:tcPr>
          <w:p>
            <w:pPr>
              <w:spacing w:line="240" w:lineRule="auto"/>
              <w:jc w:val="center"/>
              <w:rPr>
                <w:rFonts w:hint="eastAsia" w:ascii="仿宋" w:hAnsi="仿宋" w:eastAsia="仿宋" w:cs="仿宋"/>
                <w:szCs w:val="21"/>
              </w:rPr>
            </w:pPr>
            <w:r>
              <w:rPr>
                <w:rFonts w:hint="eastAsia" w:ascii="仿宋" w:hAnsi="仿宋" w:eastAsia="仿宋" w:cs="仿宋"/>
                <w:szCs w:val="21"/>
              </w:rPr>
              <w:t>主管部门意见</w:t>
            </w:r>
          </w:p>
        </w:tc>
        <w:tc>
          <w:tcPr>
            <w:tcW w:w="8467" w:type="dxa"/>
            <w:gridSpan w:val="10"/>
            <w:noWrap w:val="0"/>
            <w:vAlign w:val="top"/>
          </w:tcPr>
          <w:p>
            <w:pPr>
              <w:spacing w:line="240" w:lineRule="auto"/>
              <w:ind w:firstLine="3360" w:firstLineChars="1600"/>
              <w:rPr>
                <w:rFonts w:hint="eastAsia" w:ascii="仿宋" w:hAnsi="仿宋" w:eastAsia="仿宋" w:cs="仿宋"/>
                <w:szCs w:val="21"/>
              </w:rPr>
            </w:pPr>
          </w:p>
          <w:p>
            <w:pPr>
              <w:spacing w:line="240" w:lineRule="auto"/>
              <w:ind w:firstLine="3360" w:firstLineChars="1600"/>
              <w:rPr>
                <w:rFonts w:hint="eastAsia" w:ascii="仿宋" w:hAnsi="仿宋" w:eastAsia="仿宋" w:cs="仿宋"/>
                <w:szCs w:val="21"/>
              </w:rPr>
            </w:pPr>
          </w:p>
          <w:p>
            <w:pPr>
              <w:spacing w:line="240" w:lineRule="auto"/>
              <w:rPr>
                <w:rFonts w:hint="eastAsia" w:ascii="仿宋" w:hAnsi="仿宋" w:eastAsia="仿宋" w:cs="仿宋"/>
                <w:szCs w:val="21"/>
              </w:rPr>
            </w:pPr>
          </w:p>
          <w:p>
            <w:pPr>
              <w:pStyle w:val="2"/>
              <w:spacing w:line="240" w:lineRule="auto"/>
              <w:rPr>
                <w:rFonts w:hint="eastAsia"/>
              </w:rPr>
            </w:pPr>
          </w:p>
          <w:p>
            <w:pPr>
              <w:spacing w:line="240" w:lineRule="auto"/>
              <w:ind w:firstLine="5250" w:firstLineChars="25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eastAsia="zh-CN"/>
        </w:rPr>
        <w:t>封</w:t>
      </w:r>
      <w:r>
        <w:rPr>
          <w:rFonts w:hint="eastAsia" w:ascii="仿宋" w:hAnsi="仿宋" w:eastAsia="仿宋" w:cs="仿宋"/>
          <w:szCs w:val="21"/>
          <w:lang w:val="en-US" w:eastAsia="zh-CN"/>
        </w:rPr>
        <w:t>*</w:t>
      </w:r>
      <w:r>
        <w:rPr>
          <w:rFonts w:hint="eastAsia" w:ascii="仿宋" w:hAnsi="仿宋" w:eastAsia="仿宋" w:cs="仿宋"/>
          <w:szCs w:val="21"/>
          <w:lang w:eastAsia="zh-CN"/>
        </w:rPr>
        <w:t>艳</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联系电话：</w:t>
      </w:r>
      <w:r>
        <w:rPr>
          <w:rFonts w:hint="eastAsia" w:ascii="仿宋" w:hAnsi="仿宋" w:eastAsia="仿宋" w:cs="仿宋"/>
          <w:szCs w:val="21"/>
          <w:lang w:val="en-US" w:eastAsia="zh-CN"/>
        </w:rPr>
        <w:t>138****6835</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9</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p>
    <w:p>
      <w:pPr>
        <w:spacing w:line="560" w:lineRule="exact"/>
        <w:rPr>
          <w:rFonts w:hint="eastAsia" w:ascii="仿宋" w:hAnsi="仿宋" w:eastAsia="仿宋" w:cs="仿宋"/>
          <w:kern w:val="0"/>
          <w:sz w:val="24"/>
          <w:szCs w:val="24"/>
        </w:rPr>
      </w:pPr>
      <w:bookmarkStart w:id="0" w:name="_GoBack"/>
      <w:bookmarkEnd w:id="0"/>
    </w:p>
    <w:p>
      <w:pPr>
        <w:spacing w:line="560" w:lineRule="exact"/>
        <w:rPr>
          <w:rFonts w:hint="eastAsia" w:ascii="仿宋" w:hAnsi="仿宋" w:eastAsia="仿宋" w:cs="仿宋"/>
          <w:kern w:val="0"/>
          <w:sz w:val="24"/>
          <w:szCs w:val="24"/>
        </w:rPr>
      </w:pPr>
      <w:r>
        <w:rPr>
          <w:rFonts w:hint="eastAsia" w:ascii="仿宋" w:hAnsi="仿宋" w:eastAsia="仿宋" w:cs="仿宋"/>
          <w:kern w:val="0"/>
          <w:sz w:val="24"/>
          <w:szCs w:val="24"/>
        </w:rPr>
        <w:t>附件4</w:t>
      </w: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rPr>
        <w:t>部门整体支出绩效自评报告</w:t>
      </w:r>
    </w:p>
    <w:p>
      <w:pPr>
        <w:jc w:val="center"/>
        <w:rPr>
          <w:rFonts w:hint="eastAsia" w:ascii="楷体" w:hAnsi="楷体" w:eastAsia="楷体" w:cs="楷体"/>
          <w:b/>
          <w:bCs/>
          <w:sz w:val="32"/>
          <w:szCs w:val="32"/>
        </w:rPr>
      </w:pP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eastAsia="仿宋_GB2312"/>
          <w:sz w:val="32"/>
          <w:szCs w:val="32"/>
        </w:rPr>
        <w:t>（一）</w:t>
      </w:r>
      <w:r>
        <w:rPr>
          <w:rFonts w:hint="eastAsia" w:eastAsia="仿宋_GB2312"/>
          <w:sz w:val="32"/>
          <w:szCs w:val="32"/>
        </w:rPr>
        <w:t>部门</w:t>
      </w:r>
      <w:r>
        <w:rPr>
          <w:rFonts w:eastAsia="仿宋_GB2312"/>
          <w:sz w:val="32"/>
          <w:szCs w:val="32"/>
        </w:rPr>
        <w:t>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隆回县交通运输局编制人数为</w:t>
      </w:r>
      <w:r>
        <w:rPr>
          <w:rFonts w:hint="eastAsia" w:ascii="仿宋" w:hAnsi="仿宋" w:eastAsia="仿宋" w:cs="仿宋"/>
          <w:sz w:val="32"/>
          <w:szCs w:val="32"/>
          <w:lang w:val="en-US" w:eastAsia="zh-CN"/>
        </w:rPr>
        <w:t>47</w:t>
      </w:r>
      <w:r>
        <w:rPr>
          <w:rFonts w:hint="eastAsia" w:ascii="仿宋" w:hAnsi="仿宋" w:eastAsia="仿宋" w:cs="仿宋"/>
          <w:sz w:val="32"/>
          <w:szCs w:val="32"/>
        </w:rPr>
        <w:t>人，实际人数</w:t>
      </w:r>
      <w:r>
        <w:rPr>
          <w:rFonts w:hint="eastAsia" w:ascii="仿宋" w:hAnsi="仿宋" w:eastAsia="仿宋" w:cs="仿宋"/>
          <w:sz w:val="32"/>
          <w:szCs w:val="32"/>
          <w:lang w:val="en-US" w:eastAsia="zh-CN"/>
        </w:rPr>
        <w:t>127</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93</w:t>
      </w:r>
      <w:r>
        <w:rPr>
          <w:rFonts w:hint="eastAsia" w:ascii="仿宋" w:hAnsi="仿宋" w:eastAsia="仿宋" w:cs="仿宋"/>
          <w:sz w:val="32"/>
          <w:szCs w:val="32"/>
        </w:rPr>
        <w:t>人，</w:t>
      </w:r>
      <w:r>
        <w:rPr>
          <w:rFonts w:hint="eastAsia" w:ascii="仿宋" w:hAnsi="仿宋" w:eastAsia="仿宋" w:cs="仿宋"/>
          <w:sz w:val="32"/>
          <w:szCs w:val="32"/>
          <w:lang w:val="en-US" w:eastAsia="zh-CN"/>
        </w:rPr>
        <w:t>(局机关23人，交通运输综合行政执法大队27人,</w:t>
      </w:r>
      <w:r>
        <w:rPr>
          <w:rFonts w:hint="eastAsia" w:ascii="仿宋" w:hAnsi="仿宋" w:eastAsia="仿宋" w:cs="仿宋"/>
          <w:kern w:val="2"/>
          <w:sz w:val="32"/>
          <w:szCs w:val="32"/>
          <w:lang w:val="en-US" w:eastAsia="zh-CN" w:bidi="ar"/>
        </w:rPr>
        <w:t>隆回县水运事务中心14人、隆回县交通建设质量安全监督站12人、隆回县城市公共客运事务中心17人</w:t>
      </w:r>
      <w:r>
        <w:rPr>
          <w:rFonts w:hint="eastAsia" w:ascii="仿宋" w:hAnsi="仿宋" w:eastAsia="仿宋" w:cs="仿宋"/>
          <w:sz w:val="32"/>
          <w:szCs w:val="32"/>
          <w:lang w:val="en-US" w:eastAsia="zh-CN"/>
        </w:rPr>
        <w:t>)，</w:t>
      </w:r>
      <w:r>
        <w:rPr>
          <w:rFonts w:hint="eastAsia" w:ascii="仿宋" w:hAnsi="仿宋" w:eastAsia="仿宋" w:cs="仿宋"/>
          <w:sz w:val="32"/>
          <w:szCs w:val="32"/>
        </w:rPr>
        <w:t>离退休</w:t>
      </w:r>
      <w:r>
        <w:rPr>
          <w:rFonts w:hint="eastAsia" w:ascii="仿宋" w:hAnsi="仿宋" w:eastAsia="仿宋" w:cs="仿宋"/>
          <w:sz w:val="32"/>
          <w:szCs w:val="32"/>
          <w:lang w:val="en-US" w:eastAsia="zh-CN"/>
        </w:rPr>
        <w:t>34</w:t>
      </w:r>
      <w:r>
        <w:rPr>
          <w:rFonts w:hint="eastAsia" w:ascii="仿宋" w:hAnsi="仿宋" w:eastAsia="仿宋" w:cs="仿宋"/>
          <w:sz w:val="32"/>
          <w:szCs w:val="32"/>
        </w:rPr>
        <w:t>人。小车编制数</w:t>
      </w:r>
      <w:r>
        <w:rPr>
          <w:rFonts w:hint="eastAsia" w:ascii="仿宋" w:hAnsi="仿宋" w:eastAsia="仿宋" w:cs="仿宋"/>
          <w:sz w:val="32"/>
          <w:szCs w:val="32"/>
          <w:lang w:val="en-US" w:eastAsia="zh-CN"/>
        </w:rPr>
        <w:t>2</w:t>
      </w:r>
      <w:r>
        <w:rPr>
          <w:rFonts w:hint="eastAsia" w:ascii="仿宋" w:hAnsi="仿宋" w:eastAsia="仿宋" w:cs="仿宋"/>
          <w:sz w:val="32"/>
          <w:szCs w:val="32"/>
        </w:rPr>
        <w:t>台，实际</w:t>
      </w:r>
      <w:r>
        <w:rPr>
          <w:rFonts w:hint="eastAsia" w:ascii="仿宋" w:hAnsi="仿宋" w:eastAsia="仿宋" w:cs="仿宋"/>
          <w:sz w:val="32"/>
          <w:szCs w:val="32"/>
          <w:lang w:val="en-US" w:eastAsia="zh-CN"/>
        </w:rPr>
        <w:t>2</w:t>
      </w:r>
      <w:r>
        <w:rPr>
          <w:rFonts w:hint="eastAsia" w:ascii="仿宋" w:hAnsi="仿宋" w:eastAsia="仿宋" w:cs="仿宋"/>
          <w:sz w:val="32"/>
          <w:szCs w:val="32"/>
        </w:rPr>
        <w:t>台。</w:t>
      </w:r>
      <w:r>
        <w:rPr>
          <w:rFonts w:hint="eastAsia" w:ascii="仿宋" w:hAnsi="仿宋" w:eastAsia="仿宋" w:cs="仿宋"/>
          <w:sz w:val="32"/>
          <w:szCs w:val="32"/>
          <w:lang w:eastAsia="zh-CN"/>
        </w:rPr>
        <w:t>执法大队车辆</w:t>
      </w:r>
      <w:r>
        <w:rPr>
          <w:rFonts w:hint="eastAsia" w:ascii="仿宋" w:hAnsi="仿宋" w:eastAsia="仿宋" w:cs="仿宋"/>
          <w:sz w:val="32"/>
          <w:szCs w:val="32"/>
          <w:lang w:val="en-US" w:eastAsia="zh-CN"/>
        </w:rPr>
        <w:t>6台。</w:t>
      </w:r>
      <w:r>
        <w:rPr>
          <w:rFonts w:hint="eastAsia" w:ascii="仿宋" w:hAnsi="仿宋" w:eastAsia="仿宋" w:cs="仿宋"/>
          <w:sz w:val="32"/>
          <w:szCs w:val="32"/>
        </w:rPr>
        <w:t>遗属补助人数</w:t>
      </w:r>
      <w:r>
        <w:rPr>
          <w:rFonts w:hint="eastAsia" w:ascii="仿宋" w:hAnsi="仿宋" w:eastAsia="仿宋" w:cs="仿宋"/>
          <w:sz w:val="32"/>
          <w:szCs w:val="32"/>
          <w:lang w:val="en-US" w:eastAsia="zh-CN"/>
        </w:rPr>
        <w:t>2</w:t>
      </w:r>
      <w:r>
        <w:rPr>
          <w:rFonts w:hint="eastAsia" w:ascii="仿宋" w:hAnsi="仿宋" w:eastAsia="仿宋" w:cs="仿宋"/>
          <w:sz w:val="32"/>
          <w:szCs w:val="32"/>
        </w:rPr>
        <w:t>人，房屋面积</w:t>
      </w:r>
      <w:r>
        <w:rPr>
          <w:rFonts w:hint="eastAsia" w:ascii="仿宋" w:hAnsi="仿宋" w:eastAsia="仿宋" w:cs="仿宋"/>
          <w:sz w:val="32"/>
          <w:szCs w:val="32"/>
          <w:lang w:val="en-US" w:eastAsia="zh-CN"/>
        </w:rPr>
        <w:t>4000</w:t>
      </w:r>
      <w:r>
        <w:rPr>
          <w:rFonts w:hint="eastAsia" w:ascii="仿宋" w:hAnsi="仿宋" w:eastAsia="仿宋" w:cs="仿宋"/>
          <w:sz w:val="32"/>
          <w:szCs w:val="32"/>
        </w:rPr>
        <w:t>平方米。隆回县交通运输局</w:t>
      </w:r>
      <w:r>
        <w:rPr>
          <w:rFonts w:hint="eastAsia" w:ascii="仿宋" w:hAnsi="仿宋" w:eastAsia="仿宋" w:cs="仿宋"/>
          <w:color w:val="000000"/>
          <w:sz w:val="32"/>
          <w:szCs w:val="32"/>
          <w:lang w:val="en-US" w:eastAsia="zh-CN"/>
        </w:rPr>
        <w:t>内设办公室、政工股、行政审批服务股（政策法规股）、工程股（农村公路办）、运政和安全监督管理股、财务股、计划统计股（交通战备重点项目办）七个股室。财务合并下属二级机构</w:t>
      </w:r>
      <w:r>
        <w:rPr>
          <w:rFonts w:hint="eastAsia" w:ascii="仿宋" w:hAnsi="仿宋" w:eastAsia="仿宋" w:cs="仿宋"/>
          <w:kern w:val="2"/>
          <w:sz w:val="32"/>
          <w:szCs w:val="32"/>
          <w:lang w:val="en-US" w:eastAsia="zh-CN" w:bidi="ar"/>
        </w:rPr>
        <w:t>分别是:隆回县水运事务中心、隆回县交通建设质量安全监督站、隆回县城市公共客运事务中心。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（二）2022年的重点工作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坚持发展第一要务，积极推进重点项目建设。积极跟进新新高速建设；推进大花至善缘亭公路、丁洞公路建设进度，力争年底主体工程完工；继续完善十四五交通规划项目申报；加快新邵迎光经高平至罗洪巴油公路、高平滨江南路、南麻公路、马头山至荷香桥公路、六都寨至西山公路的前期工作进度，早日启动招标程序，并争取在年底开工建设；完成南岳庙桥、和平桥、团结桥等危桥改造项目建设；完成G320线中修工程，完成S322线鸭田至苗田段、分水界至溆浦段以及S240线大观至岩口段、S242线三拱桥至金石桥段大修工程。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坚持交通为民宗旨，全力推进民生实事工程。持续推动路长制管理体系建设；推进G320国道周旺至花门段创建全省文明样板路工作；在年底前完成投资约400万元的智能公交调度和智能公交站台建设；完成工业园公交枢纽站和2个城乡公交首末建设；按时完成农村公路建设任务。</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坚持改革创新，不断提升行业治理能力。按照上级统一部署，推动交通运输综合行政执法改革工作落地；持续开展执法形象提升和执法效能提质活动，整章建制，规范执法行为，不断提升行业治理能力和交通服务水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1"/>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4、坚持内外兼修，全力创建文明单位。以党的政治建设为统领，做实廉洁教育，培育廉洁文化，加强政务公开，完善廉政制度，加强文明实践，提升服务水平，努力创</w:t>
      </w:r>
      <w:r>
        <w:rPr>
          <w:rFonts w:hint="eastAsia" w:ascii="仿宋" w:hAnsi="仿宋" w:eastAsia="仿宋" w:cs="仿宋"/>
          <w:sz w:val="32"/>
          <w:szCs w:val="32"/>
        </w:rPr>
        <w:t>建市级文明单位。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（三）部门整体支出情况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w:t>
      </w:r>
      <w:r>
        <w:rPr>
          <w:rFonts w:hint="eastAsia" w:ascii="仿宋" w:hAnsi="仿宋" w:eastAsia="仿宋" w:cs="仿宋"/>
          <w:sz w:val="32"/>
          <w:szCs w:val="32"/>
        </w:rPr>
        <w:t>全年</w:t>
      </w:r>
      <w:r>
        <w:rPr>
          <w:rFonts w:hint="eastAsia" w:ascii="仿宋" w:hAnsi="仿宋" w:eastAsia="仿宋" w:cs="仿宋"/>
          <w:sz w:val="32"/>
          <w:szCs w:val="32"/>
          <w:lang w:val="en-US" w:eastAsia="zh-CN"/>
        </w:rPr>
        <w:t>总收入8482.22万元，</w:t>
      </w:r>
      <w:r>
        <w:rPr>
          <w:rFonts w:hint="eastAsia" w:ascii="仿宋" w:hAnsi="仿宋" w:eastAsia="仿宋" w:cs="仿宋"/>
          <w:sz w:val="32"/>
          <w:szCs w:val="32"/>
        </w:rPr>
        <w:t>总支出为</w:t>
      </w:r>
      <w:r>
        <w:rPr>
          <w:rFonts w:hint="eastAsia" w:ascii="仿宋" w:hAnsi="仿宋" w:eastAsia="仿宋" w:cs="仿宋"/>
          <w:sz w:val="32"/>
          <w:szCs w:val="32"/>
          <w:lang w:val="en-US" w:eastAsia="zh-CN"/>
        </w:rPr>
        <w:t>8482.22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1316.17万元，项目支出7166.05万元。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keepNext w:val="0"/>
        <w:keepLines w:val="0"/>
        <w:pageBreakBefore w:val="0"/>
        <w:widowControl/>
        <w:kinsoku/>
        <w:wordWrap/>
        <w:overflowPunct/>
        <w:topLinePunct w:val="0"/>
        <w:autoSpaceDE/>
        <w:autoSpaceDN/>
        <w:bidi w:val="0"/>
        <w:spacing w:line="600" w:lineRule="exact"/>
        <w:ind w:firstLine="640"/>
        <w:textAlignment w:val="auto"/>
        <w:rPr>
          <w:rFonts w:hint="eastAsia"/>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年度基本支出</w:t>
      </w:r>
      <w:r>
        <w:rPr>
          <w:rFonts w:hint="eastAsia" w:ascii="仿宋" w:hAnsi="仿宋" w:eastAsia="仿宋" w:cs="仿宋"/>
          <w:sz w:val="30"/>
          <w:szCs w:val="30"/>
          <w:lang w:val="en-US" w:eastAsia="zh-CN"/>
        </w:rPr>
        <w:t>1316.17</w:t>
      </w:r>
      <w:r>
        <w:rPr>
          <w:rFonts w:hint="eastAsia" w:ascii="仿宋" w:hAnsi="仿宋" w:eastAsia="仿宋" w:cs="仿宋"/>
          <w:sz w:val="30"/>
          <w:szCs w:val="30"/>
        </w:rPr>
        <w:t>万元，用于保障单位机构正常运转、完成日常工作任务而发生的各项支出，包括用于基本工资、津贴补贴等人员经费以及办公费、印刷费、水电费及办公设备购置等日常公用经费。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222222"/>
          <w:kern w:val="0"/>
          <w:sz w:val="30"/>
          <w:szCs w:val="30"/>
        </w:rPr>
      </w:pPr>
      <w:r>
        <w:rPr>
          <w:rFonts w:hint="eastAsia" w:ascii="仿宋" w:hAnsi="仿宋" w:eastAsia="仿宋" w:cs="仿宋"/>
          <w:sz w:val="32"/>
          <w:szCs w:val="32"/>
          <w:lang w:val="en-US" w:eastAsia="zh-CN"/>
        </w:rPr>
        <w:t>2022年度项目支出7166.05万元，使用内容为农村公路建设、对城市公路补贴、对农村道路客运补贴、对出租车补贴、燃油税转移支付、大花至善缘亭公路、丁洞公路，水上安全资金等有关事业发展专项、专项业务费、基本建设支出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.无</w:t>
      </w:r>
      <w:r>
        <w:rPr>
          <w:rFonts w:hint="eastAsia" w:ascii="仿宋" w:hAnsi="仿宋" w:eastAsia="仿宋" w:cs="仿宋"/>
          <w:sz w:val="32"/>
          <w:szCs w:val="32"/>
        </w:rPr>
        <w:t>因公出国（境）费用；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7.3万元，比上年增加5.79万元，原因是下属三个二级机构财务并入，决算费用增加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公务用车运行</w:t>
      </w:r>
      <w:r>
        <w:rPr>
          <w:rFonts w:hint="eastAsia" w:ascii="仿宋" w:hAnsi="仿宋" w:eastAsia="仿宋" w:cs="仿宋"/>
          <w:sz w:val="32"/>
          <w:szCs w:val="32"/>
          <w:lang w:eastAsia="zh-CN"/>
        </w:rPr>
        <w:t>维护</w:t>
      </w:r>
      <w:r>
        <w:rPr>
          <w:rFonts w:hint="eastAsia" w:ascii="仿宋" w:hAnsi="仿宋" w:eastAsia="仿宋" w:cs="仿宋"/>
          <w:sz w:val="32"/>
          <w:szCs w:val="32"/>
        </w:rPr>
        <w:t>费</w:t>
      </w:r>
      <w:r>
        <w:rPr>
          <w:rFonts w:hint="eastAsia" w:ascii="仿宋" w:hAnsi="仿宋" w:eastAsia="仿宋" w:cs="仿宋"/>
          <w:sz w:val="32"/>
          <w:szCs w:val="32"/>
          <w:lang w:val="en-US" w:eastAsia="zh-CN"/>
        </w:rPr>
        <w:t>8万元，比上年增加2.2万元，原因是下属三个二级机构财务并入，决算费用增加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交通项目建设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2022年度完成农村公路建设任务76.01公里，完成危桥改造7座，完成省、市下达的农村公路安防工程120.224公里，其中为民办实事和六项重点工作农村公路安防设施建设项目隐患里程118.924公里，春雷行动需要整治隐患里程1.3公里。重点项目建设中，丁洞公路、大花至善缘亭公路现全线路面工程已完工，正在进行安保工程施工；高平滨江南路、G320过境公路、新邵迎光经高平至罗洪巴油公路现均已开工建设。</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全面完成干线公路大中修工程53.243km，干线公路绿化提升工程现已完成苗木栽种，正在抓紧实施景观点建设，实施农村公路预防性养护工程130km，修复性养护工程144km，农村公路通行状况得到大幅改善。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安全生产工作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通过加强宣传发动、强化隐患排查、加大监管力度、推进城乡客运一体化等一系列举措，</w:t>
      </w:r>
      <w:r>
        <w:rPr>
          <w:rFonts w:hint="eastAsia" w:ascii="仿宋_GB2312" w:hAnsi="Calibri" w:eastAsia="仿宋_GB2312" w:cs="Times New Roman"/>
          <w:sz w:val="32"/>
          <w:szCs w:val="32"/>
        </w:rPr>
        <w:t>道路交通事故实现了断崖式下降，</w:t>
      </w:r>
      <w:r>
        <w:rPr>
          <w:rFonts w:hint="eastAsia" w:ascii="仿宋" w:hAnsi="仿宋" w:eastAsia="仿宋" w:cs="仿宋"/>
          <w:sz w:val="32"/>
          <w:szCs w:val="32"/>
          <w:lang w:val="en-US" w:eastAsia="zh-CN"/>
        </w:rPr>
        <w:t>全力扭转安全生产的被动局面，道路交通安全环境形势稳定向好。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提案办理</w:t>
      </w:r>
      <w:r>
        <w:rPr>
          <w:rFonts w:hint="eastAsia" w:ascii="仿宋" w:hAnsi="仿宋" w:eastAsia="仿宋" w:cs="仿宋"/>
          <w:sz w:val="32"/>
          <w:szCs w:val="32"/>
          <w:lang w:val="en-US" w:eastAsia="zh-CN"/>
        </w:rPr>
        <w:t>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我局2022年共承办人大代表建议和政协委员提案83件，由局党组成员分别带队负责，深入基层和现场开展走访和调研，高质量办理，按时完成了工作任务。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（四）交通运输执法体制改革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县交通运输综合行政执法大队137人在6月份全部到岗到位，标志着我县交通执法体制改革圆满完成。</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（一）机关运行经费缺口大，人头经费预算相对较低，工作推进无法达到预期目标。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（二）机关配备的编制只有13名，事多人少，我局为保障工作的开展，从二级机构抽调大量人员至局机关实行混岗，专业人才缺乏，干部年龄结构老龄化，严重影响工作开展。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五、改进措施和有关建议         </w:t>
      </w: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lang w:val="en-US" w:eastAsia="zh-CN"/>
        </w:rPr>
        <w:t xml:space="preserve">                                                                                                                                                                                                                                                                                                                                                                                                                                                                                                                                                                                                                                                                                                                    </w:t>
      </w:r>
    </w:p>
    <w:p>
      <w:pPr>
        <w:keepNext w:val="0"/>
        <w:keepLines w:val="0"/>
        <w:pageBreakBefore w:val="0"/>
        <w:widowControl w:val="0"/>
        <w:numPr>
          <w:ilvl w:val="0"/>
          <w:numId w:val="6"/>
        </w:numPr>
        <w:pBdr>
          <w:bottom w:val="single" w:color="FFFFFF" w:sz="4" w:space="31"/>
        </w:pBdr>
        <w:tabs>
          <w:tab w:val="left" w:pos="1440"/>
        </w:tabs>
        <w:kinsoku/>
        <w:wordWrap/>
        <w:overflowPunct/>
        <w:topLinePunct w:val="0"/>
        <w:autoSpaceDE/>
        <w:autoSpaceDN/>
        <w:bidi w:val="0"/>
        <w:adjustRightInd/>
        <w:snapToGrid/>
        <w:spacing w:line="600" w:lineRule="exact"/>
        <w:ind w:left="-10" w:leftChars="0" w:firstLine="640" w:firstLineChars="0"/>
        <w:textAlignment w:val="auto"/>
        <w:rPr>
          <w:rFonts w:hint="eastAsia" w:ascii="仿宋" w:hAnsi="仿宋" w:eastAsia="仿宋" w:cs="仿宋"/>
          <w:sz w:val="32"/>
          <w:szCs w:val="32"/>
        </w:rPr>
      </w:pPr>
      <w:r>
        <w:rPr>
          <w:rFonts w:hint="eastAsia" w:ascii="仿宋_GB2312" w:hAnsi="仿宋_GB2312" w:eastAsia="仿宋_GB2312" w:cs="仿宋_GB2312"/>
          <w:b w:val="0"/>
          <w:bCs w:val="0"/>
          <w:sz w:val="32"/>
          <w:szCs w:val="32"/>
        </w:rPr>
        <w:t>强化预算执行管理</w:t>
      </w:r>
      <w:r>
        <w:rPr>
          <w:rFonts w:hint="eastAsia" w:ascii="仿宋_GB2312" w:hAnsi="仿宋_GB2312" w:eastAsia="仿宋_GB2312" w:cs="仿宋_GB2312"/>
          <w:b w:val="0"/>
          <w:bCs w:val="0"/>
          <w:sz w:val="32"/>
          <w:szCs w:val="32"/>
          <w:lang w:eastAsia="zh-CN"/>
        </w:rPr>
        <w:t>。</w:t>
      </w:r>
      <w:r>
        <w:rPr>
          <w:rFonts w:hint="eastAsia" w:ascii="仿宋" w:hAnsi="仿宋" w:eastAsia="仿宋" w:cs="仿宋"/>
          <w:b w:val="0"/>
          <w:bCs w:val="0"/>
          <w:sz w:val="32"/>
          <w:szCs w:val="32"/>
          <w:lang w:val="en-US" w:eastAsia="zh-CN"/>
        </w:rPr>
        <w:t>严格预算执行、严控各项支出，确保实现部门整体支出绩效最大化。</w:t>
      </w:r>
      <w:r>
        <w:rPr>
          <w:rFonts w:hint="eastAsia" w:eastAsia="仿宋_GB2312"/>
          <w:sz w:val="32"/>
          <w:szCs w:val="32"/>
        </w:rPr>
        <w:t>完善资产管理</w:t>
      </w:r>
      <w:r>
        <w:rPr>
          <w:rFonts w:hint="eastAsia" w:eastAsia="仿宋_GB2312"/>
          <w:sz w:val="32"/>
          <w:szCs w:val="32"/>
          <w:lang w:eastAsia="zh-CN"/>
        </w:rPr>
        <w:t>，</w:t>
      </w:r>
      <w:r>
        <w:rPr>
          <w:rFonts w:hint="eastAsia" w:eastAsia="仿宋_GB2312"/>
          <w:sz w:val="32"/>
          <w:szCs w:val="32"/>
        </w:rPr>
        <w:t>严格编制政府采购年初预算和计划，规范各类资产的购置审批、采购、使用管理、处置和报废、管理岗位职责等制度，加强单位内部的资产管理工作。</w:t>
      </w:r>
    </w:p>
    <w:p>
      <w:pPr>
        <w:keepNext w:val="0"/>
        <w:keepLines w:val="0"/>
        <w:pageBreakBefore w:val="0"/>
        <w:widowControl w:val="0"/>
        <w:numPr>
          <w:ilvl w:val="0"/>
          <w:numId w:val="6"/>
        </w:numPr>
        <w:pBdr>
          <w:bottom w:val="single" w:color="FFFFFF" w:sz="4" w:space="31"/>
        </w:pBdr>
        <w:tabs>
          <w:tab w:val="left" w:pos="1440"/>
        </w:tabs>
        <w:kinsoku/>
        <w:wordWrap/>
        <w:overflowPunct/>
        <w:topLinePunct w:val="0"/>
        <w:autoSpaceDE/>
        <w:autoSpaceDN/>
        <w:bidi w:val="0"/>
        <w:adjustRightInd/>
        <w:snapToGrid/>
        <w:spacing w:line="600" w:lineRule="exact"/>
        <w:ind w:left="-10" w:leftChars="0" w:firstLine="640" w:firstLineChars="0"/>
        <w:textAlignment w:val="auto"/>
        <w:rPr>
          <w:rFonts w:hint="eastAsia" w:ascii="仿宋" w:hAnsi="仿宋" w:eastAsia="仿宋" w:cs="仿宋"/>
          <w:sz w:val="32"/>
          <w:szCs w:val="32"/>
        </w:rPr>
      </w:pPr>
      <w:r>
        <w:rPr>
          <w:rFonts w:hint="eastAsia" w:ascii="仿宋_GB2312" w:hAnsi="仿宋_GB2312" w:eastAsia="仿宋_GB2312" w:cs="仿宋_GB2312"/>
          <w:b w:val="0"/>
          <w:bCs/>
          <w:sz w:val="32"/>
          <w:szCs w:val="32"/>
        </w:rPr>
        <w:t>加强财务管理，健全单位财务管理制度体系，</w:t>
      </w:r>
      <w:r>
        <w:rPr>
          <w:rFonts w:hint="eastAsia" w:ascii="仿宋_GB2312" w:hAnsi="仿宋_GB2312" w:eastAsia="仿宋_GB2312" w:cs="仿宋_GB2312"/>
          <w:b w:val="0"/>
          <w:bCs/>
          <w:sz w:val="32"/>
          <w:szCs w:val="32"/>
          <w:lang w:eastAsia="zh-CN"/>
        </w:rPr>
        <w:t>完善专项资金监管，</w:t>
      </w:r>
      <w:r>
        <w:rPr>
          <w:rFonts w:hint="eastAsia" w:ascii="仿宋_GB2312" w:hAnsi="仿宋_GB2312" w:eastAsia="仿宋_GB2312" w:cs="仿宋_GB2312"/>
          <w:b w:val="0"/>
          <w:bCs/>
          <w:sz w:val="32"/>
          <w:szCs w:val="32"/>
        </w:rPr>
        <w:t>规范单位财务行为。严格财务审核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对不符合制度、附件不规范不齐全的开支，要求退回予以补充和更正，以保证各项支出的合规、合理。严格控制“三公”经费的规模和比例，把关“三公”经费支出的审核、审批，细化“三公”经费的管理，合理压缩“三公”经费支出。</w:t>
      </w:r>
    </w:p>
    <w:p>
      <w:pPr>
        <w:pStyle w:val="2"/>
        <w:rPr>
          <w:rFonts w:hint="eastAsia"/>
        </w:rPr>
      </w:pPr>
    </w:p>
    <w:p>
      <w:pPr>
        <w:pStyle w:val="2"/>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隆回县交通运输局</w:t>
      </w:r>
    </w:p>
    <w:p>
      <w:pPr>
        <w:pStyle w:val="2"/>
        <w:ind w:firstLine="5440" w:firstLineChars="170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2023年5月11日</w:t>
      </w:r>
    </w:p>
    <w:p>
      <w:pPr>
        <w:pStyle w:val="2"/>
        <w:keepNext w:val="0"/>
        <w:keepLines w:val="0"/>
        <w:pageBreakBefore w:val="0"/>
        <w:kinsoku/>
        <w:wordWrap/>
        <w:overflowPunct/>
        <w:topLinePunct w:val="0"/>
        <w:autoSpaceDE/>
        <w:autoSpaceDN/>
        <w:bidi w:val="0"/>
        <w:spacing w:line="600" w:lineRule="exact"/>
        <w:ind w:left="0" w:leftChars="0" w:firstLine="0" w:firstLineChars="0"/>
        <w:textAlignment w:val="auto"/>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7"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大标宋简体">
    <w:altName w:val="方正书宋_GBK"/>
    <w:panose1 w:val="03000509000000000000"/>
    <w:charset w:val="86"/>
    <w:family w:val="auto"/>
    <w:pitch w:val="default"/>
    <w:sig w:usb0="00000000" w:usb1="00000000" w:usb2="00000000"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7"/>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3DCC8"/>
    <w:multiLevelType w:val="singleLevel"/>
    <w:tmpl w:val="A053DCC8"/>
    <w:lvl w:ilvl="0" w:tentative="0">
      <w:start w:val="2"/>
      <w:numFmt w:val="decimal"/>
      <w:suff w:val="nothing"/>
      <w:lvlText w:val="%1、"/>
      <w:lvlJc w:val="left"/>
    </w:lvl>
  </w:abstractNum>
  <w:abstractNum w:abstractNumId="1">
    <w:nsid w:val="AD6B7323"/>
    <w:multiLevelType w:val="singleLevel"/>
    <w:tmpl w:val="AD6B7323"/>
    <w:lvl w:ilvl="0" w:tentative="0">
      <w:start w:val="1"/>
      <w:numFmt w:val="chineseCounting"/>
      <w:suff w:val="nothing"/>
      <w:lvlText w:val="（%1）"/>
      <w:lvlJc w:val="left"/>
      <w:pPr>
        <w:ind w:left="-10"/>
      </w:pPr>
      <w:rPr>
        <w:rFonts w:hint="eastAsia"/>
      </w:rPr>
    </w:lvl>
  </w:abstractNum>
  <w:abstractNum w:abstractNumId="2">
    <w:nsid w:val="B36D248C"/>
    <w:multiLevelType w:val="singleLevel"/>
    <w:tmpl w:val="B36D248C"/>
    <w:lvl w:ilvl="0" w:tentative="0">
      <w:start w:val="2"/>
      <w:numFmt w:val="chineseCounting"/>
      <w:suff w:val="nothing"/>
      <w:lvlText w:val="（%1）"/>
      <w:lvlJc w:val="left"/>
      <w:rPr>
        <w:rFonts w:hint="eastAsia"/>
      </w:rPr>
    </w:lvl>
  </w:abstractNum>
  <w:abstractNum w:abstractNumId="3">
    <w:nsid w:val="FC61B9A5"/>
    <w:multiLevelType w:val="singleLevel"/>
    <w:tmpl w:val="FC61B9A5"/>
    <w:lvl w:ilvl="0" w:tentative="0">
      <w:start w:val="1"/>
      <w:numFmt w:val="chineseCounting"/>
      <w:suff w:val="nothing"/>
      <w:lvlText w:val="（%1）"/>
      <w:lvlJc w:val="left"/>
      <w:rPr>
        <w:rFonts w:hint="eastAsia"/>
      </w:rPr>
    </w:lvl>
  </w:abstractNum>
  <w:abstractNum w:abstractNumId="4">
    <w:nsid w:val="16342CBB"/>
    <w:multiLevelType w:val="singleLevel"/>
    <w:tmpl w:val="16342CBB"/>
    <w:lvl w:ilvl="0" w:tentative="0">
      <w:start w:val="3"/>
      <w:numFmt w:val="chineseCounting"/>
      <w:suff w:val="nothing"/>
      <w:lvlText w:val="%1、"/>
      <w:lvlJc w:val="left"/>
      <w:rPr>
        <w:rFonts w:hint="eastAsia"/>
      </w:rPr>
    </w:lvl>
  </w:abstractNum>
  <w:abstractNum w:abstractNumId="5">
    <w:nsid w:val="20451331"/>
    <w:multiLevelType w:val="singleLevel"/>
    <w:tmpl w:val="20451331"/>
    <w:lvl w:ilvl="0" w:tentative="0">
      <w:start w:val="7"/>
      <w:numFmt w:val="chineseCounting"/>
      <w:suff w:val="nothing"/>
      <w:lvlText w:val="%1、"/>
      <w:lvlJc w:val="left"/>
      <w:rPr>
        <w:rFonts w:hint="eastAsia"/>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WIzOTU1MDZiZTI4ZjEzNTlhM2I2YzY5OWMzZjkifQ=="/>
  </w:docVars>
  <w:rsids>
    <w:rsidRoot w:val="18D538B0"/>
    <w:rsid w:val="0076463F"/>
    <w:rsid w:val="00C7679A"/>
    <w:rsid w:val="01600BAC"/>
    <w:rsid w:val="018E17F6"/>
    <w:rsid w:val="01E50D53"/>
    <w:rsid w:val="01EB6738"/>
    <w:rsid w:val="02614FC7"/>
    <w:rsid w:val="032F1310"/>
    <w:rsid w:val="03B40C48"/>
    <w:rsid w:val="03D2624F"/>
    <w:rsid w:val="040501C3"/>
    <w:rsid w:val="044959C1"/>
    <w:rsid w:val="05323055"/>
    <w:rsid w:val="055C78F2"/>
    <w:rsid w:val="05E337FC"/>
    <w:rsid w:val="06536294"/>
    <w:rsid w:val="07155C37"/>
    <w:rsid w:val="07283BBC"/>
    <w:rsid w:val="07617A06"/>
    <w:rsid w:val="0768045D"/>
    <w:rsid w:val="077E38A1"/>
    <w:rsid w:val="09D347BB"/>
    <w:rsid w:val="0A6273E5"/>
    <w:rsid w:val="0A686BF6"/>
    <w:rsid w:val="0AA81285"/>
    <w:rsid w:val="0C760F26"/>
    <w:rsid w:val="0D4508F8"/>
    <w:rsid w:val="0D9C5027"/>
    <w:rsid w:val="0D9F74CA"/>
    <w:rsid w:val="0DD74424"/>
    <w:rsid w:val="0FB81855"/>
    <w:rsid w:val="0FC87CEA"/>
    <w:rsid w:val="107F4121"/>
    <w:rsid w:val="10C57C4D"/>
    <w:rsid w:val="11456604"/>
    <w:rsid w:val="117B657D"/>
    <w:rsid w:val="117C2E73"/>
    <w:rsid w:val="11B5604C"/>
    <w:rsid w:val="11E9622E"/>
    <w:rsid w:val="12607728"/>
    <w:rsid w:val="126104A5"/>
    <w:rsid w:val="13113C31"/>
    <w:rsid w:val="13C57FC2"/>
    <w:rsid w:val="13CF716E"/>
    <w:rsid w:val="13DD7ADC"/>
    <w:rsid w:val="13EB2DF0"/>
    <w:rsid w:val="144F5156"/>
    <w:rsid w:val="14506500"/>
    <w:rsid w:val="14531B4D"/>
    <w:rsid w:val="155913E5"/>
    <w:rsid w:val="16544222"/>
    <w:rsid w:val="16753FFC"/>
    <w:rsid w:val="16C377B3"/>
    <w:rsid w:val="1767588B"/>
    <w:rsid w:val="18D538B0"/>
    <w:rsid w:val="18E032C2"/>
    <w:rsid w:val="19727C40"/>
    <w:rsid w:val="19A277FE"/>
    <w:rsid w:val="19A76BC3"/>
    <w:rsid w:val="1B970EB9"/>
    <w:rsid w:val="1C6953FA"/>
    <w:rsid w:val="1CCF110C"/>
    <w:rsid w:val="1D1F6800"/>
    <w:rsid w:val="1D5B508A"/>
    <w:rsid w:val="1D9456B0"/>
    <w:rsid w:val="1E3F4573"/>
    <w:rsid w:val="1ED75A22"/>
    <w:rsid w:val="1F7C289F"/>
    <w:rsid w:val="1FA31533"/>
    <w:rsid w:val="201670C7"/>
    <w:rsid w:val="2060784B"/>
    <w:rsid w:val="213827F6"/>
    <w:rsid w:val="21796BC2"/>
    <w:rsid w:val="21B552CB"/>
    <w:rsid w:val="22BE0E76"/>
    <w:rsid w:val="22CB58FB"/>
    <w:rsid w:val="23250B58"/>
    <w:rsid w:val="23871813"/>
    <w:rsid w:val="2483632E"/>
    <w:rsid w:val="24D77F4F"/>
    <w:rsid w:val="24E54A43"/>
    <w:rsid w:val="25550C1E"/>
    <w:rsid w:val="25B05D49"/>
    <w:rsid w:val="27B42955"/>
    <w:rsid w:val="285F2031"/>
    <w:rsid w:val="28692075"/>
    <w:rsid w:val="28BF4190"/>
    <w:rsid w:val="294F334C"/>
    <w:rsid w:val="29C40B22"/>
    <w:rsid w:val="29F01EC0"/>
    <w:rsid w:val="2A706BB3"/>
    <w:rsid w:val="2A7C719C"/>
    <w:rsid w:val="2B926A7E"/>
    <w:rsid w:val="2C174A32"/>
    <w:rsid w:val="2C2B5641"/>
    <w:rsid w:val="2CB6067E"/>
    <w:rsid w:val="2CC66F08"/>
    <w:rsid w:val="2CCA094F"/>
    <w:rsid w:val="2E2B5E45"/>
    <w:rsid w:val="2E515D05"/>
    <w:rsid w:val="2FC02FA6"/>
    <w:rsid w:val="2FF745A3"/>
    <w:rsid w:val="316450AF"/>
    <w:rsid w:val="31EA728A"/>
    <w:rsid w:val="335115F0"/>
    <w:rsid w:val="352A2B82"/>
    <w:rsid w:val="3546366F"/>
    <w:rsid w:val="357070B5"/>
    <w:rsid w:val="35C80866"/>
    <w:rsid w:val="363D18BA"/>
    <w:rsid w:val="376A3C4C"/>
    <w:rsid w:val="38FC7F68"/>
    <w:rsid w:val="39C175C6"/>
    <w:rsid w:val="3A754CC9"/>
    <w:rsid w:val="3B113271"/>
    <w:rsid w:val="3BEA370A"/>
    <w:rsid w:val="3CE8111C"/>
    <w:rsid w:val="3DCE3E6E"/>
    <w:rsid w:val="3E3A69A0"/>
    <w:rsid w:val="3ECD3124"/>
    <w:rsid w:val="3F9A003D"/>
    <w:rsid w:val="3FEA0343"/>
    <w:rsid w:val="42F50DFA"/>
    <w:rsid w:val="43064BE1"/>
    <w:rsid w:val="44C61CB1"/>
    <w:rsid w:val="45F66278"/>
    <w:rsid w:val="475F4422"/>
    <w:rsid w:val="4874505C"/>
    <w:rsid w:val="49136AFE"/>
    <w:rsid w:val="49201968"/>
    <w:rsid w:val="49F977A4"/>
    <w:rsid w:val="4A77281B"/>
    <w:rsid w:val="4B6814D6"/>
    <w:rsid w:val="4BB905DA"/>
    <w:rsid w:val="4C16799F"/>
    <w:rsid w:val="4C5916EF"/>
    <w:rsid w:val="4CAC7A71"/>
    <w:rsid w:val="4DBD1158"/>
    <w:rsid w:val="4DFD06EC"/>
    <w:rsid w:val="4E0B709E"/>
    <w:rsid w:val="5039786D"/>
    <w:rsid w:val="507C62DD"/>
    <w:rsid w:val="50B20CEB"/>
    <w:rsid w:val="52770B21"/>
    <w:rsid w:val="52F14A71"/>
    <w:rsid w:val="532F4F57"/>
    <w:rsid w:val="539A1CD9"/>
    <w:rsid w:val="55FE57CA"/>
    <w:rsid w:val="563C6D66"/>
    <w:rsid w:val="565C4B5A"/>
    <w:rsid w:val="578E37A1"/>
    <w:rsid w:val="57B123DF"/>
    <w:rsid w:val="57EA4D9C"/>
    <w:rsid w:val="58BC728D"/>
    <w:rsid w:val="58C76ABA"/>
    <w:rsid w:val="59CA59DA"/>
    <w:rsid w:val="5D6C7344"/>
    <w:rsid w:val="5D971769"/>
    <w:rsid w:val="5EA551F5"/>
    <w:rsid w:val="5F506981"/>
    <w:rsid w:val="5F66629D"/>
    <w:rsid w:val="5FEF33C5"/>
    <w:rsid w:val="61AF2FE3"/>
    <w:rsid w:val="62EE2739"/>
    <w:rsid w:val="63521D29"/>
    <w:rsid w:val="635B32B1"/>
    <w:rsid w:val="63AD5DD7"/>
    <w:rsid w:val="64030466"/>
    <w:rsid w:val="64BF79F0"/>
    <w:rsid w:val="65B75B1D"/>
    <w:rsid w:val="65ED7F30"/>
    <w:rsid w:val="662B7800"/>
    <w:rsid w:val="670B01C0"/>
    <w:rsid w:val="68045877"/>
    <w:rsid w:val="6A522671"/>
    <w:rsid w:val="6ACB22C2"/>
    <w:rsid w:val="6C3C39CA"/>
    <w:rsid w:val="6C6A0E2B"/>
    <w:rsid w:val="6C801864"/>
    <w:rsid w:val="6E615BFD"/>
    <w:rsid w:val="6F9D176F"/>
    <w:rsid w:val="700C15EF"/>
    <w:rsid w:val="70330420"/>
    <w:rsid w:val="70992760"/>
    <w:rsid w:val="72F5541E"/>
    <w:rsid w:val="72FD6085"/>
    <w:rsid w:val="745037BC"/>
    <w:rsid w:val="75D91027"/>
    <w:rsid w:val="767C2482"/>
    <w:rsid w:val="7718565A"/>
    <w:rsid w:val="77C83101"/>
    <w:rsid w:val="78270946"/>
    <w:rsid w:val="78853E63"/>
    <w:rsid w:val="79367029"/>
    <w:rsid w:val="79DD5645"/>
    <w:rsid w:val="7A031D57"/>
    <w:rsid w:val="7A3613CA"/>
    <w:rsid w:val="7A407907"/>
    <w:rsid w:val="7B3D3D71"/>
    <w:rsid w:val="7BA3331B"/>
    <w:rsid w:val="7D2A54B9"/>
    <w:rsid w:val="7D887789"/>
    <w:rsid w:val="7DF84014"/>
    <w:rsid w:val="7F220135"/>
    <w:rsid w:val="7FA61257"/>
    <w:rsid w:val="7FBC5A54"/>
    <w:rsid w:val="BFF703B1"/>
    <w:rsid w:val="E77E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ind w:firstLine="640" w:firstLineChars="200"/>
    </w:pPr>
    <w:rPr>
      <w:sz w:val="32"/>
    </w:rPr>
  </w:style>
  <w:style w:type="paragraph" w:styleId="4">
    <w:name w:val="Normal Indent"/>
    <w:basedOn w:val="1"/>
    <w:qFormat/>
    <w:uiPriority w:val="0"/>
    <w:pPr>
      <w:ind w:firstLine="420" w:firstLineChars="200"/>
    </w:pPr>
    <w:rPr>
      <w:rFonts w:eastAsia="仿宋"/>
      <w:sz w:val="32"/>
    </w:rPr>
  </w:style>
  <w:style w:type="paragraph" w:styleId="6">
    <w:name w:val="toa heading"/>
    <w:basedOn w:val="1"/>
    <w:next w:val="1"/>
    <w:qFormat/>
    <w:uiPriority w:val="0"/>
    <w:pPr>
      <w:spacing w:before="120" w:beforeLines="0"/>
    </w:pPr>
    <w:rPr>
      <w:rFonts w:ascii="Cambria" w:hAnsi="Cambria"/>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basedOn w:val="11"/>
    <w:qFormat/>
    <w:uiPriority w:val="0"/>
  </w:style>
  <w:style w:type="character" w:customStyle="1" w:styleId="13">
    <w:name w:val="font11"/>
    <w:basedOn w:val="11"/>
    <w:qFormat/>
    <w:uiPriority w:val="0"/>
    <w:rPr>
      <w:rFonts w:hint="eastAsia" w:ascii="宋体" w:hAnsi="宋体" w:eastAsia="宋体" w:cs="宋体"/>
      <w:color w:val="000000"/>
      <w:sz w:val="21"/>
      <w:szCs w:val="21"/>
      <w:u w:val="none"/>
    </w:rPr>
  </w:style>
  <w:style w:type="character" w:customStyle="1" w:styleId="14">
    <w:name w:val="font01"/>
    <w:basedOn w:val="11"/>
    <w:qFormat/>
    <w:uiPriority w:val="0"/>
    <w:rPr>
      <w:rFonts w:hint="default" w:ascii="Times New Roman" w:hAnsi="Times New Roman" w:cs="Times New Roman"/>
      <w:color w:val="000000"/>
      <w:sz w:val="21"/>
      <w:szCs w:val="21"/>
      <w:u w:val="none"/>
    </w:rPr>
  </w:style>
  <w:style w:type="paragraph" w:customStyle="1" w:styleId="15">
    <w:name w:val="Body Text First Indent 21"/>
    <w:basedOn w:val="3"/>
    <w:qFormat/>
    <w:uiPriority w:val="0"/>
    <w:pPr>
      <w:spacing w:after="0"/>
      <w:ind w:left="0" w:leftChars="0" w:firstLine="420" w:firstLineChars="200"/>
    </w:pPr>
    <w:rPr>
      <w:sz w:val="32"/>
    </w:rPr>
  </w:style>
  <w:style w:type="paragraph" w:customStyle="1" w:styleId="16">
    <w:name w:val="No Spacing_ad81b47b-6779-4c76-b471-79375858c8cb"/>
    <w:basedOn w:val="1"/>
    <w:qFormat/>
    <w:uiPriority w:val="0"/>
    <w:pPr>
      <w:ind w:firstLine="200" w:firstLineChars="200"/>
    </w:pPr>
    <w:rPr>
      <w:rFonts w:ascii="Calibri" w:hAnsi="Calibri"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5956</Words>
  <Characters>6281</Characters>
  <Lines>0</Lines>
  <Paragraphs>0</Paragraphs>
  <TotalTime>22</TotalTime>
  <ScaleCrop>false</ScaleCrop>
  <LinksUpToDate>false</LinksUpToDate>
  <CharactersWithSpaces>7190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2021-04-20T07:48:00Z</dcterms:created>
  <dc:creator>彭礼孝</dc:creator>
  <cp:lastModifiedBy>JTJ</cp:lastModifiedBy>
  <cp:lastPrinted>2023-09-08T16:07:54Z</cp:lastPrinted>
  <dcterms:modified xsi:type="dcterms:W3CDTF">2023-09-08T16:08:06Z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8A7B255FA1F389F0FF70FA646D4A13DC</vt:lpwstr>
  </property>
</Properties>
</file>