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2022年度隆回县科技和工业信息化局部门决算公开目录及说明</w:t>
      </w:r>
    </w:p>
    <w:p>
      <w:pPr>
        <w:pStyle w:val="7"/>
        <w:spacing w:line="500" w:lineRule="exact"/>
        <w:jc w:val="center"/>
        <w:rPr>
          <w:b/>
          <w:sz w:val="36"/>
          <w:szCs w:val="28"/>
        </w:rPr>
      </w:pPr>
      <w:r>
        <w:rPr>
          <w:rFonts w:hint="eastAsia"/>
          <w:b/>
          <w:sz w:val="36"/>
          <w:szCs w:val="28"/>
        </w:rPr>
        <w:t>目录</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隆回县科技和工业信息化局</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ascii="仿宋_GB2312" w:hAnsi="Times New Roman" w:eastAsia="仿宋_GB2312" w:cs="黑体"/>
          <w:b/>
          <w:sz w:val="32"/>
          <w:szCs w:val="32"/>
          <w:highlight w:val="white"/>
          <w:lang w:val="zh-CN" w:eastAsia="zh-CN"/>
        </w:rPr>
      </w:pPr>
      <w:r>
        <w:rPr>
          <w:rFonts w:hint="eastAsia" w:ascii="黑体" w:eastAsia="黑体" w:cs="黑体"/>
          <w:sz w:val="32"/>
          <w:szCs w:val="32"/>
          <w:highlight w:val="white"/>
        </w:rPr>
        <w:t>第一部分</w:t>
      </w:r>
      <w:r>
        <w:rPr>
          <w:rFonts w:hint="eastAsia" w:ascii="黑体" w:eastAsia="黑体" w:cs="黑体"/>
          <w:sz w:val="32"/>
          <w:szCs w:val="32"/>
          <w:highlight w:val="white"/>
          <w:lang w:val="en-US" w:eastAsia="zh-CN"/>
        </w:rPr>
        <w:t xml:space="preserve">  </w:t>
      </w:r>
      <w:r>
        <w:rPr>
          <w:rFonts w:hint="eastAsia" w:ascii="黑体" w:eastAsia="黑体" w:cs="黑体"/>
          <w:sz w:val="32"/>
          <w:szCs w:val="32"/>
          <w:highlight w:val="white"/>
          <w:lang w:val="zh-CN" w:eastAsia="zh-CN"/>
        </w:rPr>
        <w:t>隆回县科技和工业信息化局部门（单位）</w:t>
      </w:r>
      <w:r>
        <w:rPr>
          <w:rFonts w:hint="eastAsia" w:ascii="黑体" w:eastAsia="黑体" w:cs="黑体"/>
          <w:sz w:val="32"/>
          <w:szCs w:val="32"/>
          <w:highlight w:val="white"/>
          <w:lang w:val="en-US" w:eastAsia="zh-CN"/>
        </w:rPr>
        <w:t>概况</w:t>
      </w:r>
    </w:p>
    <w:p>
      <w:pPr>
        <w:autoSpaceDE w:val="0"/>
        <w:autoSpaceDN w:val="0"/>
        <w:adjustRightInd w:val="0"/>
        <w:spacing w:line="520" w:lineRule="exact"/>
        <w:ind w:firstLine="643" w:firstLineChars="200"/>
        <w:jc w:val="left"/>
        <w:rPr>
          <w:rFonts w:hint="eastAsia" w:eastAsia="黑体"/>
          <w:sz w:val="44"/>
          <w:szCs w:val="44"/>
          <w:highlight w:val="white"/>
          <w:lang w:val="zh-CN"/>
        </w:rPr>
      </w:pPr>
      <w:r>
        <w:rPr>
          <w:rFonts w:hint="eastAsia" w:ascii="仿宋_GB2312" w:hAnsi="Times New Roman" w:eastAsia="仿宋_GB2312" w:cs="黑体"/>
          <w:b/>
          <w:sz w:val="32"/>
          <w:szCs w:val="32"/>
          <w:highlight w:val="white"/>
          <w:lang w:val="zh-CN" w:eastAsia="zh-CN"/>
        </w:rPr>
        <w:t>一、部门职责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0"/>
        <w:jc w:val="left"/>
        <w:rPr>
          <w:rFonts w:hint="eastAsia" w:ascii="仿宋_GB2312" w:hAnsi="仿宋_GB2312" w:eastAsia="仿宋_GB2312" w:cs="仿宋_GB2312"/>
          <w:i w:val="0"/>
          <w:iCs/>
          <w:color w:val="auto"/>
          <w:kern w:val="0"/>
          <w:sz w:val="32"/>
          <w:szCs w:val="32"/>
          <w:lang w:val="en-US" w:eastAsia="zh-CN"/>
        </w:rPr>
      </w:pPr>
      <w:r>
        <w:rPr>
          <w:rFonts w:hint="eastAsia" w:ascii="宋体" w:hAnsi="宋体" w:eastAsia="宋体" w:cs="宋体"/>
          <w:i w:val="0"/>
          <w:iCs w:val="0"/>
          <w:caps w:val="0"/>
          <w:color w:val="232323"/>
          <w:spacing w:val="0"/>
          <w:kern w:val="0"/>
          <w:sz w:val="32"/>
          <w:szCs w:val="32"/>
          <w:shd w:val="clear" w:color="auto" w:fill="FFFFFF"/>
          <w:lang w:val="en-US" w:eastAsia="zh-CN" w:bidi="ar"/>
        </w:rPr>
        <w:t xml:space="preserve">     </w:t>
      </w:r>
      <w:r>
        <w:rPr>
          <w:rFonts w:hint="eastAsia" w:ascii="仿宋_GB2312" w:hAnsi="仿宋_GB2312" w:eastAsia="仿宋_GB2312" w:cs="仿宋_GB2312"/>
          <w:i w:val="0"/>
          <w:iCs/>
          <w:color w:val="auto"/>
          <w:kern w:val="0"/>
          <w:sz w:val="32"/>
          <w:szCs w:val="32"/>
          <w:lang w:val="en-US" w:eastAsia="zh-CN"/>
        </w:rPr>
        <w:t>综合管理全县工业、科技、信息化工作，指导、协调和服务各种经济成分、各种规模类型的工业企业、科技企业，负责全县工业、科技工作的日常运行调节，编制、实施近期工业、科技运行调控目标、政策和措施；监测、分析全县工业、科技运行态势，承担工业企业的节能考核和监察工作，组织解决工业、科技工作中的突出矛盾和问题，研究提出工业、科技运行方面的政策建议，负责全县工业企业扭亏增盈、工业和信息化领域的国防动员、新型墙体材料、散装水泥和搅拌混凝土、干粉砂、电力、通信行业、煤炭、石油、天然气和原材料等经济运行保障要素管理工作。会同有关部门管理县级财政性技术改造、中小企业发展、淘汰落后产能、信息化应用、科技成果转化等专项资金。归口管理县墙体材料改革办公室、县金银化研究所，贯彻执行有关工业、科技和信息产业方面的法律、法规和政策，并实施行业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643" w:firstLineChars="200"/>
        <w:jc w:val="left"/>
        <w:rPr>
          <w:rFonts w:hint="eastAsia" w:ascii="仿宋_GB2312" w:hAnsi="仿宋_GB2312" w:eastAsia="仿宋_GB2312" w:cs="仿宋_GB2312"/>
          <w:b/>
          <w:bCs/>
          <w:i w:val="0"/>
          <w:iCs/>
          <w:color w:val="auto"/>
          <w:kern w:val="0"/>
          <w:sz w:val="32"/>
          <w:szCs w:val="32"/>
          <w:lang w:val="zh-CN" w:eastAsia="zh-CN"/>
        </w:rPr>
      </w:pPr>
      <w:r>
        <w:rPr>
          <w:rFonts w:hint="eastAsia" w:ascii="仿宋_GB2312" w:hAnsi="仿宋_GB2312" w:eastAsia="仿宋_GB2312" w:cs="仿宋_GB2312"/>
          <w:b/>
          <w:bCs/>
          <w:i w:val="0"/>
          <w:iCs/>
          <w:color w:val="auto"/>
          <w:kern w:val="0"/>
          <w:sz w:val="32"/>
          <w:szCs w:val="32"/>
          <w:lang w:val="zh-CN" w:eastAsia="zh-CN"/>
        </w:rPr>
        <w:t>二、机构设置及决算单位构成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643" w:firstLineChars="200"/>
        <w:jc w:val="left"/>
        <w:rPr>
          <w:rFonts w:hint="eastAsia" w:ascii="仿宋_GB2312" w:hAnsi="仿宋_GB2312" w:eastAsia="仿宋_GB2312" w:cs="仿宋_GB2312"/>
          <w:b/>
          <w:bCs/>
          <w:i w:val="0"/>
          <w:iCs/>
          <w:color w:val="auto"/>
          <w:kern w:val="0"/>
          <w:sz w:val="32"/>
          <w:szCs w:val="32"/>
          <w:lang w:val="zh-CN" w:eastAsia="zh-CN"/>
        </w:rPr>
      </w:pPr>
      <w:r>
        <w:rPr>
          <w:rFonts w:hint="eastAsia" w:ascii="仿宋_GB2312" w:hAnsi="仿宋_GB2312" w:eastAsia="仿宋_GB2312" w:cs="仿宋_GB2312"/>
          <w:b/>
          <w:bCs/>
          <w:i w:val="0"/>
          <w:iCs/>
          <w:color w:val="auto"/>
          <w:kern w:val="0"/>
          <w:sz w:val="32"/>
          <w:szCs w:val="32"/>
          <w:lang w:val="en-US" w:eastAsia="zh-CN"/>
        </w:rPr>
        <w:t>（一）内设机构设置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0"/>
        <w:jc w:val="left"/>
        <w:rPr>
          <w:rFonts w:hint="eastAsia" w:ascii="仿宋_GB2312" w:hAnsi="仿宋_GB2312" w:eastAsia="仿宋_GB2312" w:cs="仿宋_GB2312"/>
          <w:i w:val="0"/>
          <w:iCs/>
          <w:color w:val="auto"/>
          <w:kern w:val="0"/>
          <w:sz w:val="32"/>
          <w:szCs w:val="32"/>
          <w:lang w:val="en-US" w:eastAsia="zh-CN"/>
        </w:rPr>
      </w:pPr>
      <w:r>
        <w:rPr>
          <w:rFonts w:hint="eastAsia" w:ascii="仿宋_GB2312" w:hAnsi="仿宋_GB2312" w:eastAsia="仿宋_GB2312" w:cs="仿宋_GB2312"/>
          <w:i w:val="0"/>
          <w:iCs/>
          <w:color w:val="auto"/>
          <w:kern w:val="0"/>
          <w:sz w:val="32"/>
          <w:szCs w:val="32"/>
          <w:lang w:val="zh-CN" w:eastAsia="zh-CN"/>
        </w:rPr>
        <w:t xml:space="preserve"> </w:t>
      </w:r>
      <w:r>
        <w:rPr>
          <w:rFonts w:hint="eastAsia" w:ascii="仿宋_GB2312" w:hAnsi="仿宋_GB2312" w:eastAsia="仿宋_GB2312" w:cs="仿宋_GB2312"/>
          <w:i w:val="0"/>
          <w:iCs/>
          <w:color w:val="auto"/>
          <w:kern w:val="0"/>
          <w:sz w:val="32"/>
          <w:szCs w:val="32"/>
          <w:lang w:val="en-US" w:eastAsia="zh-CN"/>
        </w:rPr>
        <w:t xml:space="preserve">  </w:t>
      </w:r>
      <w:r>
        <w:rPr>
          <w:rFonts w:hint="eastAsia" w:ascii="仿宋_GB2312" w:hAnsi="仿宋_GB2312" w:eastAsia="仿宋_GB2312" w:cs="仿宋_GB2312"/>
          <w:i w:val="0"/>
          <w:iCs/>
          <w:color w:val="auto"/>
          <w:kern w:val="0"/>
          <w:sz w:val="32"/>
          <w:szCs w:val="32"/>
          <w:lang w:val="zh-CN" w:eastAsia="zh-CN"/>
        </w:rPr>
        <w:t xml:space="preserve"> </w:t>
      </w:r>
      <w:r>
        <w:rPr>
          <w:rFonts w:hint="eastAsia" w:ascii="仿宋_GB2312" w:hAnsi="仿宋_GB2312" w:eastAsia="仿宋_GB2312" w:cs="仿宋_GB2312"/>
          <w:i w:val="0"/>
          <w:iCs/>
          <w:color w:val="auto"/>
          <w:kern w:val="0"/>
          <w:sz w:val="32"/>
          <w:szCs w:val="32"/>
          <w:lang w:val="en-US" w:eastAsia="zh-CN"/>
        </w:rPr>
        <w:t>本单位内设机构12个：办公室、政工股、财务股、经济运行股、产业政策与法规股（行政审批服务股）、信息化推进股、中小企业发展服务股、科技发展规划与市场成果管理股、高新技术与产业化管理股、农村科技与科普管理股 、安全生产和行业事务管理股、市场监管股。二级机构为科技和工业信息化事务中心以及金矿服务事务中心。</w:t>
      </w:r>
    </w:p>
    <w:p>
      <w:pPr>
        <w:autoSpaceDE w:val="0"/>
        <w:autoSpaceDN w:val="0"/>
        <w:adjustRightInd w:val="0"/>
        <w:spacing w:line="520" w:lineRule="exact"/>
        <w:ind w:firstLine="643" w:firstLineChars="200"/>
        <w:jc w:val="left"/>
        <w:rPr>
          <w:rFonts w:hint="eastAsia" w:ascii="仿宋_GB2312" w:hAnsi="仿宋_GB2312" w:eastAsia="仿宋_GB2312" w:cs="仿宋_GB2312"/>
          <w:b/>
          <w:bCs/>
          <w:i w:val="0"/>
          <w:iCs/>
          <w:color w:val="auto"/>
          <w:kern w:val="0"/>
          <w:sz w:val="32"/>
          <w:szCs w:val="32"/>
          <w:lang w:val="zh-CN"/>
        </w:rPr>
      </w:pPr>
      <w:r>
        <w:rPr>
          <w:rFonts w:hint="eastAsia" w:ascii="仿宋_GB2312" w:hAnsi="仿宋_GB2312" w:eastAsia="仿宋_GB2312" w:cs="仿宋_GB2312"/>
          <w:b/>
          <w:bCs/>
          <w:i w:val="0"/>
          <w:iCs/>
          <w:color w:val="auto"/>
          <w:kern w:val="0"/>
          <w:sz w:val="32"/>
          <w:szCs w:val="32"/>
        </w:rPr>
        <w:t>（二）决算单位构成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640" w:firstLineChars="200"/>
        <w:jc w:val="left"/>
        <w:rPr>
          <w:rFonts w:hint="eastAsia" w:ascii="仿宋_GB2312" w:hAnsi="仿宋_GB2312" w:eastAsia="仿宋_GB2312" w:cs="仿宋_GB2312"/>
          <w:i w:val="0"/>
          <w:iCs/>
          <w:color w:val="auto"/>
          <w:kern w:val="0"/>
          <w:sz w:val="32"/>
          <w:szCs w:val="32"/>
          <w:lang w:val="en-US" w:eastAsia="zh-CN"/>
        </w:rPr>
      </w:pPr>
      <w:r>
        <w:rPr>
          <w:rFonts w:hint="eastAsia" w:ascii="仿宋_GB2312" w:hAnsi="仿宋_GB2312" w:eastAsia="仿宋_GB2312" w:cs="仿宋_GB2312"/>
          <w:i w:val="0"/>
          <w:iCs/>
          <w:color w:val="auto"/>
          <w:kern w:val="0"/>
          <w:sz w:val="32"/>
          <w:szCs w:val="32"/>
          <w:lang w:val="zh-CN"/>
        </w:rPr>
        <w:t>隆回县科技和工业信息化局202</w:t>
      </w:r>
      <w:r>
        <w:rPr>
          <w:rFonts w:hint="eastAsia" w:ascii="仿宋_GB2312" w:hAnsi="仿宋_GB2312" w:eastAsia="仿宋_GB2312" w:cs="仿宋_GB2312"/>
          <w:i w:val="0"/>
          <w:iCs/>
          <w:color w:val="auto"/>
          <w:kern w:val="0"/>
          <w:sz w:val="32"/>
          <w:szCs w:val="32"/>
          <w:lang w:val="en-US" w:eastAsia="zh-CN"/>
        </w:rPr>
        <w:t>2</w:t>
      </w:r>
      <w:r>
        <w:rPr>
          <w:rFonts w:hint="eastAsia" w:ascii="仿宋_GB2312" w:hAnsi="仿宋_GB2312" w:eastAsia="仿宋_GB2312" w:cs="仿宋_GB2312"/>
          <w:i w:val="0"/>
          <w:iCs/>
          <w:color w:val="auto"/>
          <w:kern w:val="0"/>
          <w:sz w:val="32"/>
          <w:szCs w:val="32"/>
          <w:lang w:val="zh-CN"/>
        </w:rPr>
        <w:t>年部门决算汇总公开单位构成包括：</w:t>
      </w:r>
      <w:r>
        <w:rPr>
          <w:rFonts w:hint="eastAsia" w:ascii="仿宋_GB2312" w:hAnsi="仿宋_GB2312" w:eastAsia="仿宋_GB2312" w:cs="仿宋_GB2312"/>
          <w:i w:val="0"/>
          <w:iCs/>
          <w:color w:val="auto"/>
          <w:kern w:val="0"/>
          <w:sz w:val="32"/>
          <w:szCs w:val="32"/>
          <w:lang w:val="en-US" w:eastAsia="zh-CN"/>
        </w:rPr>
        <w:t>隆回县科技和工业信息化局本级、科技和工业信息化事务中心以及金矿服务事务中心。</w:t>
      </w:r>
    </w:p>
    <w:p>
      <w:pPr>
        <w:autoSpaceDE w:val="0"/>
        <w:autoSpaceDN w:val="0"/>
        <w:adjustRightInd w:val="0"/>
        <w:spacing w:line="520" w:lineRule="exact"/>
        <w:ind w:firstLine="640"/>
        <w:jc w:val="left"/>
        <w:rPr>
          <w:rFonts w:hint="eastAsia" w:ascii="仿宋_GB2312" w:hAnsi="仿宋_GB2312" w:eastAsia="仿宋_GB2312" w:cs="仿宋_GB2312"/>
          <w:i/>
          <w:color w:val="FF0000"/>
          <w:kern w:val="0"/>
          <w:sz w:val="32"/>
          <w:szCs w:val="32"/>
          <w:lang w:val="zh-CN"/>
        </w:rPr>
      </w:pPr>
    </w:p>
    <w:p>
      <w:pPr>
        <w:autoSpaceDE w:val="0"/>
        <w:autoSpaceDN w:val="0"/>
        <w:adjustRightInd w:val="0"/>
        <w:spacing w:line="520" w:lineRule="exact"/>
        <w:jc w:val="left"/>
        <w:rPr>
          <w:rFonts w:hint="eastAsia" w:eastAsia="黑体"/>
          <w:sz w:val="44"/>
          <w:szCs w:val="44"/>
          <w:highlight w:val="white"/>
          <w:lang w:val="zh-CN"/>
        </w:rPr>
      </w:pPr>
      <w:r>
        <w:rPr>
          <w:rFonts w:hint="eastAsia" w:ascii="黑体" w:eastAsia="黑体" w:cs="黑体"/>
          <w:sz w:val="32"/>
          <w:szCs w:val="32"/>
          <w:highlight w:val="white"/>
        </w:rPr>
        <w:t>第二部分</w:t>
      </w:r>
      <w:r>
        <w:rPr>
          <w:rFonts w:ascii="黑体" w:eastAsia="黑体" w:cs="黑体"/>
          <w:sz w:val="32"/>
          <w:szCs w:val="32"/>
          <w:highlight w:val="white"/>
        </w:rPr>
        <w:t xml:space="preserve"> </w:t>
      </w:r>
      <w:r>
        <w:rPr>
          <w:rFonts w:hint="eastAsia" w:ascii="黑体" w:eastAsia="黑体" w:cs="黑体"/>
          <w:sz w:val="32"/>
          <w:szCs w:val="32"/>
          <w:highlight w:val="white"/>
          <w:lang w:val="en-US" w:eastAsia="zh-CN"/>
        </w:rPr>
        <w:t xml:space="preserve"> </w:t>
      </w:r>
      <w:r>
        <w:rPr>
          <w:rFonts w:ascii="黑体" w:eastAsia="黑体" w:cs="黑体"/>
          <w:sz w:val="32"/>
          <w:szCs w:val="32"/>
          <w:highlight w:val="white"/>
        </w:rPr>
        <w:t>202</w:t>
      </w:r>
      <w:r>
        <w:rPr>
          <w:rFonts w:hint="eastAsia" w:ascii="黑体" w:eastAsia="黑体" w:cs="黑体"/>
          <w:sz w:val="32"/>
          <w:szCs w:val="32"/>
          <w:highlight w:val="white"/>
          <w:lang w:val="en-US" w:eastAsia="zh-CN"/>
        </w:rPr>
        <w:t>2</w:t>
      </w:r>
      <w:r>
        <w:rPr>
          <w:rFonts w:hint="eastAsia" w:ascii="黑体" w:eastAsia="黑体" w:cs="黑体"/>
          <w:sz w:val="32"/>
          <w:szCs w:val="32"/>
          <w:highlight w:val="white"/>
        </w:rPr>
        <w:t>年度部门决算表（见附表）</w:t>
      </w: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eastAsia="黑体"/>
          <w:sz w:val="44"/>
          <w:szCs w:val="44"/>
          <w:highlight w:val="white"/>
          <w:lang w:val="zh-CN"/>
        </w:rPr>
      </w:pPr>
      <w:r>
        <w:rPr>
          <w:rFonts w:hint="eastAsia" w:ascii="黑体" w:eastAsia="黑体" w:cs="黑体"/>
          <w:sz w:val="32"/>
          <w:szCs w:val="32"/>
          <w:highlight w:val="white"/>
        </w:rPr>
        <w:t>第三部分</w:t>
      </w:r>
      <w:r>
        <w:rPr>
          <w:rFonts w:ascii="黑体" w:eastAsia="黑体" w:cs="黑体"/>
          <w:sz w:val="32"/>
          <w:szCs w:val="32"/>
          <w:highlight w:val="white"/>
        </w:rPr>
        <w:t xml:space="preserve"> </w:t>
      </w:r>
      <w:r>
        <w:rPr>
          <w:rFonts w:hint="eastAsia" w:ascii="黑体" w:eastAsia="黑体" w:cs="黑体"/>
          <w:sz w:val="32"/>
          <w:szCs w:val="32"/>
          <w:highlight w:val="white"/>
          <w:lang w:val="en-US" w:eastAsia="zh-CN"/>
        </w:rPr>
        <w:t xml:space="preserve"> </w:t>
      </w:r>
      <w:r>
        <w:rPr>
          <w:rFonts w:ascii="黑体" w:eastAsia="黑体" w:cs="黑体"/>
          <w:sz w:val="32"/>
          <w:szCs w:val="32"/>
          <w:highlight w:val="white"/>
        </w:rPr>
        <w:t>202</w:t>
      </w:r>
      <w:r>
        <w:rPr>
          <w:rFonts w:hint="eastAsia" w:ascii="黑体" w:eastAsia="黑体" w:cs="黑体"/>
          <w:sz w:val="32"/>
          <w:szCs w:val="32"/>
          <w:highlight w:val="white"/>
          <w:lang w:val="en-US" w:eastAsia="zh-CN"/>
        </w:rPr>
        <w:t>2</w:t>
      </w:r>
      <w:r>
        <w:rPr>
          <w:rFonts w:hint="eastAsia" w:ascii="黑体" w:eastAsia="黑体" w:cs="黑体"/>
          <w:sz w:val="32"/>
          <w:szCs w:val="32"/>
          <w:highlight w:val="white"/>
        </w:rPr>
        <w:t>年度部门决算情况说明</w:t>
      </w:r>
    </w:p>
    <w:p>
      <w:pPr>
        <w:pStyle w:val="7"/>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黑体" w:hAnsi="黑体" w:eastAsia="黑体" w:cs="黑体"/>
          <w:b w:val="0"/>
          <w:bCs/>
          <w:sz w:val="32"/>
          <w:szCs w:val="32"/>
        </w:rPr>
      </w:pPr>
      <w:r>
        <w:rPr>
          <w:rFonts w:hint="eastAsia" w:ascii="仿宋_GB2312" w:hAnsi="Times New Roman" w:eastAsia="仿宋_GB2312" w:cs="黑体"/>
          <w:b/>
          <w:sz w:val="32"/>
          <w:szCs w:val="32"/>
          <w:highlight w:val="white"/>
          <w:lang w:val="zh-CN" w:eastAsia="zh-CN"/>
        </w:rPr>
        <w:t xml:space="preserve"> </w:t>
      </w:r>
      <w:r>
        <w:rPr>
          <w:rFonts w:hint="eastAsia" w:ascii="黑体" w:hAnsi="黑体" w:eastAsia="黑体" w:cs="黑体"/>
          <w:b w:val="0"/>
          <w:bCs/>
          <w:sz w:val="32"/>
          <w:szCs w:val="32"/>
        </w:rPr>
        <w:t>一、收入支出决算总体情况说明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eastAsia="zh-CN"/>
        </w:rPr>
        <w:t>隆回县科技和工业信息化局隆回县科技和工业信息化局</w:t>
      </w:r>
      <w:r>
        <w:rPr>
          <w:rFonts w:hint="eastAsia" w:ascii="Times New Roman" w:hAnsi="Times New Roman" w:eastAsia="仿宋_GB2312"/>
          <w:sz w:val="32"/>
          <w:szCs w:val="32"/>
          <w:lang w:val="en-US" w:eastAsia="zh-CN"/>
        </w:rPr>
        <w:t>2719.53</w:t>
      </w:r>
      <w:r>
        <w:rPr>
          <w:rFonts w:hint="eastAsia" w:ascii="Times New Roman" w:hAnsi="Times New Roman" w:eastAsia="仿宋_GB2312"/>
          <w:sz w:val="32"/>
          <w:szCs w:val="32"/>
        </w:rPr>
        <w:t>万元。与上年相比，增加（减少）</w:t>
      </w:r>
      <w:r>
        <w:rPr>
          <w:rFonts w:hint="eastAsia" w:ascii="Times New Roman" w:hAnsi="Times New Roman" w:eastAsia="仿宋_GB2312"/>
          <w:sz w:val="32"/>
          <w:szCs w:val="32"/>
          <w:lang w:val="en-US" w:eastAsia="zh-CN"/>
        </w:rPr>
        <w:t>90.8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3.5</w:t>
      </w:r>
      <w:r>
        <w:rPr>
          <w:rFonts w:hint="eastAsia" w:ascii="Times New Roman" w:hAnsi="Times New Roman" w:eastAsia="仿宋_GB2312"/>
          <w:sz w:val="32"/>
          <w:szCs w:val="32"/>
        </w:rPr>
        <w:t>%，主</w:t>
      </w:r>
      <w:r>
        <w:rPr>
          <w:rFonts w:hint="eastAsia" w:ascii="Times New Roman" w:hAnsi="Times New Roman" w:eastAsia="仿宋_GB2312"/>
          <w:sz w:val="32"/>
          <w:szCs w:val="32"/>
          <w:lang w:val="en-US" w:eastAsia="zh-CN"/>
        </w:rPr>
        <w:t>要是上级专项资金支出增加了，特别是防疫物资专项增加了。</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2179.53</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2179.53</w:t>
      </w:r>
      <w:r>
        <w:rPr>
          <w:rFonts w:hint="eastAsia" w:ascii="Times New Roman" w:hAnsi="Times New Roman" w:eastAsia="仿宋_GB2312"/>
          <w:sz w:val="32"/>
          <w:szCs w:val="32"/>
        </w:rPr>
        <w:t>万元，占</w:t>
      </w:r>
      <w:r>
        <w:rPr>
          <w:rFonts w:hint="eastAsia" w:ascii="Times New Roman" w:hAnsi="Times New Roman" w:eastAsia="仿宋_GB2312"/>
          <w:sz w:val="32"/>
          <w:szCs w:val="32"/>
          <w:lang w:eastAsia="zh-CN"/>
        </w:rPr>
        <w:t>隆回县科技和工业信息化局</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val="en-US" w:eastAsia="zh-CN"/>
        </w:rPr>
        <w:t>支出合计2719.53万元，其中：基本支出803.57万元，占29.5%；项目支出1915.95万元，占70.5%；上缴上级支出0万元，占0%；经营支出0万元，占0%；对附属单位补助支出0万元，占0%。</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eastAsia="zh-CN"/>
        </w:rPr>
        <w:t>2719.5</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比上年增加了90.8万元，增加3.5%，主要是上级专项资金支出增加了特别是防疫物资专项增加了</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财</w:t>
      </w:r>
      <w:bookmarkStart w:id="0" w:name="_GoBack"/>
      <w:bookmarkEnd w:id="0"/>
      <w:r>
        <w:rPr>
          <w:rFonts w:hint="eastAsia" w:ascii="Times New Roman" w:hAnsi="Times New Roman" w:eastAsia="仿宋_GB2312"/>
          <w:sz w:val="32"/>
          <w:szCs w:val="32"/>
        </w:rPr>
        <w:t>政拨款支出</w:t>
      </w:r>
      <w:r>
        <w:rPr>
          <w:rFonts w:hint="eastAsia" w:ascii="Times New Roman" w:hAnsi="Times New Roman" w:eastAsia="仿宋_GB2312"/>
          <w:sz w:val="32"/>
          <w:szCs w:val="32"/>
          <w:lang w:eastAsia="zh-CN"/>
        </w:rPr>
        <w:t>2719.5</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万元，占本年支出合计的100%，与202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年相比，财政拨款支出</w:t>
      </w:r>
      <w:r>
        <w:rPr>
          <w:rFonts w:hint="eastAsia" w:ascii="Times New Roman" w:hAnsi="Times New Roman" w:eastAsia="仿宋_GB2312"/>
          <w:sz w:val="32"/>
          <w:szCs w:val="32"/>
          <w:lang w:eastAsia="zh-CN"/>
        </w:rPr>
        <w:t>比上年增加了90.8万元，增加3.5%，主要是上级专项资金支出增加了特别是防疫物资专项增加了</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eastAsia="zh-CN"/>
        </w:rPr>
        <w:t>2719.5</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万元，主要用于以下方面：一般公共服务支出1</w:t>
      </w:r>
      <w:r>
        <w:rPr>
          <w:rFonts w:hint="eastAsia" w:ascii="Times New Roman" w:hAnsi="Times New Roman" w:eastAsia="仿宋_GB2312"/>
          <w:sz w:val="32"/>
          <w:szCs w:val="32"/>
          <w:lang w:val="en-US" w:eastAsia="zh-CN"/>
        </w:rPr>
        <w:t>38.25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.1%；科学技术支出</w:t>
      </w:r>
      <w:r>
        <w:rPr>
          <w:rFonts w:hint="eastAsia" w:ascii="Times New Roman" w:hAnsi="Times New Roman" w:eastAsia="仿宋_GB2312"/>
          <w:sz w:val="32"/>
          <w:szCs w:val="32"/>
          <w:lang w:val="en-US" w:eastAsia="zh-CN"/>
        </w:rPr>
        <w:t>844.89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31.07</w:t>
      </w:r>
      <w:r>
        <w:rPr>
          <w:rFonts w:hint="eastAsia" w:ascii="Times New Roman" w:hAnsi="Times New Roman" w:eastAsia="仿宋_GB2312"/>
          <w:sz w:val="32"/>
          <w:szCs w:val="32"/>
        </w:rPr>
        <w:t>%；社会保障和就业支出</w:t>
      </w:r>
      <w:r>
        <w:rPr>
          <w:rFonts w:hint="eastAsia" w:ascii="Times New Roman" w:hAnsi="Times New Roman" w:eastAsia="仿宋_GB2312"/>
          <w:sz w:val="32"/>
          <w:szCs w:val="32"/>
          <w:lang w:val="en-US" w:eastAsia="zh-CN"/>
        </w:rPr>
        <w:t>16</w:t>
      </w:r>
      <w:r>
        <w:rPr>
          <w:rFonts w:hint="eastAsia" w:ascii="Times New Roman" w:hAnsi="Times New Roman" w:eastAsia="仿宋_GB2312"/>
          <w:sz w:val="32"/>
          <w:szCs w:val="32"/>
        </w:rPr>
        <w:t>.65万元，占</w:t>
      </w:r>
      <w:r>
        <w:rPr>
          <w:rFonts w:hint="eastAsia" w:ascii="Times New Roman" w:hAnsi="Times New Roman" w:eastAsia="仿宋_GB2312"/>
          <w:sz w:val="32"/>
          <w:szCs w:val="32"/>
          <w:lang w:val="en-US" w:eastAsia="zh-CN"/>
        </w:rPr>
        <w:t>0.61</w:t>
      </w:r>
      <w:r>
        <w:rPr>
          <w:rFonts w:hint="eastAsia" w:ascii="Times New Roman" w:hAnsi="Times New Roman" w:eastAsia="仿宋_GB2312"/>
          <w:sz w:val="32"/>
          <w:szCs w:val="32"/>
        </w:rPr>
        <w:t>%；卫生健康支出</w:t>
      </w:r>
      <w:r>
        <w:rPr>
          <w:rFonts w:hint="eastAsia" w:ascii="Times New Roman" w:hAnsi="Times New Roman" w:eastAsia="仿宋_GB2312"/>
          <w:sz w:val="32"/>
          <w:szCs w:val="32"/>
          <w:lang w:val="en-US" w:eastAsia="zh-CN"/>
        </w:rPr>
        <w:t>810.35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29.79</w:t>
      </w:r>
      <w:r>
        <w:rPr>
          <w:rFonts w:hint="eastAsia" w:ascii="Times New Roman" w:hAnsi="Times New Roman" w:eastAsia="仿宋_GB2312"/>
          <w:sz w:val="32"/>
          <w:szCs w:val="32"/>
        </w:rPr>
        <w:t>%；农林水支出</w:t>
      </w:r>
      <w:r>
        <w:rPr>
          <w:rFonts w:hint="eastAsia" w:ascii="Times New Roman" w:hAnsi="Times New Roman" w:eastAsia="仿宋_GB2312"/>
          <w:sz w:val="32"/>
          <w:szCs w:val="32"/>
          <w:lang w:val="en-US" w:eastAsia="zh-CN"/>
        </w:rPr>
        <w:t>7.98</w:t>
      </w:r>
      <w:r>
        <w:rPr>
          <w:rFonts w:hint="eastAsia" w:ascii="Times New Roman" w:hAnsi="Times New Roman" w:eastAsia="仿宋_GB2312"/>
          <w:sz w:val="32"/>
          <w:szCs w:val="32"/>
        </w:rPr>
        <w:t>万元，占0.</w:t>
      </w:r>
      <w:r>
        <w:rPr>
          <w:rFonts w:hint="eastAsia" w:ascii="Times New Roman" w:hAnsi="Times New Roman" w:eastAsia="仿宋_GB2312"/>
          <w:sz w:val="32"/>
          <w:szCs w:val="32"/>
          <w:lang w:val="en-US" w:eastAsia="zh-CN"/>
        </w:rPr>
        <w:t>29</w:t>
      </w:r>
      <w:r>
        <w:rPr>
          <w:rFonts w:hint="eastAsia" w:ascii="Times New Roman" w:hAnsi="Times New Roman" w:eastAsia="仿宋_GB2312"/>
          <w:sz w:val="32"/>
          <w:szCs w:val="32"/>
        </w:rPr>
        <w:t>%；资源勘探信息行政运行支出</w:t>
      </w:r>
      <w:r>
        <w:rPr>
          <w:rFonts w:hint="eastAsia" w:ascii="Times New Roman" w:hAnsi="Times New Roman" w:eastAsia="仿宋_GB2312"/>
          <w:sz w:val="32"/>
          <w:szCs w:val="32"/>
          <w:lang w:val="en-US" w:eastAsia="zh-CN"/>
        </w:rPr>
        <w:t>901.40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33.15</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320" w:firstLineChars="1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Times New Roman" w:hAnsi="Times New Roman" w:eastAsia="仿宋_GB2312" w:cs="宋体"/>
          <w:kern w:val="0"/>
          <w:sz w:val="32"/>
          <w:szCs w:val="32"/>
          <w:lang w:val="en-US" w:eastAsia="zh-CN" w:bidi="ar-SA"/>
        </w:rPr>
        <w:t>2022年度财政拨款支出年初预算数为1541万元，调整预算数2719.53万元，支出决算数为2719.53万元，其中基本支出803.57万元，专项支出1915.95万元，完成年初预算的176%，完成调整预算数的100%，其中：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1、一般公共服务支出（类）统计信息事务（款）其他统计信息事务支出（项）。年初预算为0万元，调整预算数138.25万元，支出决算为138.25万元，完成调整预算的100%，决算数等于调整预算数，主要原因是：此款项由上级财政年中追加拨款，年初无法预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2、科学技术支出（类）科学技术管理事务（款）行政运行（项）。年初预算为0万元，调整预算数20.48万元，支出决算为20.48万元，完成调整预算的100%，决算数等于调整预算数，原因是：此款项由上级财政年中追加拨款，年初无法预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3、科学技术支出（类）科学技术管理事务（款）其他科学技术管理事务支出（项）。年初预算为0万元，调整预算数228万元，支出决算为228万元，完成调整预算的100%，决算数等于调整预算数，主要原因是：此款项由县级财政年中追加拨款，年初无法预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4、科学技术支出（类）技术研究与开发（款）科技成果转化与扩散（项）。年初预算为0万元，调整预算数10万元，支出决算为10万元，完成调整预算的100%，决算数等于调整预算数，主要原因是：此款项由上级财政年中追加拨款，年初无法预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5、科学技术支出（类）技术研究与开发（款）其他技术研究与开发支出（项）。年初预算为0万元，支出决算为60万元，完成年初预算的100%，决算数等于年初预算数。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6、科学技术支出（类）科技条件与服务支出（款）其他科技条件与服务支出（项）。年初预算为0万元，调整预算数90万元，支出决算为90万元，完成调整预算的100%，此款项由上级财政年中追加拨款，年初无法预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7、科学技术支出（类）科学技术普及（款）其他科学技术普及支出（项）。年初预算为0万元，调整预算数10万元，支出决算为10万元，完成年调整预算数的100%，决算数等于调整预算数的主要原因是：此款项有部分由上级财政年中追加拨款，年初无法预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8、科学技术支出（类）其他科学技术支出（款）其他科学技术支出（项）。年初预算为400万元，调整预算数426.41万元，支出决算为426.41万元，完成调整预算数的100%，决算数大于年初预算数的主要原因是：此款项有部分由县级财政年中追加拨款，年初无法预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9、社会保障和就业支出（类）抚恤（款）死亡抚恤（项）。年初预算为0万元，调整预算数16.65万元，支出决算为16.65万元，完成调整预算的100%，决算数等于调整预算数。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10、卫生健康支出（类）公共卫生支出（款）突发公共卫生事件应急处理支出（项）。年初预算为0万元，调整预算数792.92万元，支出决算为792.92万元，完成调整预算的100%，决算数等于调整预算数，主要原因是：突发疫情财政年中追加预算，年初无法预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11、卫生健康支出（类）行政事业单位医疗（款）  公务员医疗补助（项）。年初预算为0万元，调整预算数17.4万元，支出决算为17.4万元，完成调整预算数的100%。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12、农林水支出（类）扶贫（款）其他扶贫支出（项）。年初预算为0万元，调整预算数7.99万元，支出决算为7.99万元，完成调整预算数的100%。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13、资源勘探信息等支出（类）制造业（款）行政运行（项）。年初预算为1541.03万元，支出决算为657.4万元，完成年初预算的42%，完成调整预算数的100%，财政进行了科目调整。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14、资源勘探信息等支出（类）制造业（款）其他制造业支出（项）。年初预算为0万元，支出决算为224万元，完成调整预算数的100%，决算数大于年初预算数的主要原因是：县财政年中追加了对重点企业的支帮促支出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15、资源勘探信息等支出（类）支持中小企业发展与管理（款）中小企业发展专项（项）。年初预算为0万元，调整预算数20万元，支出决算为20万元，完成调整预算数的100%，决算数大于年初预算数的主要原因是：此款项由上级财政年中追加拨款，年初无法预计。</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2022年度财政拨款基本支出2022年度财政拨款基本支出803.58万元，其中: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人员经费713.6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公用经费89.98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color w:val="FF0000"/>
          <w:sz w:val="32"/>
          <w:szCs w:val="32"/>
        </w:rPr>
      </w:pPr>
      <w:r>
        <w:rPr>
          <w:rFonts w:hint="eastAsia" w:ascii="黑体" w:hAnsi="黑体" w:eastAsia="黑体" w:cs="黑体"/>
          <w:b w:val="0"/>
          <w:bCs/>
          <w:sz w:val="32"/>
          <w:szCs w:val="32"/>
        </w:rPr>
        <w:t>七、财政拨款三公经费支出决算情况说明</w:t>
      </w:r>
    </w:p>
    <w:p>
      <w:pPr>
        <w:pStyle w:val="7"/>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%，其中：</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公务接待费支出预算为5万元，支出决算为2.</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万元，完成预算的5</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%，决算数小于年初预算数的主要原因是厉行节约减少了招待支出，与上年相比减少0.</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%,减少的主要原因是是厉行节约减少了招待支出。</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公务用车购置费支出预算为0万元，支出决算为0万元，完成预算的0%，与上年相比减少0万元，主要原因是我单位无公车。</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主要原因是我单位无公车。</w:t>
      </w:r>
    </w:p>
    <w:p>
      <w:pPr>
        <w:pStyle w:val="7"/>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年度“三公”经费财政拨款支出决算中，公务接待费支出决算2.8万元，占100%,因公出国（境）费支出决算0万元，占0%,公务用车购置费及运行维护费支出决算0万元，占0%。其中：</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1、因公出国（境）费支出决算为0万元，全年安排因公出国（境）团组0个，累计0人次,开支内容无。</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2、公务接待费支出决算为2.</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8个、来宾2</w:t>
      </w:r>
      <w:r>
        <w:rPr>
          <w:rFonts w:hint="eastAsia" w:ascii="Times New Roman" w:hAnsi="Times New Roman" w:eastAsia="仿宋_GB2312"/>
          <w:sz w:val="32"/>
          <w:szCs w:val="32"/>
          <w:lang w:val="en-US" w:eastAsia="zh-CN"/>
        </w:rPr>
        <w:t>87</w:t>
      </w:r>
      <w:r>
        <w:rPr>
          <w:rFonts w:hint="eastAsia" w:ascii="Times New Roman" w:hAnsi="Times New Roman" w:eastAsia="仿宋_GB2312"/>
          <w:sz w:val="32"/>
          <w:szCs w:val="32"/>
        </w:rPr>
        <w:t>人次，主要是工业招商活动、上级单位检查及兄弟县市来单位交流调研发生的接待支出。</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3、公务用车购置费及运行维护费支出决算为0万元，其中：公务用车购置费0万元，更新公务用车0辆。公务用车运行维护费0万元，截止</w:t>
      </w: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年12月31日，我单位开支财政拨款的公务用车保有量为0辆。</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FF0000"/>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本单位无</w:t>
      </w:r>
      <w:r>
        <w:rPr>
          <w:rFonts w:hint="eastAsia" w:ascii="Times New Roman" w:hAnsi="Times New Roman" w:eastAsia="仿宋_GB2312"/>
          <w:sz w:val="32"/>
          <w:szCs w:val="32"/>
        </w:rPr>
        <w:t>政府性基金预算财政拨款收入</w:t>
      </w:r>
    </w:p>
    <w:p>
      <w:pPr>
        <w:pStyle w:val="7"/>
        <w:keepNext w:val="0"/>
        <w:keepLines w:val="0"/>
        <w:pageBreakBefore w:val="0"/>
        <w:widowControl w:val="0"/>
        <w:kinsoku/>
        <w:wordWrap/>
        <w:overflowPunct/>
        <w:topLinePunct w:val="0"/>
        <w:bidi w:val="0"/>
        <w:snapToGrid/>
        <w:spacing w:line="60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本部门2022 年度机关运行经费支出89.98万元，比年上年减少了124万元。主要原因是上年度装修了办公室本年度厉行节约压减开支。</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微软雅黑" w:hAnsi="微软雅黑" w:eastAsia="微软雅黑" w:cs="微软雅黑"/>
          <w:i w:val="0"/>
          <w:iCs w:val="0"/>
          <w:caps w:val="0"/>
          <w:color w:val="232323"/>
          <w:spacing w:val="0"/>
          <w:sz w:val="21"/>
          <w:szCs w:val="21"/>
        </w:rPr>
      </w:pPr>
      <w:r>
        <w:rPr>
          <w:rFonts w:hint="eastAsia" w:eastAsia="宋体" w:cs="宋体"/>
          <w:i w:val="0"/>
          <w:iCs w:val="0"/>
          <w:caps w:val="0"/>
          <w:color w:val="000000"/>
          <w:spacing w:val="0"/>
          <w:sz w:val="32"/>
          <w:szCs w:val="32"/>
          <w:shd w:val="clear" w:color="auto" w:fill="FFFFFF"/>
          <w:lang w:eastAsia="zh-CN"/>
        </w:rPr>
        <w:t>2022</w:t>
      </w:r>
      <w:r>
        <w:rPr>
          <w:rFonts w:hint="eastAsia" w:ascii="宋体" w:hAnsi="宋体" w:eastAsia="宋体" w:cs="宋体"/>
          <w:i w:val="0"/>
          <w:iCs w:val="0"/>
          <w:caps w:val="0"/>
          <w:color w:val="000000"/>
          <w:spacing w:val="0"/>
          <w:sz w:val="32"/>
          <w:szCs w:val="32"/>
          <w:shd w:val="clear" w:color="auto" w:fill="FFFFFF"/>
        </w:rPr>
        <w:t>年本部门开支会议费</w:t>
      </w:r>
      <w:r>
        <w:rPr>
          <w:rFonts w:hint="eastAsia"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万元，开支培训费</w:t>
      </w:r>
      <w:r>
        <w:rPr>
          <w:rFonts w:hint="eastAsia"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万元。</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年度政府采购本部门</w:t>
      </w: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万元，占政府采购支出总额的100%，其中：授予小微企业合同金额</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万元，占政府采购支出总额的100%。</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年12月31日，本单位共有车辆截至</w:t>
      </w: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7"/>
        <w:keepNext w:val="0"/>
        <w:keepLines w:val="0"/>
        <w:pageBreakBefore w:val="0"/>
        <w:widowControl w:val="0"/>
        <w:kinsoku/>
        <w:wordWrap/>
        <w:overflowPunct/>
        <w:topLinePunct w:val="0"/>
        <w:bidi w:val="0"/>
        <w:snapToGrid/>
        <w:spacing w:line="60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的来看，我局部门整体支出绩效较好，资金的使用在我县工业、科技、信息化行业发展建设中起到了积极的推动和导向作用，取得了巨大成绩。从促进经济转型来看，工业发展资金、科技专项资金有力的推动了我县“新型工业化”、科技强县的进程，创新创业环境日益改善，培育孵化市场主体功能不断加强，自主创新能力不断提升。从推动产业发展来看，三大支柱产业（食品、建材、轻工）的产业链日益完善，逐步形成了产业集群，产业能级不断提升。各方面的资料充分表明，工业发展专项资金、科技专项资金在扶持我县工业企业发展、企业科技创新和推动“新型工业化”发展等方面贡献巨大，作用不可替代。</w:t>
      </w:r>
    </w:p>
    <w:p>
      <w:pPr>
        <w:pStyle w:val="7"/>
        <w:keepNext w:val="0"/>
        <w:keepLines w:val="0"/>
        <w:pageBreakBefore w:val="0"/>
        <w:widowControl w:val="0"/>
        <w:kinsoku/>
        <w:wordWrap/>
        <w:overflowPunct/>
        <w:topLinePunct w:val="0"/>
        <w:bidi w:val="0"/>
        <w:snapToGrid/>
        <w:spacing w:line="60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一是资金的使用不平衡，支出主要集中在年头和年尾。这是由历史原因及受传统思想影响，干部的津补贴、奖金等都在春节前后发放，本年度奖金往往要到下一年度才能发放。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专项资金的拨付使用滞后。专项资金的相关文件一般都得经过县人大审议，往往要到每年的7、8月份才能出台，中间的拨付的手续又很复杂，从下指标、报计划到申请支出耗时耗力，最终导致到年底了专项资金的拨付仍未到位。</w:t>
      </w:r>
    </w:p>
    <w:p>
      <w:pPr>
        <w:pStyle w:val="7"/>
        <w:ind w:firstLine="640" w:firstLineChars="200"/>
        <w:rPr>
          <w:rFonts w:hint="eastAsia" w:ascii="仿宋_GB2312" w:hAnsi="仿宋_GB2312" w:eastAsia="仿宋_GB2312" w:cs="仿宋_GB2312"/>
          <w:color w:val="FF0000"/>
          <w:kern w:val="2"/>
          <w:sz w:val="32"/>
          <w:szCs w:val="32"/>
          <w:lang w:val="en-US" w:eastAsia="zh-CN" w:bidi="ar-SA"/>
        </w:rPr>
      </w:pPr>
    </w:p>
    <w:p>
      <w:pPr>
        <w:autoSpaceDE w:val="0"/>
        <w:autoSpaceDN w:val="0"/>
        <w:adjustRightInd w:val="0"/>
        <w:spacing w:line="520" w:lineRule="exact"/>
        <w:jc w:val="left"/>
        <w:rPr>
          <w:rFonts w:hint="eastAsia" w:ascii="仿宋_GB2312" w:eastAsia="仿宋_GB2312" w:cs="黑体"/>
          <w:b/>
          <w:sz w:val="32"/>
          <w:szCs w:val="32"/>
          <w:highlight w:val="white"/>
          <w:lang w:val="zh-CN"/>
        </w:rPr>
      </w:pPr>
      <w:r>
        <w:rPr>
          <w:rFonts w:hint="eastAsia" w:ascii="仿宋_GB2312" w:eastAsia="仿宋_GB2312" w:cs="黑体"/>
          <w:b/>
          <w:sz w:val="32"/>
          <w:szCs w:val="32"/>
          <w:highlight w:val="white"/>
          <w:lang w:val="zh-CN"/>
        </w:rPr>
        <w:t>第四部分</w:t>
      </w:r>
      <w:r>
        <w:rPr>
          <w:rFonts w:ascii="仿宋_GB2312" w:eastAsia="仿宋_GB2312" w:cs="黑体"/>
          <w:b/>
          <w:sz w:val="32"/>
          <w:szCs w:val="32"/>
          <w:highlight w:val="white"/>
          <w:lang w:val="zh-CN"/>
        </w:rPr>
        <w:t xml:space="preserve"> </w:t>
      </w:r>
      <w:r>
        <w:rPr>
          <w:rFonts w:hint="eastAsia" w:ascii="仿宋_GB2312" w:eastAsia="仿宋_GB2312" w:cs="黑体"/>
          <w:b/>
          <w:sz w:val="32"/>
          <w:szCs w:val="32"/>
          <w:highlight w:val="white"/>
          <w:lang w:val="zh-CN"/>
        </w:rPr>
        <w:t>名词解释</w:t>
      </w:r>
    </w:p>
    <w:p>
      <w:pPr>
        <w:pStyle w:val="7"/>
        <w:rPr>
          <w:rFonts w:hint="eastAsia" w:ascii="仿宋_GB2312" w:hAnsi="仿宋_GB2312" w:eastAsia="仿宋_GB2312" w:cs="仿宋_GB2312"/>
          <w:color w:val="auto"/>
          <w:kern w:val="2"/>
          <w:sz w:val="32"/>
          <w:szCs w:val="32"/>
          <w:lang w:val="en-US" w:eastAsia="zh-CN" w:bidi="ar-SA"/>
        </w:rPr>
      </w:pPr>
      <w:r>
        <w:rPr>
          <w:rFonts w:hint="eastAsia" w:ascii="宋体" w:hAnsi="Times New Roman" w:eastAsia="宋体" w:cs="宋体"/>
          <w:sz w:val="32"/>
          <w:szCs w:val="32"/>
        </w:rPr>
        <w:t xml:space="preserve">  </w:t>
      </w:r>
      <w:r>
        <w:rPr>
          <w:rFonts w:hint="eastAsia" w:ascii="宋体" w:hAnsi="Times New Roman" w:eastAsia="宋体" w:cs="宋体"/>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财政拨款收入：指本级财政当年拨付的资金。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事业收入：指事业单位开展专业业务活动及辅助活动所取得的收入。</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其他收入：指除上述“财政拨款收入”、“上级补助收入”、“事业收入”、“经营收入”、“附属单位上缴收入”等以外的收入。</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上年结转和结余：指以前年度尚未完成、结转到本年按有关规定继续使用的资金。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年末结转和结余资金：指本年度或以前年度预算安排、因客观条件发生变化无法按原计划实施，需要延迟到以后年度按有关规定继续使用的资金。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卫生健康支出（类）：是指用于医疗卫生与计划生育方面的支出，包括保障机构正常运转、完成日常和特定的工作任务或事业发展目标的支出。</w:t>
      </w:r>
    </w:p>
    <w:p>
      <w:pPr>
        <w:pStyle w:val="7"/>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城乡社区支出（类）：是指用于城乡社区事务支出，包括保障机构正常运转、完成日常和特定的工作任务或事业发展目标的支出。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其他支出（类）：是指用于反映除上述项目以外其他不能划分到具体功能科目中的支出项目，包括保障机构正常运转、完成日常和特定的工作任务或事业发展目标的支出。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基本支出：指保障机构正常运转、完成支日常工作任务而发生的人员支出和公用支出。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项目支出：指在基本支出之外为完成特定行政任务和事业发展目标所发生的支出。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7"/>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工资福利支出：反映单位开支的在职职工和编制外长期聘用人员的各类劳动报酬，以及为上述人员缴纳的各项社会保险费等。</w:t>
      </w:r>
    </w:p>
    <w:p>
      <w:pPr>
        <w:pStyle w:val="7"/>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津贴补贴：反映经国家批准建立的机关事业单位艰苦边远地区津贴、机关工作人员地区附加津贴、机关工作人员岗位津贴、事业单位工作人员特殊岗位津贴补贴等。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奖金：反映机关工作人员年终一次性奖金。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绩效工资：反映事业单位工作人员的绩效工资。</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机关事业单位基本养老保险缴费：反映机关事业单位缴纳的基本养老保险费。由单位代扣的工作人员基本养老保险缴费，不在此科目反映。</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职工基本医疗保险缴费：反映单位为职工缴纳的基本医疗保险费。</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其他社会保障缴费：反映单位为职工缴纳的基本医疗、失业、工伤、生育等社会保险费，残疾人就业保障金，军队（含武警）为军人缴纳的伤亡、退役医疗等社会保险费。</w:t>
      </w:r>
    </w:p>
    <w:p>
      <w:pPr>
        <w:pStyle w:val="7"/>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住房公积金：反映行政事业单位按人力资源和社会保障部、财政部规定的基本工资和津贴补贴以及规定比例为职工缴纳的住房公积金。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医疗费：反映未参加医疗保险单位的医疗经费和单位按规定为职工支出的其他医疗费用。</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商品和服务支出：反映单位购买商品和服务的支出（不包括用于购置固定资产的支出、战略性和应急储备支出）。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办公费：反映单位购买按财务会计制度规定不符合固定资产确认标准的日常办公用品、书报杂志等支出。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水费：反映单位支付的水费、污水处理费等支出。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邮电费：反映单位开支的信函、包裹、货物等物品的邮寄费及电话费、电报费、传真费、网络通讯费等。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差旅费：反映单位工作人员出差发生的城市间交通费、住宿费、伙食补贴费和市内交通费。</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维修(护)费：反映单位日常开支的固定资产（不包括车船等交通工具）修理和维护费用，网络信息系统运行与维护费用，以及按规定提取的修购基金。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培训费：反映除因公出国（境）培训费以外的各类培训支出。</w:t>
      </w:r>
    </w:p>
    <w:p>
      <w:pPr>
        <w:pStyle w:val="7"/>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劳务费：反映支付给单位和个人的劳务费用，如临时聘用人员、钟点工工资，稿费、翻译费，评审费等。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工会经费：反映单位按规定提取的工会经费。</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福利费：反映单位按规定提取的福利费。</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公务用车运行维护费：反映单位按规定保留的公务用车燃料费、维修费、过桥过路费、保险费、安全奖励费用等支出。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其他交通费用：反映单位除公务用车运行维护费以外的其他交通费用。如公务交通补贴，租车费用、出租车费用，飞机、船舶等的燃料费、维修费、保险费等。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其他商品和服务支出：反映上述科目未包括的日常公用支出。如行政赔偿费和诉讼费、国内组织的会员费、来访费、广告宣传、其他劳务费及离休人员特需费、公用经费等。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对个人和家庭的补助：反映政府用于对个人和家庭的补助支出。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pPr>
      <w:r>
        <w:rPr>
          <w:rFonts w:hint="eastAsia" w:ascii="仿宋_GB2312" w:hAnsi="仿宋_GB2312" w:eastAsia="仿宋_GB2312" w:cs="仿宋_GB2312"/>
          <w:color w:val="auto"/>
          <w:kern w:val="2"/>
          <w:sz w:val="32"/>
          <w:szCs w:val="32"/>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NTdmNTEzY2M4NWVkMTEwMTIxM2NiOTIyZDFhODEifQ=="/>
  </w:docVars>
  <w:rsids>
    <w:rsidRoot w:val="00000000"/>
    <w:rsid w:val="033F69B5"/>
    <w:rsid w:val="0D831E8B"/>
    <w:rsid w:val="123705AE"/>
    <w:rsid w:val="2D347D65"/>
    <w:rsid w:val="2F5A4103"/>
    <w:rsid w:val="2FCE4B7C"/>
    <w:rsid w:val="30B869A9"/>
    <w:rsid w:val="3D8355D3"/>
    <w:rsid w:val="3FA46F46"/>
    <w:rsid w:val="61F91AA9"/>
    <w:rsid w:val="6A235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2023-08-30T03:15:00Z</dcterms:created>
  <dc:creator>Administrator.pc-201712171005</dc:creator>
  <cp:lastModifiedBy>牛奋男</cp:lastModifiedBy>
  <dcterms:modified xsi:type="dcterms:W3CDTF">2023-09-03T07:05:37Z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168FCB9E0073410DAD2C44793D6E963F_13</vt:lpwstr>
  </property>
</Properties>
</file>