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  <w:lang w:val="en-US" w:eastAsia="zh-CN"/>
        </w:rPr>
        <w:t>2023年度隆回县科工信局</w:t>
      </w: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  <w:t>部门整体支出</w:t>
      </w:r>
    </w:p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  <w:t>绩效自评报告</w:t>
      </w: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</w:rPr>
      </w:pPr>
    </w:p>
    <w:p>
      <w:pPr>
        <w:ind w:firstLine="420" w:firstLineChars="20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（一）单位内设机构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编制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人员、职能职责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１、</w:t>
      </w:r>
      <w:r>
        <w:rPr>
          <w:rFonts w:hint="eastAsia" w:ascii="仿宋" w:hAnsi="仿宋" w:eastAsia="仿宋" w:cs="仿宋"/>
          <w:sz w:val="32"/>
          <w:szCs w:val="32"/>
        </w:rPr>
        <w:t>本单位内设机构12个：办公室、政工股、财务股、经济运行股、产业政策与法规股（行政审批服务股）、信息化推进股、中小企业发展服务股、科技发展规划与市场成果管理股、高新技术与产业化管理股、农村科技与科普管理股 、安全生产和行业事务管理股、市场监管股。二级机构为科技和工业信息化事务中心以及金矿服务事务中心。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２、</w:t>
      </w:r>
      <w:r>
        <w:rPr>
          <w:rFonts w:hint="eastAsia" w:ascii="仿宋" w:hAnsi="仿宋" w:eastAsia="仿宋" w:cs="仿宋"/>
          <w:sz w:val="32"/>
          <w:szCs w:val="32"/>
        </w:rPr>
        <w:t>单位编制数为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 w:cs="仿宋"/>
          <w:sz w:val="32"/>
          <w:szCs w:val="32"/>
        </w:rPr>
        <w:t>人，其中在职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；退休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３、单位主要职能职责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综合管理全县工业、科技、信息化工作，指导、协调和服务各种经济成分、各种规模类型的工业企业、科技企业，负责全县工业、科技工作的日常运行调节，编制、实施近期工业、科技运行调控目标、政策和措施；监测、分析全县工业、科技运行态势，承担工业企业的节能考核和监察工作，组织解决工业、科技工作中的突出矛盾和问题，研究提出工业、科技运行方面的政策建议，负责全县工业企业扭亏增盈、工业和信息化领域的国防动员、新型墙体材料、散装水泥和搅拌混凝土、干粉砂、通信行业、煤炭、石油、天然气和原材料等经济运行保障要素管理工作。会同有关部门管理县级财政性技术改造、中小企业发展、淘汰落后产能、信息化应用、科技成果转化等专项资金。贯彻执行有关工业、科技和信息产业方面的法律、法规和政策，并实施行业监督管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筹推进经济和社会领域信息化工作；协调全县公用通信网、互联网、广播电视网和其他专用通信网的规划和建设，促进网络资源共享；协助处理网络与信息安全的重大事件。承担全县民用爆炸物品的行业管理工作，负责民用爆炸物品安全生产许可和销售许可的监督管理；承担核事故应急管理职责；承担稀土行业管理有关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４、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2023年工作重点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2023年度，我局在科技工业经济发展建设中起到了积极的推动和导向作用，取得了巨大成绩。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全县完成规模工业总产值246.36亿元,同比增长11.8%；实现规模工业增加值65.94亿元，同比增长8.8%，全市排名第1。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一年来，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新增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规模工业企业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家，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全市排名第2。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新增高新技术企业1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家，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全市第2，新增企业技术中心3家。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新增省级专精特新中小企业9家，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新增创新型中小企业36家，新增省级制造业单项冠军产品企业1家。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科工信局实施“一企一策”精准。一对一、点对点服务企业，组织企业精准申报。其中，湖南京能新能源科技有限公司获批2023年省级“湖湘精品”中小企业品牌能力提升试点企业、2023年省级企业技术中心、新能源直流充电桩入围第四批湖南省制造业单项冠军产品名单、入选制造业重点培育关键零部件配套生产企业清单；湖南鸿展自动化设备有限公司、湖南惠电科技有限公司、湖南和亚运动用品有限公司等3家企业获批2023年湖南省“两化融合”管理体系贯标试点企业；隆回龙腾电子商贸科技有限公司的“易购智选”电子商务物流+物联网建设项目申报省级“数字新基建”标志性项目，湖南铭工智能股份有限公司入选智能制造系统解决方案供应商目录（第五批）名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5"/>
        <w:textAlignment w:val="auto"/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5"/>
        <w:textAlignment w:val="auto"/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  <w:lang w:eastAsia="zh-CN"/>
        </w:rPr>
        <w:t>５、绩效目标设定情况</w:t>
      </w:r>
    </w:p>
    <w:tbl>
      <w:tblPr>
        <w:tblStyle w:val="9"/>
        <w:tblW w:w="8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2691"/>
        <w:gridCol w:w="3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85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1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新进规模企业</w:t>
            </w:r>
          </w:p>
        </w:tc>
        <w:tc>
          <w:tcPr>
            <w:tcW w:w="26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85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新增高新技术企业</w:t>
            </w:r>
          </w:p>
        </w:tc>
        <w:tc>
          <w:tcPr>
            <w:tcW w:w="26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85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1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完成规模工业总产值</w:t>
            </w:r>
          </w:p>
        </w:tc>
        <w:tc>
          <w:tcPr>
            <w:tcW w:w="26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240亿元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85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规模工业增加值</w:t>
            </w:r>
          </w:p>
        </w:tc>
        <w:tc>
          <w:tcPr>
            <w:tcW w:w="26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63亿元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85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108" w:type="dxa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规模工业奖励</w:t>
            </w:r>
          </w:p>
        </w:tc>
        <w:tc>
          <w:tcPr>
            <w:tcW w:w="269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4万元/家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85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  <w:tc>
          <w:tcPr>
            <w:tcW w:w="269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85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108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截止时间</w:t>
            </w:r>
          </w:p>
        </w:tc>
        <w:tc>
          <w:tcPr>
            <w:tcW w:w="2695" w:type="dxa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85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  <w:tc>
          <w:tcPr>
            <w:tcW w:w="269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85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1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企业研发占总产值比1.6%，</w:t>
            </w:r>
          </w:p>
        </w:tc>
        <w:tc>
          <w:tcPr>
            <w:tcW w:w="26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增长2%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85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  <w:tc>
          <w:tcPr>
            <w:tcW w:w="269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85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1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规模工业总产值</w:t>
            </w:r>
          </w:p>
        </w:tc>
        <w:tc>
          <w:tcPr>
            <w:tcW w:w="26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增长12%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85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0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95" w:type="dxa"/>
            <w:noWrap/>
            <w:vAlign w:val="center"/>
          </w:tcPr>
          <w:p>
            <w:pPr>
              <w:jc w:val="both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85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1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万元生产总值能耗降低率</w:t>
            </w:r>
          </w:p>
        </w:tc>
        <w:tc>
          <w:tcPr>
            <w:tcW w:w="26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85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……</w:t>
            </w:r>
          </w:p>
        </w:tc>
        <w:tc>
          <w:tcPr>
            <w:tcW w:w="269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85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10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9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85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……</w:t>
            </w:r>
          </w:p>
        </w:tc>
        <w:tc>
          <w:tcPr>
            <w:tcW w:w="269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85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社会公众或服务对象满意度</w:t>
            </w:r>
          </w:p>
        </w:tc>
        <w:tc>
          <w:tcPr>
            <w:tcW w:w="21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26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85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……</w:t>
            </w:r>
          </w:p>
        </w:tc>
        <w:tc>
          <w:tcPr>
            <w:tcW w:w="269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5"/>
        <w:textAlignment w:val="auto"/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  <w:lang w:eastAsia="zh-CN"/>
        </w:rPr>
        <w:t>以上目标均以完成。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部门部门整体情况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入决算，2023年年末部门决算数2223.04万元。比上年减少了496.49万元，减少18.26%，主要是上级专项资金支出减少了特别是防疫物资专项减少了。支出决算，本年支出合计2223.04万元，其中：基本支出886.12万元，占39.86%；项目支出1336.92万元，占60.14%；本年度没有结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部门整体支出主要用于我县科技和工业信息化局及下属二级机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构的人员支出、日常运转。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二、部门整体支出管理及使用情况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（一）基本支出情况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度财政拨款基本支出886.12万元，其中:人员经费793.26万元，主要包括基本工资、津贴补贴、奖金、伙食补助费、绩效工资、机关事业单位基本养老保险缴费、职业年金缴费、职工基本医疗保险缴费、公务员医疗补助缴费、其他社会保障缴费、住房公积金、医疗费、其他工资福利支出、离休费、退休费、抚恤金、生活补助、医疗费补助、奖励金、其他对个人和家庭的补助；公用经费92.86万元，主要包括办公费、印刷费、咨询费、手续费、水费、电费、邮电费、取暖费、物业管理费、差旅费、因公出国（境）费用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信息网络及软件购置更新、公务用车购置、其他交通工具购置、文物和陈列品购置、无形资产购置、其他资本性支出、赠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（二）专项资金支出情况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1、项目资金安排落实、投入情况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度项目我局共有专项资金1337万元，其中上级财政对企业的补贴1020万元，县统计基础工作96万元，乡村振兴8万元，原金矿服务中心遗留问题处理13万元，县本级工业发展专项200万元。2023年县财政为我局每年安排工业科技专项资金200万元，其中科技专项100万元，工业专项100万元。县级专项资金主要用于支持科技创新驱动发展，以高新技术企业申报、培育为重点的新型工业化建设及农副产品精深加工，突出我县金银花、龙牙百合、茶叶等特色主导产业，促进战略性新兴产业发展与科技成果转化、民生技术突破、科技创新人才和团队培，支撑县域经济又好又快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（三）“三公”经费情况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“三公”经费财政拨款支出预算为3万元，支出决算为1.11万元，完成预算的37%，其中：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因公出国（境）费支出预算为0万元，支出决算为0万元,完成预算的0%，决算数等于年初预算数，与上年相比相等。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公务接待费支出预算为3万元，支出决算为1.11万元，完成预算的37%，决算数小于年初预算数的主要原因是厉行节约减少了招待支出，与上年相比减少1.4万元，减少56%,减少的主要原因是是厉行节约减少了招待支出。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公务用车购置费及运行维护费支出预算为0万元，支出决算为0万元，完成预算的0%，与上年相比减少0万元，主要原因是我单位无公车。</w:t>
      </w:r>
    </w:p>
    <w:p>
      <w:pPr>
        <w:pStyle w:val="13"/>
        <w:spacing w:line="600" w:lineRule="exact"/>
        <w:ind w:firstLine="640" w:firstLineChars="200"/>
        <w:rPr>
          <w:rFonts w:hAnsi="黑体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</w:t>
      </w:r>
      <w:r>
        <w:rPr>
          <w:rFonts w:hint="eastAsia" w:hAnsi="黑体"/>
          <w:bCs/>
          <w:sz w:val="32"/>
          <w:szCs w:val="32"/>
        </w:rPr>
        <w:t>政府性基金预算收入支出决算情况</w:t>
      </w:r>
    </w:p>
    <w:p>
      <w:pPr>
        <w:pStyle w:val="13"/>
        <w:spacing w:line="600" w:lineRule="exact"/>
        <w:ind w:firstLine="640" w:firstLineChars="200"/>
        <w:rPr>
          <w:rFonts w:ascii="Times New Roman" w:hAnsi="Times New Roman" w:eastAsia="仿宋_GB2312"/>
          <w:color w:val="FF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2023年度本单位无政府性基金预算财政拨款收入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四、国有资本经营预算收支情况</w:t>
      </w:r>
    </w:p>
    <w:p>
      <w:pPr>
        <w:pStyle w:val="13"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2023年度本单位无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国有资本经营预算收支</w:t>
      </w:r>
    </w:p>
    <w:p>
      <w:pPr>
        <w:pStyle w:val="13"/>
        <w:spacing w:line="600" w:lineRule="exact"/>
        <w:ind w:firstLine="640" w:firstLineChars="200"/>
        <w:rPr>
          <w:rFonts w:hint="eastAsia" w:hAnsi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hAnsi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社会保险</w:t>
      </w:r>
      <w:r>
        <w:rPr>
          <w:rFonts w:hint="eastAsia" w:hAnsi="黑体"/>
          <w:bCs/>
          <w:sz w:val="32"/>
          <w:szCs w:val="32"/>
        </w:rPr>
        <w:t>基金</w:t>
      </w:r>
      <w:r>
        <w:rPr>
          <w:rFonts w:hint="eastAsia" w:hAnsi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预算收支情况</w:t>
      </w:r>
    </w:p>
    <w:p>
      <w:pPr>
        <w:pStyle w:val="13"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2023年度本单位无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社会保险</w:t>
      </w:r>
      <w:r>
        <w:rPr>
          <w:rFonts w:hint="eastAsia" w:ascii="Times New Roman" w:hAnsi="Times New Roman" w:eastAsia="仿宋_GB2312"/>
          <w:sz w:val="32"/>
          <w:szCs w:val="32"/>
        </w:rPr>
        <w:t>基金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预算收支</w:t>
      </w:r>
    </w:p>
    <w:p>
      <w:pPr>
        <w:pStyle w:val="8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六、部门整体支出绩效情况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总的来看，我局部门整体支出绩效较好，资金的使用在推动我县科技、工业、信息化工作中起到了积极的推动和导向作用，取得了巨大成绩。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2023年度，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我局在科技工业经济发展建设中起到了积极的推动和导向作用，取得了巨大成绩。</w:t>
      </w:r>
      <w:r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kern w:val="0"/>
          <w:sz w:val="32"/>
          <w:szCs w:val="32"/>
          <w:shd w:val="clear" w:fill="FFFFFF"/>
          <w:lang w:val="en-US" w:eastAsia="zh-CN" w:bidi="ar"/>
        </w:rPr>
        <w:t>全县完成规模工业总产值246.36亿元,同比增长11.8%；实现规模工业增加值65.94亿元，同比增长8.8%，全市排名第1。</w:t>
      </w:r>
      <w:r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一年来，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我县新增</w:t>
      </w:r>
      <w:r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规模工业企业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16</w:t>
      </w:r>
      <w:r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家，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kern w:val="0"/>
          <w:sz w:val="32"/>
          <w:szCs w:val="32"/>
          <w:shd w:val="clear" w:fill="FFFFFF"/>
          <w:lang w:val="en-US" w:eastAsia="zh-CN" w:bidi="ar"/>
        </w:rPr>
        <w:t>全市排名第2。</w:t>
      </w:r>
      <w:r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新增高新技术企业1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家，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kern w:val="0"/>
          <w:sz w:val="32"/>
          <w:szCs w:val="32"/>
          <w:shd w:val="clear" w:fill="FFFFFF"/>
          <w:lang w:val="en-US" w:eastAsia="zh-CN" w:bidi="ar"/>
        </w:rPr>
        <w:t>全市第2，新增企业技术中心3家。</w:t>
      </w:r>
      <w:r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新增省级专精特新中小企业9家，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kern w:val="0"/>
          <w:sz w:val="32"/>
          <w:szCs w:val="32"/>
          <w:shd w:val="clear" w:fill="FFFFFF"/>
          <w:lang w:val="en-US" w:eastAsia="zh-CN" w:bidi="ar"/>
        </w:rPr>
        <w:t>新增创新型中小企业36家，新增省级制造业单项冠军产品企业1家。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财务管理制度建设情况：资金拨付严格按程序申报、审批，合理合规使用资金，确保财政资金安全。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资产管理：及时按照要求报送资产情况报表，确保各项资产核算准确、帐实相符、管理到位。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预决算公开：及时在县人民政府门户网站上进行了预决算公开。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“三公经费”控制情况：能严格遵守各项规章制度，严控“三公”经费支出，并及时在县人民政府门户网站上对“三公”经费情况进行公示。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认真履行职责，及时报送财政供养信息、存量资金等有关资料及报表。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六、存在的主要问题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机关运行资金缺口大。由于我单位在历次机构改革中与其他单位合并，造成历史包袱较重，改制企业人员安置、土地纠纷、闲置资产维护等各种遗留问题较多，需要的工作保障经费较多，在目前“过紧日子”的财政政策下，工作推进难度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是人员经费保障不足。因历史原因，我局退休人员较多，是在职的2倍多，退休人员的独生子女费、住院慰问、活动开支等经费财政没有预算，都是我单位承担，且我单位在职干部平均年龄52岁，职级都是四级主任科员以上，而财政预算都是按四级主任科员预算，所以人员经费历年都是预算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三是工作绩效与工作待遇挂勾不明显。由于机关工作的特殊性，很多工作无法具体量化，工作成绩短时间内也无法体现，工作效果也无可操作效强的标准评判。因此工作待遇未能完全体现工作绩效。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七、改进措施和有关建议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一是做好部门预算，与财政做好沟通协调，争取经费预算做足。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二是加强资产管理，完善管理制度，做好定期清查，将保管责任落实到人。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三是抓好“三公”经费控制。树立“过紧日子”思想，严格把控“三公”经费支出审核。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四是全面实施以工作绩效导向的全面绩效评价体系，通过绩效评价反映单位各项工作开展情况、及时掌握单位资金使用效益。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隆回县科技和工业信息化局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　　　　　　　　　　　　　　　　2024年4月28日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br w:type="page"/>
      </w:r>
    </w:p>
    <w:tbl>
      <w:tblPr>
        <w:tblStyle w:val="9"/>
        <w:tblW w:w="947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3"/>
        <w:gridCol w:w="1650"/>
        <w:gridCol w:w="1029"/>
        <w:gridCol w:w="900"/>
        <w:gridCol w:w="1050"/>
        <w:gridCol w:w="1125"/>
        <w:gridCol w:w="1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14"/>
                <w:lang w:val="en-US" w:eastAsia="zh-CN" w:bidi="ar"/>
              </w:rPr>
              <w:t>2023年度部门整体支出绩效评价基础数据表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 xml:space="preserve">              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财政供养人员情况</w:t>
            </w:r>
          </w:p>
        </w:tc>
        <w:tc>
          <w:tcPr>
            <w:tcW w:w="267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7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编制数</w:t>
            </w:r>
          </w:p>
        </w:tc>
        <w:tc>
          <w:tcPr>
            <w:tcW w:w="19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8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2023</w:t>
            </w:r>
            <w:r>
              <w:rPr>
                <w:rStyle w:val="17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年实际在职人数</w:t>
            </w:r>
          </w:p>
        </w:tc>
        <w:tc>
          <w:tcPr>
            <w:tcW w:w="220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7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控制率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经费控制情况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8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2022</w:t>
            </w:r>
            <w:r>
              <w:rPr>
                <w:rStyle w:val="17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年决算数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8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2023</w:t>
            </w:r>
            <w:r>
              <w:rPr>
                <w:rStyle w:val="17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年预算数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8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2023</w:t>
            </w:r>
            <w:r>
              <w:rPr>
                <w:rStyle w:val="17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年决算数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三公经费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25362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11131.84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9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 xml:space="preserve"> 1</w:t>
            </w:r>
            <w:r>
              <w:rPr>
                <w:rStyle w:val="16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、公务用车购置和维护经费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9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 xml:space="preserve">     </w:t>
            </w:r>
            <w:r>
              <w:rPr>
                <w:rStyle w:val="16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其中：公车购置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9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 xml:space="preserve">       </w:t>
            </w:r>
            <w:r>
              <w:rPr>
                <w:rStyle w:val="16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公车运行维护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9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 xml:space="preserve"> 2</w:t>
            </w:r>
            <w:r>
              <w:rPr>
                <w:rStyle w:val="16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、出国经费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9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 xml:space="preserve"> 3</w:t>
            </w:r>
            <w:r>
              <w:rPr>
                <w:rStyle w:val="16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、公务接待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25362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11131.84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县级专项资金：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5150000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3170000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3170000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9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 xml:space="preserve"> 1</w:t>
            </w:r>
            <w:r>
              <w:rPr>
                <w:rStyle w:val="16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、业务工作经费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1150000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1170000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1170000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9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 xml:space="preserve"> 2</w:t>
            </w:r>
            <w:r>
              <w:rPr>
                <w:rStyle w:val="16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、运行维护经费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Style w:val="19"/>
                <w:rFonts w:hint="default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19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3.科技工业发展资金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4000000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2000000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Style w:val="19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公用经费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899763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928572.74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928572.74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其中：办公经费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133561.81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90179.18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90179.18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9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Style w:val="16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水费、电费、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差旅费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286875 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137500.34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137500.34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会议费、培训费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9988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政府采购金额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626000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900000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部门基本支出预算调整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8035749.4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8035749.4</w:t>
            </w:r>
            <w:bookmarkStart w:id="0" w:name="_GoBack"/>
            <w:bookmarkEnd w:id="0"/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8861213.88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3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楼堂馆所控制情况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批复规模</w:t>
            </w:r>
          </w:p>
        </w:tc>
        <w:tc>
          <w:tcPr>
            <w:tcW w:w="102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实际规模（</w:t>
            </w:r>
            <w:r>
              <w:rPr>
                <w:rStyle w:val="20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㎡</w:t>
            </w:r>
            <w:r>
              <w:rPr>
                <w:rStyle w:val="16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规模控制率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预算投资（万元）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实际投资（万元）</w:t>
            </w:r>
          </w:p>
        </w:tc>
        <w:tc>
          <w:tcPr>
            <w:tcW w:w="108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投资概算控制率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3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（</w:t>
            </w:r>
            <w:r>
              <w:rPr>
                <w:rStyle w:val="19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2023</w:t>
            </w:r>
            <w:r>
              <w:rPr>
                <w:rStyle w:val="16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年完工项目）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（</w:t>
            </w:r>
            <w:r>
              <w:rPr>
                <w:rStyle w:val="20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㎡</w:t>
            </w:r>
            <w:r>
              <w:rPr>
                <w:rStyle w:val="16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10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厉行节约保障措施</w:t>
            </w:r>
          </w:p>
        </w:tc>
        <w:tc>
          <w:tcPr>
            <w:tcW w:w="6838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1.严格执行财务管理制度；2.严控“三公经费”支出。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2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说明：</w:t>
            </w:r>
            <w:r>
              <w:rPr>
                <w:rStyle w:val="21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“</w:t>
            </w:r>
            <w:r>
              <w:rPr>
                <w:rStyle w:val="22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县级专项资金</w:t>
            </w:r>
            <w:r>
              <w:rPr>
                <w:rStyle w:val="21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”</w:t>
            </w:r>
            <w:r>
              <w:rPr>
                <w:rStyle w:val="22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需要填报基本支出以外的所有县级专项资金情况，</w:t>
            </w:r>
            <w:r>
              <w:rPr>
                <w:rStyle w:val="21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“</w:t>
            </w:r>
            <w:r>
              <w:rPr>
                <w:rStyle w:val="22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公用经费</w:t>
            </w:r>
            <w:r>
              <w:rPr>
                <w:rStyle w:val="21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”</w:t>
            </w:r>
            <w:r>
              <w:rPr>
                <w:rStyle w:val="22"/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填报基本支出中的一般商品和服务支出。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Style w:val="22"/>
          <w:rFonts w:hint="eastAsia" w:ascii="仿宋" w:hAnsi="仿宋" w:eastAsia="仿宋" w:cs="仿宋"/>
          <w:b w:val="0"/>
          <w:bCs w:val="0"/>
          <w:color w:val="auto"/>
          <w:sz w:val="18"/>
          <w:szCs w:val="18"/>
          <w:lang w:val="en-US" w:eastAsia="zh-CN" w:bidi="ar"/>
        </w:rPr>
        <w:t>填表人：胡新涛   　填报日期：</w:t>
      </w:r>
      <w:r>
        <w:rPr>
          <w:rStyle w:val="21"/>
          <w:rFonts w:hint="eastAsia" w:ascii="仿宋" w:hAnsi="仿宋" w:eastAsia="仿宋" w:cs="仿宋"/>
          <w:b w:val="0"/>
          <w:bCs w:val="0"/>
          <w:color w:val="auto"/>
          <w:sz w:val="18"/>
          <w:szCs w:val="18"/>
          <w:lang w:val="en-US" w:eastAsia="zh-CN" w:bidi="ar"/>
        </w:rPr>
        <w:t xml:space="preserve">2024.04.29 　  </w:t>
      </w:r>
      <w:r>
        <w:rPr>
          <w:rStyle w:val="22"/>
          <w:rFonts w:hint="eastAsia" w:ascii="仿宋" w:hAnsi="仿宋" w:eastAsia="仿宋" w:cs="仿宋"/>
          <w:b w:val="0"/>
          <w:bCs w:val="0"/>
          <w:color w:val="auto"/>
          <w:sz w:val="18"/>
          <w:szCs w:val="18"/>
          <w:lang w:val="en-US" w:eastAsia="zh-CN" w:bidi="ar"/>
        </w:rPr>
        <w:t>联系电话：15973908217</w:t>
      </w:r>
      <w:r>
        <w:rPr>
          <w:rStyle w:val="21"/>
          <w:rFonts w:hint="eastAsia" w:ascii="仿宋" w:hAnsi="仿宋" w:eastAsia="仿宋" w:cs="仿宋"/>
          <w:b w:val="0"/>
          <w:bCs w:val="0"/>
          <w:color w:val="auto"/>
          <w:sz w:val="18"/>
          <w:szCs w:val="18"/>
          <w:lang w:val="en-US" w:eastAsia="zh-CN" w:bidi="ar"/>
        </w:rPr>
        <w:t xml:space="preserve">   　</w:t>
      </w:r>
      <w:r>
        <w:rPr>
          <w:rStyle w:val="22"/>
          <w:rFonts w:hint="eastAsia" w:ascii="仿宋" w:hAnsi="仿宋" w:eastAsia="仿宋" w:cs="仿宋"/>
          <w:b w:val="0"/>
          <w:bCs w:val="0"/>
          <w:color w:val="auto"/>
          <w:sz w:val="18"/>
          <w:szCs w:val="18"/>
          <w:lang w:val="en-US" w:eastAsia="zh-CN" w:bidi="ar"/>
        </w:rPr>
        <w:t>单位负责人签字：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884"/>
        <w:gridCol w:w="850"/>
        <w:gridCol w:w="1300"/>
        <w:gridCol w:w="1570"/>
        <w:gridCol w:w="1200"/>
        <w:gridCol w:w="590"/>
        <w:gridCol w:w="800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200" w:type="dxa"/>
            <w:gridSpan w:val="9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2023年度部门整体支出绩效自评表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预算单位名称</w:t>
            </w:r>
          </w:p>
        </w:tc>
        <w:tc>
          <w:tcPr>
            <w:tcW w:w="8624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隆回县科技和工业信息化局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年度预算申请（万元）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2223.04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2223.04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2223.04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94.5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604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按收入性质分；2223.04</w:t>
            </w:r>
          </w:p>
        </w:tc>
        <w:tc>
          <w:tcPr>
            <w:tcW w:w="402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按支出性质分：2223.04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6" w:type="dxa"/>
            <w:vMerge w:val="continue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604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其中：  一般公共预算：2223.04</w:t>
            </w:r>
          </w:p>
        </w:tc>
        <w:tc>
          <w:tcPr>
            <w:tcW w:w="402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其中：基本支出：886.12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6" w:type="dxa"/>
            <w:vMerge w:val="continue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604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政府性基金拨款：</w:t>
            </w:r>
          </w:p>
        </w:tc>
        <w:tc>
          <w:tcPr>
            <w:tcW w:w="402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县级专项资金：1336.92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6" w:type="dxa"/>
            <w:vMerge w:val="continue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604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纳入专户管理的非税收入拨款：</w:t>
            </w:r>
          </w:p>
        </w:tc>
        <w:tc>
          <w:tcPr>
            <w:tcW w:w="4020" w:type="dxa"/>
            <w:gridSpan w:val="4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76" w:type="dxa"/>
            <w:vMerge w:val="continue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604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其他资金：</w:t>
            </w:r>
          </w:p>
        </w:tc>
        <w:tc>
          <w:tcPr>
            <w:tcW w:w="4020" w:type="dxa"/>
            <w:gridSpan w:val="4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604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402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6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604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狠抓科技、工业、信息化工作日常调度， 新规模企业12家，新增高新技术企业10家，规模工业增加值63亿元。          </w:t>
            </w:r>
          </w:p>
        </w:tc>
        <w:tc>
          <w:tcPr>
            <w:tcW w:w="402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新规模企业12家，新增高新技术企业10家，规模工业增加值63亿元。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产出指标(55分)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新进规模企业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12家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20家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7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4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新增高新技术企业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10家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13家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4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完成规模工业总产值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240亿元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246亿元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76" w:type="dxa"/>
            <w:vMerge w:val="continue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4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规模工业增加值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63亿元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65亿元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6" w:type="dxa"/>
            <w:vMerge w:val="continue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4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2023年底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2023年底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vMerge w:val="continue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4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规模工业奖励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4万元/家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4万元/家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vMerge w:val="continue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4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……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76" w:type="dxa"/>
            <w:vMerge w:val="continue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效益指标（35分）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企业研发占总产值比1.6%，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增长2%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增长2%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76" w:type="dxa"/>
            <w:vMerge w:val="continue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4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……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6" w:type="dxa"/>
            <w:vMerge w:val="continue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4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规模工业总产值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增长12%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11.8%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疫情影响企业生产放缓。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6" w:type="dxa"/>
            <w:vMerge w:val="continue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4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6" w:type="dxa"/>
            <w:vMerge w:val="continue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4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万元生产总值能耗降低率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76" w:type="dxa"/>
            <w:vMerge w:val="continue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4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……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76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4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76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满意度指标（10分）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群众满意度达90%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90%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90%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38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18"/>
          <w:szCs w:val="18"/>
          <w:lang w:val="en-US" w:eastAsia="zh-CN"/>
        </w:rPr>
      </w:pPr>
      <w:r>
        <w:rPr>
          <w:rStyle w:val="22"/>
          <w:rFonts w:hint="eastAsia" w:ascii="仿宋" w:hAnsi="仿宋" w:eastAsia="仿宋" w:cs="仿宋"/>
          <w:b w:val="0"/>
          <w:bCs w:val="0"/>
          <w:color w:val="auto"/>
          <w:sz w:val="18"/>
          <w:szCs w:val="18"/>
          <w:lang w:val="en-US" w:eastAsia="zh-CN" w:bidi="ar"/>
        </w:rPr>
        <w:t>填表人：胡新涛   　填报日期：</w:t>
      </w:r>
      <w:r>
        <w:rPr>
          <w:rStyle w:val="21"/>
          <w:rFonts w:hint="eastAsia" w:ascii="仿宋" w:hAnsi="仿宋" w:eastAsia="仿宋" w:cs="仿宋"/>
          <w:b w:val="0"/>
          <w:bCs w:val="0"/>
          <w:color w:val="auto"/>
          <w:sz w:val="18"/>
          <w:szCs w:val="18"/>
          <w:lang w:val="en-US" w:eastAsia="zh-CN" w:bidi="ar"/>
        </w:rPr>
        <w:t xml:space="preserve">2024.04.29 　  </w:t>
      </w:r>
      <w:r>
        <w:rPr>
          <w:rStyle w:val="22"/>
          <w:rFonts w:hint="eastAsia" w:ascii="仿宋" w:hAnsi="仿宋" w:eastAsia="仿宋" w:cs="仿宋"/>
          <w:b w:val="0"/>
          <w:bCs w:val="0"/>
          <w:color w:val="auto"/>
          <w:sz w:val="18"/>
          <w:szCs w:val="18"/>
          <w:lang w:val="en-US" w:eastAsia="zh-CN" w:bidi="ar"/>
        </w:rPr>
        <w:t>联系电话：15973908217</w:t>
      </w:r>
      <w:r>
        <w:rPr>
          <w:rStyle w:val="21"/>
          <w:rFonts w:hint="eastAsia" w:ascii="仿宋" w:hAnsi="仿宋" w:eastAsia="仿宋" w:cs="仿宋"/>
          <w:b w:val="0"/>
          <w:bCs w:val="0"/>
          <w:color w:val="auto"/>
          <w:sz w:val="18"/>
          <w:szCs w:val="18"/>
          <w:lang w:val="en-US" w:eastAsia="zh-CN" w:bidi="ar"/>
        </w:rPr>
        <w:t xml:space="preserve">   　</w:t>
      </w:r>
      <w:r>
        <w:rPr>
          <w:rStyle w:val="22"/>
          <w:rFonts w:hint="eastAsia" w:ascii="仿宋" w:hAnsi="仿宋" w:eastAsia="仿宋" w:cs="仿宋"/>
          <w:b w:val="0"/>
          <w:bCs w:val="0"/>
          <w:color w:val="auto"/>
          <w:sz w:val="18"/>
          <w:szCs w:val="18"/>
          <w:lang w:val="en-US" w:eastAsia="zh-CN" w:bidi="ar"/>
        </w:rPr>
        <w:t>单位负责人签字：</w: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417" w:bottom="1418" w:left="1417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NTdmNTEzY2M4NWVkMTEwMTIxM2NiOTIyZDFhODEifQ=="/>
  </w:docVars>
  <w:rsids>
    <w:rsidRoot w:val="18D538B0"/>
    <w:rsid w:val="01600BAC"/>
    <w:rsid w:val="018E17F6"/>
    <w:rsid w:val="01E50D53"/>
    <w:rsid w:val="01EB6738"/>
    <w:rsid w:val="02650B32"/>
    <w:rsid w:val="03031491"/>
    <w:rsid w:val="03922815"/>
    <w:rsid w:val="03B40C48"/>
    <w:rsid w:val="03D2624F"/>
    <w:rsid w:val="040501C3"/>
    <w:rsid w:val="04673937"/>
    <w:rsid w:val="05323055"/>
    <w:rsid w:val="05A10F52"/>
    <w:rsid w:val="05E337FC"/>
    <w:rsid w:val="06536294"/>
    <w:rsid w:val="07155C37"/>
    <w:rsid w:val="07F910B5"/>
    <w:rsid w:val="08F360AF"/>
    <w:rsid w:val="09C30DA4"/>
    <w:rsid w:val="09D347BB"/>
    <w:rsid w:val="0A6273E5"/>
    <w:rsid w:val="0A686BF6"/>
    <w:rsid w:val="0AA34D2A"/>
    <w:rsid w:val="0B0C55A3"/>
    <w:rsid w:val="0B452904"/>
    <w:rsid w:val="0C760F26"/>
    <w:rsid w:val="0CE57889"/>
    <w:rsid w:val="0DD74424"/>
    <w:rsid w:val="0E372937"/>
    <w:rsid w:val="0E883238"/>
    <w:rsid w:val="0F3E06C6"/>
    <w:rsid w:val="0FE10DAC"/>
    <w:rsid w:val="0FFF3668"/>
    <w:rsid w:val="107F4121"/>
    <w:rsid w:val="10C57C4D"/>
    <w:rsid w:val="110C60E7"/>
    <w:rsid w:val="11360C84"/>
    <w:rsid w:val="11456604"/>
    <w:rsid w:val="117C2E73"/>
    <w:rsid w:val="11E9622E"/>
    <w:rsid w:val="12607728"/>
    <w:rsid w:val="126104A5"/>
    <w:rsid w:val="13113C31"/>
    <w:rsid w:val="13C57FC2"/>
    <w:rsid w:val="13DD7ADC"/>
    <w:rsid w:val="13EB2DF0"/>
    <w:rsid w:val="142D7D05"/>
    <w:rsid w:val="144F5156"/>
    <w:rsid w:val="14B70389"/>
    <w:rsid w:val="15864BA4"/>
    <w:rsid w:val="16E712EC"/>
    <w:rsid w:val="170C6682"/>
    <w:rsid w:val="1767588B"/>
    <w:rsid w:val="181635BD"/>
    <w:rsid w:val="18D538B0"/>
    <w:rsid w:val="18E032C2"/>
    <w:rsid w:val="19834C82"/>
    <w:rsid w:val="19A277FE"/>
    <w:rsid w:val="1B6464C0"/>
    <w:rsid w:val="1B8847D2"/>
    <w:rsid w:val="1C454471"/>
    <w:rsid w:val="1C766D20"/>
    <w:rsid w:val="1CA2692B"/>
    <w:rsid w:val="1CCF110C"/>
    <w:rsid w:val="1D9456B0"/>
    <w:rsid w:val="1DAB37CC"/>
    <w:rsid w:val="1DF127ED"/>
    <w:rsid w:val="1E242CAF"/>
    <w:rsid w:val="1E6908EA"/>
    <w:rsid w:val="1EA42F98"/>
    <w:rsid w:val="1FA31533"/>
    <w:rsid w:val="20943C19"/>
    <w:rsid w:val="213827F6"/>
    <w:rsid w:val="21605243"/>
    <w:rsid w:val="21796BC2"/>
    <w:rsid w:val="21B552CB"/>
    <w:rsid w:val="21E309B4"/>
    <w:rsid w:val="21FC1A76"/>
    <w:rsid w:val="22BE0E76"/>
    <w:rsid w:val="231134BB"/>
    <w:rsid w:val="23250B58"/>
    <w:rsid w:val="2483632E"/>
    <w:rsid w:val="248E42DA"/>
    <w:rsid w:val="25550C1E"/>
    <w:rsid w:val="255B6EFC"/>
    <w:rsid w:val="25B05D49"/>
    <w:rsid w:val="25EB38D6"/>
    <w:rsid w:val="28BF4190"/>
    <w:rsid w:val="28C3509B"/>
    <w:rsid w:val="297D16EE"/>
    <w:rsid w:val="29CB28CE"/>
    <w:rsid w:val="2A706BB3"/>
    <w:rsid w:val="2A7C719C"/>
    <w:rsid w:val="2AD73D0A"/>
    <w:rsid w:val="2AD74E2E"/>
    <w:rsid w:val="2AFC6512"/>
    <w:rsid w:val="2B926A7E"/>
    <w:rsid w:val="2C2B5641"/>
    <w:rsid w:val="2CAF74CA"/>
    <w:rsid w:val="2CB6067E"/>
    <w:rsid w:val="2CC66F08"/>
    <w:rsid w:val="2CCA094F"/>
    <w:rsid w:val="2D6D752A"/>
    <w:rsid w:val="2E2B5E45"/>
    <w:rsid w:val="2E2B6CD0"/>
    <w:rsid w:val="2E515D05"/>
    <w:rsid w:val="2EB52844"/>
    <w:rsid w:val="2FB43990"/>
    <w:rsid w:val="2FC02FA6"/>
    <w:rsid w:val="2FF745A3"/>
    <w:rsid w:val="316450AF"/>
    <w:rsid w:val="321A6D43"/>
    <w:rsid w:val="324A339B"/>
    <w:rsid w:val="32F10301"/>
    <w:rsid w:val="335115F0"/>
    <w:rsid w:val="33F374F1"/>
    <w:rsid w:val="3546366F"/>
    <w:rsid w:val="357070B5"/>
    <w:rsid w:val="36B12C26"/>
    <w:rsid w:val="36BE344B"/>
    <w:rsid w:val="3727713D"/>
    <w:rsid w:val="376A3C4C"/>
    <w:rsid w:val="382935E7"/>
    <w:rsid w:val="38C42E95"/>
    <w:rsid w:val="38FC7F68"/>
    <w:rsid w:val="39217BFC"/>
    <w:rsid w:val="39C175C6"/>
    <w:rsid w:val="3A337AFF"/>
    <w:rsid w:val="3A716084"/>
    <w:rsid w:val="3A754CC9"/>
    <w:rsid w:val="3B844CB6"/>
    <w:rsid w:val="3BEA370A"/>
    <w:rsid w:val="3D8062E4"/>
    <w:rsid w:val="3DCE3E6E"/>
    <w:rsid w:val="3E3A69A0"/>
    <w:rsid w:val="3ECD3124"/>
    <w:rsid w:val="3F13461A"/>
    <w:rsid w:val="3F9A003D"/>
    <w:rsid w:val="3FAA4467"/>
    <w:rsid w:val="3FC941EF"/>
    <w:rsid w:val="3FEA0343"/>
    <w:rsid w:val="422A1926"/>
    <w:rsid w:val="42FE2D75"/>
    <w:rsid w:val="44246EDE"/>
    <w:rsid w:val="46353639"/>
    <w:rsid w:val="475F4422"/>
    <w:rsid w:val="4874505C"/>
    <w:rsid w:val="49051B72"/>
    <w:rsid w:val="49136AFE"/>
    <w:rsid w:val="49201968"/>
    <w:rsid w:val="49F977A4"/>
    <w:rsid w:val="4AC947BE"/>
    <w:rsid w:val="4B6814D6"/>
    <w:rsid w:val="4BB905DA"/>
    <w:rsid w:val="4C9D6BE9"/>
    <w:rsid w:val="4D74233C"/>
    <w:rsid w:val="4E0B709E"/>
    <w:rsid w:val="4E546612"/>
    <w:rsid w:val="4E8C0081"/>
    <w:rsid w:val="4FBF7FD9"/>
    <w:rsid w:val="4FD063B7"/>
    <w:rsid w:val="50367B83"/>
    <w:rsid w:val="5039786D"/>
    <w:rsid w:val="50772C4C"/>
    <w:rsid w:val="507C62DD"/>
    <w:rsid w:val="50B20CEB"/>
    <w:rsid w:val="50B652F2"/>
    <w:rsid w:val="51744CFB"/>
    <w:rsid w:val="523C7CCC"/>
    <w:rsid w:val="531B2103"/>
    <w:rsid w:val="540475E5"/>
    <w:rsid w:val="545F361A"/>
    <w:rsid w:val="55B14EB1"/>
    <w:rsid w:val="55FE57CA"/>
    <w:rsid w:val="56193A25"/>
    <w:rsid w:val="563C6D66"/>
    <w:rsid w:val="565C4B5A"/>
    <w:rsid w:val="56861332"/>
    <w:rsid w:val="578E37A1"/>
    <w:rsid w:val="58C76ABA"/>
    <w:rsid w:val="59587923"/>
    <w:rsid w:val="59A450EF"/>
    <w:rsid w:val="59B713F7"/>
    <w:rsid w:val="59CA59DA"/>
    <w:rsid w:val="5B3909CE"/>
    <w:rsid w:val="5D0F0361"/>
    <w:rsid w:val="5D243653"/>
    <w:rsid w:val="5D6C7344"/>
    <w:rsid w:val="5E9112BE"/>
    <w:rsid w:val="5EA551F5"/>
    <w:rsid w:val="6014324A"/>
    <w:rsid w:val="612E684E"/>
    <w:rsid w:val="615E51F6"/>
    <w:rsid w:val="61AF2FE3"/>
    <w:rsid w:val="61E53AA0"/>
    <w:rsid w:val="63521D29"/>
    <w:rsid w:val="635B32B1"/>
    <w:rsid w:val="63AD5DD7"/>
    <w:rsid w:val="63B763B4"/>
    <w:rsid w:val="64B4350F"/>
    <w:rsid w:val="64D93325"/>
    <w:rsid w:val="652135B9"/>
    <w:rsid w:val="65B75B1D"/>
    <w:rsid w:val="65ED7F30"/>
    <w:rsid w:val="66155B49"/>
    <w:rsid w:val="670B01C0"/>
    <w:rsid w:val="68045877"/>
    <w:rsid w:val="69037264"/>
    <w:rsid w:val="6A522671"/>
    <w:rsid w:val="6ACB22C2"/>
    <w:rsid w:val="6C3C39CA"/>
    <w:rsid w:val="6C6A0E2B"/>
    <w:rsid w:val="6C801864"/>
    <w:rsid w:val="6C953AF9"/>
    <w:rsid w:val="6DD84013"/>
    <w:rsid w:val="6DF239C2"/>
    <w:rsid w:val="6E291C2D"/>
    <w:rsid w:val="6E615BFD"/>
    <w:rsid w:val="745037BC"/>
    <w:rsid w:val="74634609"/>
    <w:rsid w:val="75616D9B"/>
    <w:rsid w:val="767C2482"/>
    <w:rsid w:val="76DD4B47"/>
    <w:rsid w:val="77071BC4"/>
    <w:rsid w:val="78270946"/>
    <w:rsid w:val="785976C2"/>
    <w:rsid w:val="78853E63"/>
    <w:rsid w:val="79367029"/>
    <w:rsid w:val="7A031D57"/>
    <w:rsid w:val="7A3613CA"/>
    <w:rsid w:val="7B3D3D71"/>
    <w:rsid w:val="7C5F5A2F"/>
    <w:rsid w:val="7CC573E1"/>
    <w:rsid w:val="7D2A54B9"/>
    <w:rsid w:val="7D887789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文字 + 首行缩进:  2 字符3"/>
    <w:basedOn w:val="1"/>
    <w:autoRedefine/>
    <w:qFormat/>
    <w:uiPriority w:val="0"/>
    <w:pPr>
      <w:ind w:firstLine="200"/>
    </w:pPr>
    <w:rPr>
      <w:rFonts w:eastAsia="仿宋_GB2312" w:cs="宋体"/>
      <w:sz w:val="28"/>
      <w:szCs w:val="28"/>
    </w:rPr>
  </w:style>
  <w:style w:type="paragraph" w:styleId="4">
    <w:name w:val="Body Text Indent"/>
    <w:basedOn w:val="1"/>
    <w:autoRedefine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autoRedefine/>
    <w:qFormat/>
    <w:uiPriority w:val="99"/>
    <w:pPr>
      <w:ind w:firstLine="420" w:firstLineChars="2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  <w:style w:type="character" w:customStyle="1" w:styleId="14">
    <w:name w:val="font11"/>
    <w:basedOn w:val="11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5">
    <w:name w:val="font21"/>
    <w:basedOn w:val="1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31"/>
    <w:basedOn w:val="11"/>
    <w:autoRedefine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7">
    <w:name w:val="font41"/>
    <w:basedOn w:val="11"/>
    <w:autoRedefine/>
    <w:qFormat/>
    <w:uiPriority w:val="0"/>
    <w:rPr>
      <w:rFonts w:hint="eastAsia" w:ascii="仿宋_GB2312" w:eastAsia="仿宋_GB2312" w:cs="仿宋_GB2312"/>
      <w:b/>
      <w:bCs/>
      <w:color w:val="000000"/>
      <w:sz w:val="21"/>
      <w:szCs w:val="21"/>
      <w:u w:val="none"/>
    </w:rPr>
  </w:style>
  <w:style w:type="character" w:customStyle="1" w:styleId="18">
    <w:name w:val="font51"/>
    <w:basedOn w:val="11"/>
    <w:autoRedefine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19">
    <w:name w:val="font61"/>
    <w:basedOn w:val="11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0">
    <w:name w:val="font101"/>
    <w:basedOn w:val="11"/>
    <w:autoRedefine/>
    <w:qFormat/>
    <w:uiPriority w:val="0"/>
    <w:rPr>
      <w:rFonts w:ascii="仿宋" w:hAnsi="仿宋" w:eastAsia="仿宋" w:cs="仿宋"/>
      <w:color w:val="000000"/>
      <w:sz w:val="21"/>
      <w:szCs w:val="21"/>
      <w:u w:val="none"/>
    </w:rPr>
  </w:style>
  <w:style w:type="character" w:customStyle="1" w:styleId="21">
    <w:name w:val="font81"/>
    <w:basedOn w:val="11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2">
    <w:name w:val="font91"/>
    <w:basedOn w:val="11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3">
    <w:name w:val="font71"/>
    <w:basedOn w:val="11"/>
    <w:autoRedefine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3730</Words>
  <Characters>3908</Characters>
  <Lines>0</Lines>
  <Paragraphs>0</Paragraphs>
  <TotalTime>2</TotalTime>
  <ScaleCrop>false</ScaleCrop>
  <LinksUpToDate>false</LinksUpToDate>
  <CharactersWithSpaces>4096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牛奋男</cp:lastModifiedBy>
  <cp:lastPrinted>2023-04-27T03:17:00Z</cp:lastPrinted>
  <dcterms:modified xsi:type="dcterms:W3CDTF">2024-05-20T07:08:56Z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EFBEA9DFE5A14E50A552A9055DCFEC2D_13</vt:lpwstr>
  </property>
</Properties>
</file>