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38ED7">
      <w:pPr>
        <w:spacing w:line="600" w:lineRule="exact"/>
        <w:jc w:val="center"/>
        <w:rPr>
          <w:rFonts w:hint="eastAsia" w:ascii="黑体" w:hAnsi="黑体" w:eastAsia="黑体" w:cs="黑体"/>
          <w:b/>
          <w:bCs w:val="0"/>
          <w:kern w:val="0"/>
          <w:sz w:val="36"/>
          <w:szCs w:val="36"/>
          <w:lang w:eastAsia="zh-CN"/>
        </w:rPr>
      </w:pPr>
      <w:bookmarkStart w:id="0" w:name="_GoBack"/>
      <w:bookmarkEnd w:id="0"/>
      <w:r>
        <w:rPr>
          <w:rFonts w:hint="eastAsia" w:ascii="黑体" w:hAnsi="黑体" w:eastAsia="黑体" w:cs="黑体"/>
          <w:b/>
          <w:bCs w:val="0"/>
          <w:kern w:val="0"/>
          <w:sz w:val="36"/>
          <w:szCs w:val="36"/>
          <w:lang w:eastAsia="zh-CN"/>
        </w:rPr>
        <w:t>隆回县科学技术协会</w:t>
      </w:r>
    </w:p>
    <w:p w14:paraId="685A53D4">
      <w:pPr>
        <w:spacing w:line="600" w:lineRule="exact"/>
        <w:jc w:val="center"/>
        <w:rPr>
          <w:rFonts w:hint="eastAsia" w:ascii="黑体" w:hAnsi="黑体" w:eastAsia="黑体" w:cs="黑体"/>
          <w:b/>
          <w:bCs w:val="0"/>
          <w:kern w:val="0"/>
          <w:sz w:val="36"/>
          <w:szCs w:val="36"/>
        </w:rPr>
      </w:pPr>
      <w:r>
        <w:rPr>
          <w:rFonts w:hint="eastAsia" w:ascii="黑体" w:hAnsi="黑体" w:eastAsia="黑体" w:cs="黑体"/>
          <w:b/>
          <w:bCs w:val="0"/>
          <w:kern w:val="0"/>
          <w:sz w:val="36"/>
          <w:szCs w:val="36"/>
          <w:lang w:val="en-US" w:eastAsia="zh-CN"/>
        </w:rPr>
        <w:t>2024年</w:t>
      </w:r>
      <w:r>
        <w:rPr>
          <w:rFonts w:hint="eastAsia" w:ascii="黑体" w:hAnsi="黑体" w:eastAsia="黑体" w:cs="黑体"/>
          <w:b/>
          <w:bCs w:val="0"/>
          <w:kern w:val="0"/>
          <w:sz w:val="36"/>
          <w:szCs w:val="36"/>
        </w:rPr>
        <w:t>部门整体支出绩效自评报告</w:t>
      </w:r>
    </w:p>
    <w:p w14:paraId="2CB8178E">
      <w:pPr>
        <w:ind w:firstLine="420" w:firstLineChars="200"/>
      </w:pPr>
    </w:p>
    <w:p w14:paraId="1C8FC02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b/>
          <w:bCs/>
          <w:sz w:val="32"/>
          <w:szCs w:val="32"/>
        </w:rPr>
      </w:pPr>
      <w:r>
        <w:rPr>
          <w:rFonts w:hint="eastAsia" w:ascii="黑体" w:hAnsi="黑体" w:eastAsia="黑体"/>
          <w:b/>
          <w:bCs/>
          <w:sz w:val="32"/>
          <w:szCs w:val="32"/>
        </w:rPr>
        <w:t>一、部门概况</w:t>
      </w:r>
    </w:p>
    <w:p w14:paraId="4D41908E">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（一）部门基本情况</w:t>
      </w:r>
    </w:p>
    <w:p w14:paraId="149D77AB">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我单位编制人数为7人，实际人数11人（其中在职6人，离退休5人）。小车编制数1台，实际1台。主要职责：传播科学思想，宏扬科学精神，倡导科学方法，普及科学知识，推广先进技术，开展青少年科学技术活动和科技论证，提供科技咨询，为提高全民科学文化素质服务。</w:t>
      </w:r>
    </w:p>
    <w:p w14:paraId="3D16AAC9">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02" w:firstLineChars="200"/>
        <w:textAlignment w:val="auto"/>
        <w:rPr>
          <w:rFonts w:hint="eastAsia" w:ascii="仿宋" w:hAnsi="仿宋" w:eastAsia="仿宋" w:cs="仿宋"/>
          <w:b/>
          <w:bCs/>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（二）2024年的重点工作</w:t>
      </w:r>
    </w:p>
    <w:p w14:paraId="49DE68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eastAsia="仿宋_GB2312"/>
          <w:b w:val="0"/>
          <w:bCs w:val="0"/>
          <w:sz w:val="32"/>
          <w:szCs w:val="32"/>
          <w:lang w:val="en-US" w:eastAsia="zh-CN"/>
        </w:rPr>
      </w:pPr>
      <w:r>
        <w:rPr>
          <w:rFonts w:hint="eastAsia" w:eastAsia="仿宋_GB2312"/>
          <w:b/>
          <w:bCs/>
          <w:sz w:val="32"/>
          <w:szCs w:val="32"/>
          <w:lang w:val="en-US" w:eastAsia="zh-CN"/>
        </w:rPr>
        <w:t>（一）强化思想政治引领。</w:t>
      </w:r>
      <w:r>
        <w:rPr>
          <w:rFonts w:hint="eastAsia" w:eastAsia="仿宋_GB2312"/>
          <w:b w:val="0"/>
          <w:bCs w:val="0"/>
          <w:sz w:val="32"/>
          <w:szCs w:val="32"/>
          <w:lang w:val="en-US" w:eastAsia="zh-CN"/>
        </w:rPr>
        <w:t>一是坚持以习近平新时代中国特色社会主义思想为指导，深入学习贯彻党的二十大和二十届二中、三中全会精神，将“讲政治规矩、强担当作为、树新风正气”落到实处。切实发挥党组织的政治核心作用，不断提升科协系统凝聚力、战斗力、执行力；二是加强意识形态教育，增强干部职工政治判断力、政治领悟力、政治执行力。加强对“科普隆回”微信公众号监督管理，大力弘扬以“爱国、创新、求实、奉献、协同、育人”为核心的新时代科学家精神，认真落实“百名院士进校园、万名科技工作者上讲台”活动。</w:t>
      </w:r>
    </w:p>
    <w:p w14:paraId="22B2C2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eastAsia="仿宋_GB2312"/>
          <w:b w:val="0"/>
          <w:bCs w:val="0"/>
          <w:sz w:val="32"/>
          <w:szCs w:val="32"/>
          <w:lang w:val="en-US" w:eastAsia="zh-CN"/>
        </w:rPr>
      </w:pPr>
      <w:r>
        <w:rPr>
          <w:rFonts w:hint="eastAsia" w:eastAsia="仿宋_GB2312"/>
          <w:b/>
          <w:bCs/>
          <w:sz w:val="32"/>
          <w:szCs w:val="32"/>
          <w:lang w:val="en-US" w:eastAsia="zh-CN"/>
        </w:rPr>
        <w:t>（二）助推全民科学素质提升。</w:t>
      </w:r>
      <w:r>
        <w:rPr>
          <w:rFonts w:hint="eastAsia" w:eastAsia="仿宋_GB2312"/>
          <w:b w:val="0"/>
          <w:bCs w:val="0"/>
          <w:sz w:val="32"/>
          <w:szCs w:val="32"/>
          <w:lang w:val="en-US" w:eastAsia="zh-CN"/>
        </w:rPr>
        <w:t>一是进一步巩固全国科普示范县创建成果，做好后期评估准备工作；二是认真履行县全民科学素质行动规划纲要实施领导小组办公室职责，认真实施五类重点人群科学素质提升行动，提高全县公民科学素质，做好迎接国家对全民科学素质工作的评估准备；三是加强对科技辅导员的培训力度，举办科技辅导员培训班，强化科普信息员队伍建设，进一步提升科普传播能力；四是积极开展并参与科技下乡、科技活动周、全国科普日、科技工作者日等各类主题科普及科技志愿服务活动；五是认真举办第46届隆回青少年科技创新大赛、隆回县首届青少年机器人竞赛、五类学科竞赛、校园科技节、科技“三小”等活动，在全县范围内营造讲科学、爱科学、学科学、用科学的良好氛围；六是充分发挥科普大篷车流动科技馆的作用，深入学校、机关、企业等人员集聚场所，积极推介“科普中国”“科普湖南”，让主流科普占据科普主渠道。</w:t>
      </w:r>
    </w:p>
    <w:p w14:paraId="13C08F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eastAsia="仿宋_GB2312"/>
          <w:b w:val="0"/>
          <w:bCs w:val="0"/>
          <w:sz w:val="32"/>
          <w:szCs w:val="32"/>
          <w:lang w:val="en-US" w:eastAsia="zh-CN"/>
        </w:rPr>
      </w:pPr>
      <w:r>
        <w:rPr>
          <w:rFonts w:hint="eastAsia" w:eastAsia="仿宋_GB2312"/>
          <w:b/>
          <w:bCs/>
          <w:sz w:val="32"/>
          <w:szCs w:val="32"/>
          <w:lang w:val="en-US" w:eastAsia="zh-CN"/>
        </w:rPr>
        <w:t>（三）提高科普服务成效。</w:t>
      </w:r>
      <w:r>
        <w:rPr>
          <w:rFonts w:hint="eastAsia" w:eastAsia="仿宋_GB2312"/>
          <w:b w:val="0"/>
          <w:bCs w:val="0"/>
          <w:sz w:val="32"/>
          <w:szCs w:val="32"/>
          <w:lang w:val="en-US" w:eastAsia="zh-CN"/>
        </w:rPr>
        <w:t>一是利用科普平台、公众号等载体积极推介优秀科技工作者，宣传其先进事迹和典型经验；二是组织开展好“科技工作者日”活动，打造科协名副其实的“科技工作者之家”；三是聚焦引才荐才，积极搭建学术交流平台，强化科创人才服务；四是推荐基层优秀科技工作者参加“小荷”人才、创新达人、卓越工程师评选和科普师职称评审等。</w:t>
      </w:r>
    </w:p>
    <w:p w14:paraId="5EC6DF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eastAsia="仿宋_GB2312"/>
          <w:b/>
          <w:bCs/>
          <w:sz w:val="32"/>
          <w:szCs w:val="32"/>
          <w:lang w:val="en-US" w:eastAsia="zh-CN"/>
        </w:rPr>
      </w:pPr>
      <w:r>
        <w:rPr>
          <w:rFonts w:hint="eastAsia" w:eastAsia="仿宋_GB2312"/>
          <w:b/>
          <w:bCs/>
          <w:sz w:val="32"/>
          <w:szCs w:val="32"/>
          <w:lang w:val="en-US" w:eastAsia="zh-CN"/>
        </w:rPr>
        <w:t>（四）深入实施创新驱动战略。</w:t>
      </w:r>
      <w:r>
        <w:rPr>
          <w:rFonts w:hint="eastAsia" w:eastAsia="仿宋_GB2312"/>
          <w:b w:val="0"/>
          <w:bCs w:val="0"/>
          <w:sz w:val="32"/>
          <w:szCs w:val="32"/>
          <w:lang w:val="en-US" w:eastAsia="zh-CN"/>
        </w:rPr>
        <w:t>一是深入开展院士、专家联络服务工作，支持帮助企业与高等院校及科研院所合作，搭建校企合作、技术合作有效平台；二是加强院士工作站、专家工作站和学会服务站建设，协助有需求的企业引进院士专家建站或博士创新站；三是深入实施好基层科普行动计划项目，助力乡村产业振兴；四是指导成立农村专业技术协会，指导现有农技协围绕章程开展工作，提高会员科学致富能力，赋能乡村振兴。引导县农技协联合会有效承接政府转移职能，建立协会党组织。</w:t>
      </w:r>
      <w:r>
        <w:rPr>
          <w:rFonts w:hint="eastAsia" w:eastAsia="仿宋_GB2312"/>
          <w:b/>
          <w:bCs/>
          <w:sz w:val="32"/>
          <w:szCs w:val="32"/>
          <w:lang w:val="en-US" w:eastAsia="zh-CN"/>
        </w:rPr>
        <w:t xml:space="preserve">     </w:t>
      </w:r>
    </w:p>
    <w:p w14:paraId="03768B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eastAsia="仿宋_GB2312"/>
          <w:b/>
          <w:bCs/>
          <w:sz w:val="32"/>
          <w:szCs w:val="32"/>
        </w:rPr>
      </w:pPr>
      <w:r>
        <w:rPr>
          <w:rFonts w:hint="eastAsia" w:eastAsia="仿宋_GB2312"/>
          <w:b/>
          <w:bCs/>
          <w:sz w:val="32"/>
          <w:szCs w:val="32"/>
          <w:lang w:eastAsia="zh-CN"/>
        </w:rPr>
        <w:t>（三）</w:t>
      </w:r>
      <w:r>
        <w:rPr>
          <w:rFonts w:hint="eastAsia" w:eastAsia="仿宋_GB2312"/>
          <w:b/>
          <w:bCs/>
          <w:sz w:val="32"/>
          <w:szCs w:val="32"/>
        </w:rPr>
        <w:t>部门整体支出情况</w:t>
      </w:r>
    </w:p>
    <w:p w14:paraId="49F31EB6">
      <w:pPr>
        <w:spacing w:line="600" w:lineRule="exact"/>
        <w:ind w:firstLine="750" w:firstLineChars="25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2024年度收入214.78万元，其中：县财政预算安排208.63万元，其他收入6.15万元。2024年部门整体支出219.37万元，其中：基本支出105.57万元，项目支出113.8万元。</w:t>
      </w:r>
    </w:p>
    <w:p w14:paraId="740C9F5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b/>
          <w:bCs/>
          <w:sz w:val="32"/>
          <w:szCs w:val="32"/>
        </w:rPr>
      </w:pPr>
      <w:r>
        <w:rPr>
          <w:rFonts w:hint="eastAsia" w:ascii="黑体" w:hAnsi="黑体" w:eastAsia="黑体"/>
          <w:b/>
          <w:bCs/>
          <w:sz w:val="32"/>
          <w:szCs w:val="32"/>
        </w:rPr>
        <w:t>二、部门整体支出管理及使用情况</w:t>
      </w:r>
    </w:p>
    <w:p w14:paraId="413642F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b/>
          <w:bCs/>
          <w:sz w:val="32"/>
          <w:szCs w:val="32"/>
        </w:rPr>
      </w:pPr>
      <w:r>
        <w:rPr>
          <w:rFonts w:hint="eastAsia" w:eastAsia="仿宋_GB2312"/>
          <w:b/>
          <w:bCs/>
          <w:sz w:val="32"/>
          <w:szCs w:val="32"/>
        </w:rPr>
        <w:t>（一）基本支出情况</w:t>
      </w:r>
    </w:p>
    <w:p w14:paraId="02FB886B">
      <w:pPr>
        <w:pStyle w:val="6"/>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基本经费支出用于保障单位机构正常运转、完成日常工作任务而发生的各项支出，包括用于基本工资、津贴补贴、奖金、机关事业单位养老保险和其他社会保障缴费、其他工资福利等人员经费以及办公费、印刷费、水电费及办公设备购置等日常公用经费。2024年基本支出105.57万元，其中：工资福利支出85.09万元，商品和服务支出14.81万元，对个人和家庭的补助支出5.67万元。</w:t>
      </w:r>
    </w:p>
    <w:p w14:paraId="726153B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eastAsia="仿宋_GB2312"/>
          <w:b/>
          <w:bCs/>
          <w:sz w:val="32"/>
          <w:szCs w:val="32"/>
        </w:rPr>
      </w:pPr>
      <w:r>
        <w:rPr>
          <w:rFonts w:hint="eastAsia" w:eastAsia="仿宋_GB2312"/>
          <w:b/>
          <w:bCs/>
          <w:sz w:val="32"/>
          <w:szCs w:val="32"/>
        </w:rPr>
        <w:t>项目支出情况</w:t>
      </w:r>
    </w:p>
    <w:p w14:paraId="7F642FF0">
      <w:pPr>
        <w:pStyle w:val="6"/>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项目支出是指基本支出以外为完成相关行政任务和事业发展目标所发生的各项支出，2024年项目支出113.8万元，其中：科普行动计划经费16万元，换届选举经费10.77万元，转拨老科协预算资金30.60万元，科普专项、青少年科技工作经费53.93万元，乡村振兴工作经费2.5万元。</w:t>
      </w:r>
    </w:p>
    <w:p w14:paraId="4A6CD007">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3" w:firstLineChars="200"/>
        <w:textAlignment w:val="auto"/>
        <w:rPr>
          <w:b/>
          <w:bCs/>
          <w:sz w:val="30"/>
          <w:szCs w:val="30"/>
        </w:rPr>
      </w:pPr>
      <w:r>
        <w:rPr>
          <w:rFonts w:eastAsia="仿宋_GB2312"/>
          <w:b/>
          <w:bCs/>
          <w:sz w:val="32"/>
          <w:szCs w:val="32"/>
        </w:rPr>
        <w:t>“</w:t>
      </w:r>
      <w:r>
        <w:rPr>
          <w:rFonts w:hint="eastAsia" w:eastAsia="仿宋_GB2312"/>
          <w:b/>
          <w:bCs/>
          <w:sz w:val="32"/>
          <w:szCs w:val="32"/>
        </w:rPr>
        <w:t>三公</w:t>
      </w:r>
      <w:r>
        <w:rPr>
          <w:rFonts w:eastAsia="仿宋_GB2312"/>
          <w:b/>
          <w:bCs/>
          <w:sz w:val="32"/>
          <w:szCs w:val="32"/>
        </w:rPr>
        <w:t>”</w:t>
      </w:r>
      <w:r>
        <w:rPr>
          <w:rFonts w:hint="eastAsia" w:eastAsia="仿宋_GB2312"/>
          <w:b/>
          <w:bCs/>
          <w:sz w:val="32"/>
          <w:szCs w:val="32"/>
        </w:rPr>
        <w:t>经费情况</w:t>
      </w:r>
    </w:p>
    <w:p w14:paraId="7AFF040B">
      <w:pPr>
        <w:pStyle w:val="3"/>
        <w:jc w:val="both"/>
        <w:rPr>
          <w:rFonts w:hint="default"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2024年“三公”经费支出1.27万元。其中：</w:t>
      </w:r>
    </w:p>
    <w:p w14:paraId="68A627C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1．因公出国（境）费用0万元；</w:t>
      </w:r>
    </w:p>
    <w:p w14:paraId="535AE24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2．公务接待费0.26万元；</w:t>
      </w:r>
    </w:p>
    <w:p w14:paraId="515B6B3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3．公务用车购置及运行费1.01万元。</w:t>
      </w:r>
    </w:p>
    <w:p w14:paraId="7F93B3B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b/>
          <w:bCs/>
          <w:color w:val="auto"/>
          <w:sz w:val="32"/>
          <w:szCs w:val="32"/>
        </w:rPr>
      </w:pPr>
      <w:r>
        <w:rPr>
          <w:rFonts w:hint="eastAsia" w:ascii="黑体" w:hAnsi="黑体" w:eastAsia="黑体"/>
          <w:b/>
          <w:bCs/>
          <w:color w:val="auto"/>
          <w:sz w:val="32"/>
          <w:szCs w:val="32"/>
        </w:rPr>
        <w:t>三、部门整体支出绩效情况</w:t>
      </w:r>
    </w:p>
    <w:p w14:paraId="54E2072E">
      <w:pPr>
        <w:pStyle w:val="6"/>
        <w:rPr>
          <w:rFonts w:hint="eastAsia" w:ascii="仿宋" w:hAnsi="仿宋" w:eastAsia="仿宋" w:cs="仿宋"/>
        </w:rPr>
      </w:pPr>
      <w:r>
        <w:rPr>
          <w:rFonts w:hint="eastAsia" w:ascii="仿宋" w:hAnsi="仿宋" w:eastAsia="仿宋" w:cs="仿宋"/>
        </w:rPr>
        <w:t>（一）运行成本</w:t>
      </w:r>
    </w:p>
    <w:p w14:paraId="7CFB723B">
      <w:pPr>
        <w:pStyle w:val="6"/>
        <w:rPr>
          <w:rFonts w:hint="eastAsia" w:ascii="仿宋" w:hAnsi="仿宋" w:eastAsia="仿宋" w:cs="仿宋"/>
        </w:rPr>
      </w:pPr>
      <w:r>
        <w:rPr>
          <w:rFonts w:hint="eastAsia" w:ascii="仿宋" w:hAnsi="仿宋" w:eastAsia="仿宋" w:cs="仿宋"/>
          <w:lang w:eastAsia="zh-CN"/>
        </w:rPr>
        <w:t>县</w:t>
      </w:r>
      <w:r>
        <w:rPr>
          <w:rFonts w:hint="eastAsia" w:ascii="仿宋" w:hAnsi="仿宋" w:eastAsia="仿宋" w:cs="仿宋"/>
        </w:rPr>
        <w:t>科协严格按照预算法、行政事业单位财务管理制度等法律法规、规章规制度执行，厉行节约，反对浪费，不断改进完善内部管理机制，</w:t>
      </w:r>
      <w:r>
        <w:rPr>
          <w:rFonts w:hint="eastAsia" w:ascii="仿宋" w:hAnsi="仿宋" w:eastAsia="仿宋" w:cs="仿宋"/>
          <w:kern w:val="2"/>
          <w:sz w:val="30"/>
          <w:szCs w:val="30"/>
          <w:lang w:val="en-US" w:eastAsia="zh-CN" w:bidi="ar-SA"/>
        </w:rPr>
        <w:t>2024年度收入214.78万元，其中：县财政预算安排208.63万元，其他收入6.15万元。2024年部门整体支出219.37万元，其中：基本支出105.57万元，项目支出113.8万元。</w:t>
      </w:r>
    </w:p>
    <w:p w14:paraId="1125ACD6">
      <w:pPr>
        <w:pStyle w:val="6"/>
        <w:numPr>
          <w:ilvl w:val="0"/>
          <w:numId w:val="2"/>
        </w:numPr>
        <w:rPr>
          <w:rFonts w:hint="eastAsia" w:ascii="仿宋" w:hAnsi="仿宋" w:eastAsia="仿宋" w:cs="仿宋"/>
        </w:rPr>
      </w:pPr>
      <w:r>
        <w:rPr>
          <w:rFonts w:hint="eastAsia" w:ascii="仿宋" w:hAnsi="仿宋" w:eastAsia="仿宋" w:cs="仿宋"/>
        </w:rPr>
        <w:t>履职效能</w:t>
      </w:r>
    </w:p>
    <w:p w14:paraId="085296F8">
      <w:pPr>
        <w:pStyle w:val="6"/>
        <w:numPr>
          <w:ilvl w:val="0"/>
          <w:numId w:val="0"/>
        </w:numPr>
        <w:ind w:firstLine="640" w:firstLineChars="200"/>
        <w:rPr>
          <w:rFonts w:hint="eastAsia" w:ascii="仿宋" w:hAnsi="仿宋" w:eastAsia="仿宋" w:cs="仿宋"/>
          <w:lang w:val="en-US" w:eastAsia="zh-CN"/>
        </w:rPr>
      </w:pPr>
      <w:r>
        <w:rPr>
          <w:rFonts w:hint="eastAsia" w:ascii="仿宋" w:hAnsi="仿宋" w:eastAsia="仿宋" w:cs="仿宋"/>
          <w:lang w:val="en-US" w:eastAsia="zh-CN"/>
        </w:rPr>
        <w:t xml:space="preserve">  2024年，隆回县科协在县委、县政府的坚强领导和省市科协的精心指导下，锚定“三高四新”美好蓝图，围绕“农业富县、工业强县、生态秀县、教育兴县”发展战略，以巩固全国科普示范县创建成果为抓手，认真履行“四个服务”职能职责，圆满完成各项工作任务。隆回县人民政府有望被中国科协表扬为“全国科普日”活动优秀组织单位，隆回县科协获评“湖南省航天育种科普活动优秀组织单位”和“邵阳市第45届青少年科技创新大赛”“2024年邵阳市青少年机器人竞赛”优秀组织单位。</w:t>
      </w:r>
    </w:p>
    <w:p w14:paraId="1800B78A">
      <w:pPr>
        <w:pStyle w:val="6"/>
        <w:numPr>
          <w:ilvl w:val="0"/>
          <w:numId w:val="0"/>
        </w:numPr>
        <w:ind w:firstLine="643" w:firstLineChars="200"/>
        <w:rPr>
          <w:rFonts w:hint="eastAsia" w:ascii="仿宋" w:hAnsi="仿宋" w:eastAsia="仿宋" w:cs="仿宋"/>
          <w:b/>
          <w:bCs/>
          <w:lang w:val="en-US" w:eastAsia="zh-CN"/>
        </w:rPr>
      </w:pPr>
      <w:r>
        <w:rPr>
          <w:rFonts w:hint="eastAsia" w:ascii="仿宋" w:hAnsi="仿宋" w:eastAsia="仿宋" w:cs="仿宋"/>
          <w:b/>
          <w:bCs/>
          <w:lang w:val="en-US" w:eastAsia="zh-CN"/>
        </w:rPr>
        <w:t>一、坚持党建统领，全面加强思想政治建设</w:t>
      </w:r>
    </w:p>
    <w:p w14:paraId="6E4BB8E6">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（一）扛牢全面从严治党责任。</w:t>
      </w:r>
      <w:r>
        <w:rPr>
          <w:rFonts w:hint="eastAsia" w:ascii="仿宋" w:hAnsi="仿宋" w:eastAsia="仿宋" w:cs="仿宋"/>
          <w:lang w:val="en-US" w:eastAsia="zh-CN"/>
        </w:rPr>
        <w:t>坚持把党的政治纪律和政治规矩摆在首位，常态化开展党性党纪学习教育，深入开展深化“明方向、立规矩、正风气、强免疫”干部队伍作风建设专项整治活动，深化党性党风党纪和廉洁从政教育，通过上廉政党课、廉政教育警示谈心谈话、通报身边典型案例等多种形式，深化以案为鉴、以案促改，筑牢党员干部拒腐防变防线。</w:t>
      </w:r>
    </w:p>
    <w:p w14:paraId="730A12D6">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（二）严格落实意识形态责任。</w:t>
      </w:r>
      <w:r>
        <w:rPr>
          <w:rFonts w:hint="eastAsia" w:ascii="仿宋" w:hAnsi="仿宋" w:eastAsia="仿宋" w:cs="仿宋"/>
          <w:lang w:val="en-US" w:eastAsia="zh-CN"/>
        </w:rPr>
        <w:t>建立意识形态工作研判机制和意识形态报告制，明确党组班子成员责任分工，及时上报意识形态领域重大情况，累计召开4次党组会议研究意识形态工作，并按照“一岗双责”要求，坚持党组书记带头抓、分管领导具体抓，形成工作合力。规范党员干部网络行为，坚持正确舆论导向，提升“科普隆回”微信公众号等网上阵地政治功能，利用科普宣传栏、科普显示屏等宣传阵地积极传播党的思想，传递党的声音，牢牢把握正确舆论导向。</w:t>
      </w:r>
    </w:p>
    <w:p w14:paraId="18FDA437">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（三）加强党纪学习教育。</w:t>
      </w:r>
      <w:r>
        <w:rPr>
          <w:rFonts w:hint="eastAsia" w:ascii="仿宋" w:hAnsi="仿宋" w:eastAsia="仿宋" w:cs="仿宋"/>
          <w:lang w:val="en-US" w:eastAsia="zh-CN"/>
        </w:rPr>
        <w:t>常态化开展党纪学习教育，通过学习典型案例通报、廉政家访、观看警示教育片、参观廉政教育基地等方式，引导党员干部增强纪律意识和规矩意识，严守党的政治纪律和政治规矩，自觉做到心有所畏、言有所戒、行有所止，全年共开展党纪学习教育3次，覆盖全体党员干部。11月份组织全体党员赴怀化通道转兵纪念馆参观红色教育基地，通过现场学习、实地感悟，增强学习的感染力和实效性。</w:t>
      </w:r>
    </w:p>
    <w:p w14:paraId="5DD679F0">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（四）扎实开展“讲、强、树”专项活动。</w:t>
      </w:r>
      <w:r>
        <w:rPr>
          <w:rFonts w:hint="eastAsia" w:ascii="仿宋" w:hAnsi="仿宋" w:eastAsia="仿宋" w:cs="仿宋"/>
          <w:lang w:val="en-US" w:eastAsia="zh-CN"/>
        </w:rPr>
        <w:t>组织党员干部深入学习习近平新时代中国特色社会主义思想、习近平总书记考察湖南重要讲话和指示精神、党的二十届三中全会精神、习近平总书记关于科技创新、科协工作等系列重要讲话和指示批示精神，通过“学比干”岗位大练兵活动，使干部职工熟练掌握科技工作相关的政策法规、业务知识和技能，提高理论水平和专业素养,营造 “比学赶超”的良好氛围，激发竞争意识和进取精神，发现和培养优秀人才，将学习和比拼的成果转化为实干的工作能力，提高工作效率和质量，更好地为推动全县科技工作和科普事业的发展服务。</w:t>
      </w:r>
    </w:p>
    <w:p w14:paraId="4DCAD28B">
      <w:pPr>
        <w:pStyle w:val="6"/>
        <w:numPr>
          <w:ilvl w:val="0"/>
          <w:numId w:val="0"/>
        </w:numPr>
        <w:ind w:firstLine="643" w:firstLineChars="200"/>
        <w:rPr>
          <w:rFonts w:hint="eastAsia" w:ascii="仿宋" w:hAnsi="仿宋" w:eastAsia="仿宋" w:cs="仿宋"/>
          <w:b/>
          <w:bCs/>
          <w:lang w:val="en-US" w:eastAsia="zh-CN"/>
        </w:rPr>
      </w:pPr>
      <w:r>
        <w:rPr>
          <w:rFonts w:hint="eastAsia" w:ascii="仿宋" w:hAnsi="仿宋" w:eastAsia="仿宋" w:cs="仿宋"/>
          <w:b/>
          <w:bCs/>
          <w:lang w:val="en-US" w:eastAsia="zh-CN"/>
        </w:rPr>
        <w:t>二、围绕中心，积极服务经济社会发展</w:t>
      </w:r>
    </w:p>
    <w:p w14:paraId="1D798CAB">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（一）创新平台建设有突破。</w:t>
      </w:r>
      <w:r>
        <w:rPr>
          <w:rFonts w:hint="eastAsia" w:ascii="仿宋" w:hAnsi="仿宋" w:eastAsia="仿宋" w:cs="仿宋"/>
          <w:lang w:val="en-US" w:eastAsia="zh-CN"/>
        </w:rPr>
        <w:t>科技小院建设步伐加快，中国农技协年内批复隆回县小沙江中药材商会、隆回县鸿鑫金银花专业技术协会“金银花科技小院”。目前全县建立国家级科技小院2家、省级科技小院7家。院士专家工作站建设服务到位，军杰公司邹学校院士工作站年度考核被评为合格，协调县人才办给予盛世丰花专家工作站适当经费奖补。</w:t>
      </w:r>
    </w:p>
    <w:p w14:paraId="28B191EA">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（二）科普项目争取有成效。</w:t>
      </w:r>
      <w:r>
        <w:rPr>
          <w:rFonts w:hint="eastAsia" w:ascii="仿宋" w:hAnsi="仿宋" w:eastAsia="仿宋" w:cs="仿宋"/>
          <w:lang w:val="en-US" w:eastAsia="zh-CN"/>
        </w:rPr>
        <w:t>加强对已实施项目的跟踪服务管理和指导，隆回县科协科学普及能力提升和隆回县五丰优质稻开发专业技术协会基层科普阵地建设成功入选湖南省2024年度国家“基层科普行动计划”项目，获得奖补资金16万元，争取项目数位居全市第一。在科普经费中安排9万元，扶持我县特色农产品、龙牙百合、优质稻、特色果蔬等产业和家庭农场、科普带头人等示范体系的发展。</w:t>
      </w:r>
    </w:p>
    <w:p w14:paraId="7D632B71">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（三）服务乡村振兴有力度。</w:t>
      </w:r>
      <w:r>
        <w:rPr>
          <w:rFonts w:hint="eastAsia" w:ascii="仿宋" w:hAnsi="仿宋" w:eastAsia="仿宋" w:cs="仿宋"/>
          <w:lang w:val="en-US" w:eastAsia="zh-CN"/>
        </w:rPr>
        <w:t>在全市成立首家县级农村专业技术协会联合会，与省农技协开展“智惠行动 百会百县乡村行”项目，打造为乡村全面振兴提供科技科普服务的坚实平台。先后邀请省农业厅原巡视员、教授、博导青先国，湖南农大二级教授孙小武、黄大金、市农科院三级研究员欧小球等专家深入中药材、百合等农业基地和田间地头，为产业发展把脉问诊，为广大农民面对面讲授农业种养技术。</w:t>
      </w:r>
    </w:p>
    <w:p w14:paraId="6367B583">
      <w:pPr>
        <w:pStyle w:val="6"/>
        <w:numPr>
          <w:ilvl w:val="0"/>
          <w:numId w:val="0"/>
        </w:numPr>
        <w:ind w:firstLine="643" w:firstLineChars="200"/>
        <w:rPr>
          <w:rFonts w:hint="eastAsia" w:ascii="仿宋" w:hAnsi="仿宋" w:eastAsia="仿宋" w:cs="仿宋"/>
          <w:b/>
          <w:bCs/>
          <w:lang w:val="en-US" w:eastAsia="zh-CN"/>
        </w:rPr>
      </w:pPr>
      <w:r>
        <w:rPr>
          <w:rFonts w:hint="eastAsia" w:ascii="仿宋" w:hAnsi="仿宋" w:eastAsia="仿宋" w:cs="仿宋"/>
          <w:b/>
          <w:bCs/>
          <w:lang w:val="en-US" w:eastAsia="zh-CN"/>
        </w:rPr>
        <w:t>三、用心用情，倾心打造科技工作者之家</w:t>
      </w:r>
    </w:p>
    <w:p w14:paraId="2D11DEE4">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（一）激发队伍活力。</w:t>
      </w:r>
      <w:r>
        <w:rPr>
          <w:rFonts w:hint="eastAsia" w:ascii="仿宋" w:hAnsi="仿宋" w:eastAsia="仿宋" w:cs="仿宋"/>
          <w:lang w:val="en-US" w:eastAsia="zh-CN"/>
        </w:rPr>
        <w:t>11月召开隆回县科协第七次代表大会，圆满完成领导班子换届工作。在专职领导职数减少的情况下，新选举了包含“三长”的5名兼职副主席和1名挂职副主席，接长服务手臂，延伸工作触角，大大提升了科协凝聚力、影响力和战斗力。</w:t>
      </w:r>
    </w:p>
    <w:p w14:paraId="13BEE276">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（二）注重人文关怀。</w:t>
      </w:r>
      <w:r>
        <w:rPr>
          <w:rFonts w:hint="eastAsia" w:ascii="仿宋" w:hAnsi="仿宋" w:eastAsia="仿宋" w:cs="仿宋"/>
          <w:lang w:val="en-US" w:eastAsia="zh-CN"/>
        </w:rPr>
        <w:t>组织开展隆回县2024年“全国科技工作者日”系列活动，召开全县科技工作者、三区科技人才和省市科技特派员代表座谈会，县委常委、组织部长李翠婷亲自看望慰问一线科技工作者。</w:t>
      </w:r>
    </w:p>
    <w:p w14:paraId="569D3DF7">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（三）加强举荐服务。</w:t>
      </w:r>
      <w:r>
        <w:rPr>
          <w:rFonts w:hint="eastAsia" w:ascii="仿宋" w:hAnsi="仿宋" w:eastAsia="仿宋" w:cs="仿宋"/>
          <w:lang w:val="en-US" w:eastAsia="zh-CN"/>
        </w:rPr>
        <w:t>深入湖南军杰食品科技有限公司、湖南三珍农业、湖南盛世丰花科技有限公司等企业调研，了解企业需求和企业科技工作者情况。积极举荐和表彰优秀科技工作者，成功推荐1名科技工作者纳入市“小荷”英才计划。利用“科普隆回”公众号等载体对在基层一线各领域表现突出的10名科技工作者进行宣传推介，增强科技工作者的获得感和荣誉感。</w:t>
      </w:r>
    </w:p>
    <w:p w14:paraId="77F7932B">
      <w:pPr>
        <w:pStyle w:val="6"/>
        <w:numPr>
          <w:ilvl w:val="0"/>
          <w:numId w:val="0"/>
        </w:numPr>
        <w:ind w:firstLine="643" w:firstLineChars="200"/>
        <w:rPr>
          <w:rFonts w:hint="eastAsia" w:ascii="仿宋" w:hAnsi="仿宋" w:eastAsia="仿宋" w:cs="仿宋"/>
          <w:b/>
          <w:bCs/>
          <w:lang w:val="en-US" w:eastAsia="zh-CN"/>
        </w:rPr>
      </w:pPr>
      <w:r>
        <w:rPr>
          <w:rFonts w:hint="eastAsia" w:ascii="仿宋" w:hAnsi="仿宋" w:eastAsia="仿宋" w:cs="仿宋"/>
          <w:b/>
          <w:bCs/>
          <w:lang w:val="en-US" w:eastAsia="zh-CN"/>
        </w:rPr>
        <w:t>四、多措并举，全面提升公民科学素质</w:t>
      </w:r>
    </w:p>
    <w:p w14:paraId="2A4BD803">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（一）扎实开展科普“五进”活动。</w:t>
      </w:r>
      <w:r>
        <w:rPr>
          <w:rFonts w:hint="eastAsia" w:ascii="仿宋" w:hAnsi="仿宋" w:eastAsia="仿宋" w:cs="仿宋"/>
          <w:lang w:val="en-US" w:eastAsia="zh-CN"/>
        </w:rPr>
        <w:t>以科普大篷车、科普宣传展板为载体，联合县政协、县委政法委、县应急局、生态环境局等单位深入机关、农村、社区、学校、企业和宗教场所开展“科学家精神”宣讲和防范外来物种入侵、防灾减灾、环境保护、禁毒、反邪教等科普宣传活动。举办科技劳动教育成果展暨科技小记者进校园活动。组织科技人员开展“科技三下乡”活动，将科学技术送到田间地头各农户手中，科普大篷车行程6200公里，发放科普资料14500多份，科普书籍2200余册。</w:t>
      </w:r>
    </w:p>
    <w:p w14:paraId="3057553F">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（二）着力抓好青少年科技教育和“双走进”工作。</w:t>
      </w:r>
      <w:r>
        <w:rPr>
          <w:rFonts w:hint="eastAsia" w:ascii="仿宋" w:hAnsi="仿宋" w:eastAsia="仿宋" w:cs="仿宋"/>
          <w:lang w:val="en-US" w:eastAsia="zh-CN"/>
        </w:rPr>
        <w:t>加大对全县青少年科技教育学校的指导和投入，青少年科技教育工作“有人、有经费、有制度、有措施”，逐步成为品牌。联合县教育局、团县委等部门，举办第45届隆回县青少年科技创新大赛，选送优秀作品参加市赛和省赛，积极参与2024年邵阳市青少年机器人大赛。在全省第45届青少年科技创新大赛中，隆回获一、二、三等奖共16项，金石桥镇中银小学科技组获省最美小小科学家科技实践类科创团队，隆回县获奖数量和等级居全市第一。在全县92所500人以上的学校开展“百名院士进校园、万名科技工作者上讲台”行动，参与师生超过4万人次。组织科技工作者观摩第38届全国青少年科技创新大赛。湖南沐仙湖等科普教育基地积极开展科普研学，共接待各类研学团60多个7000余人次，助力“双走进”走深落实。</w:t>
      </w:r>
    </w:p>
    <w:p w14:paraId="16CBF8AB">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（三）积极培育科技志愿服务品牌。</w:t>
      </w:r>
      <w:r>
        <w:rPr>
          <w:rFonts w:hint="eastAsia" w:ascii="仿宋" w:hAnsi="仿宋" w:eastAsia="仿宋" w:cs="仿宋"/>
          <w:lang w:val="en-US" w:eastAsia="zh-CN"/>
        </w:rPr>
        <w:t>常态化开展科技志愿服务，成立隆回县科技志愿服务队，志愿者注册人数达2100人，特别是隆回县人民医院蜜蜂科技志愿服务队深入学校、农村、社区开展应急医学科普宣传和现场演练50余次，参与群众3万余人，成为深受群众欢迎的可复制可推广的科技志愿服务品牌。</w:t>
      </w:r>
    </w:p>
    <w:p w14:paraId="1D978B4C">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（四）全力办好流动科技馆巡展。</w:t>
      </w:r>
      <w:r>
        <w:rPr>
          <w:rFonts w:hint="eastAsia" w:ascii="仿宋" w:hAnsi="仿宋" w:eastAsia="仿宋" w:cs="仿宋"/>
          <w:lang w:val="en-US" w:eastAsia="zh-CN"/>
        </w:rPr>
        <w:t>9月12日，中国流动科技馆湖南巡展隆回站在县思源实验学校开展，围绕“体验科学”主题展出集科技性、知识性、趣味性为一体，与科学表演、科学实验、科普影视相结合的互动展品50余件，两个月巡展累计接待参观学生和群众达到6万人次。</w:t>
      </w:r>
    </w:p>
    <w:p w14:paraId="2FA7DE62">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（五）精心组织全国科普日活动。</w:t>
      </w:r>
      <w:r>
        <w:rPr>
          <w:rFonts w:hint="eastAsia" w:ascii="仿宋" w:hAnsi="仿宋" w:eastAsia="仿宋" w:cs="仿宋"/>
          <w:lang w:val="en-US" w:eastAsia="zh-CN"/>
        </w:rPr>
        <w:t>2024年9月12日-10月28日在全县集中开展隆回县全国科普日活动，县委、人大、政府和政协领导，县直各单位主要负责人和乡镇党委政府领导参与主场活动，活动期间各单位结合实际开展各具特色的科普日活动，内容丰富，亮点纷呈。</w:t>
      </w:r>
    </w:p>
    <w:p w14:paraId="6E29458B">
      <w:pPr>
        <w:pStyle w:val="6"/>
        <w:numPr>
          <w:ilvl w:val="0"/>
          <w:numId w:val="0"/>
        </w:numPr>
        <w:ind w:firstLine="643" w:firstLineChars="200"/>
        <w:rPr>
          <w:rFonts w:hint="eastAsia" w:ascii="仿宋" w:hAnsi="仿宋" w:eastAsia="仿宋" w:cs="仿宋"/>
          <w:lang w:val="en-US" w:eastAsia="zh-CN"/>
        </w:rPr>
      </w:pPr>
      <w:r>
        <w:rPr>
          <w:rFonts w:hint="eastAsia" w:ascii="仿宋" w:hAnsi="仿宋" w:eastAsia="仿宋" w:cs="仿宋"/>
          <w:b/>
          <w:bCs/>
          <w:lang w:val="en-US" w:eastAsia="zh-CN"/>
        </w:rPr>
        <w:t>（六）推进科普信息化建设。</w:t>
      </w:r>
      <w:r>
        <w:rPr>
          <w:rFonts w:hint="eastAsia" w:ascii="仿宋" w:hAnsi="仿宋" w:eastAsia="仿宋" w:cs="仿宋"/>
          <w:lang w:val="en-US" w:eastAsia="zh-CN"/>
        </w:rPr>
        <w:t xml:space="preserve">利用科普大篷车、科普显示屏、宣传栏、科普宣传片等载体，以“天下隆回”、“科普隆回”公众号等现代传媒为阵地积极宣传科普，吸纳更多公众成为科学知识的倡导者、传播者、践行者。 </w:t>
      </w:r>
    </w:p>
    <w:p w14:paraId="1B3EB8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b/>
          <w:bCs/>
          <w:color w:val="auto"/>
          <w:sz w:val="32"/>
          <w:szCs w:val="32"/>
        </w:rPr>
      </w:pPr>
      <w:r>
        <w:rPr>
          <w:rFonts w:hint="eastAsia" w:ascii="黑体" w:hAnsi="黑体" w:eastAsia="黑体"/>
          <w:b/>
          <w:bCs/>
          <w:color w:val="auto"/>
          <w:sz w:val="32"/>
          <w:szCs w:val="32"/>
          <w:lang w:eastAsia="zh-CN"/>
        </w:rPr>
        <w:t>四、</w:t>
      </w:r>
      <w:r>
        <w:rPr>
          <w:rFonts w:hint="eastAsia" w:ascii="黑体" w:hAnsi="黑体" w:eastAsia="黑体"/>
          <w:b/>
          <w:bCs/>
          <w:color w:val="auto"/>
          <w:sz w:val="32"/>
          <w:szCs w:val="32"/>
        </w:rPr>
        <w:t>存在的问题</w:t>
      </w:r>
    </w:p>
    <w:p w14:paraId="67F951AA">
      <w:pPr>
        <w:pStyle w:val="6"/>
        <w:rPr>
          <w:rFonts w:hint="eastAsia" w:eastAsia="仿宋_GB2312"/>
          <w:lang w:val="en-US" w:eastAsia="zh-CN"/>
        </w:rPr>
      </w:pPr>
      <w:r>
        <w:rPr>
          <w:rFonts w:hint="eastAsia" w:ascii="仿宋_GB2312" w:hAnsi="Times New Roman" w:eastAsia="仿宋_GB2312" w:cs="Times New Roman"/>
          <w:spacing w:val="-8"/>
          <w:kern w:val="2"/>
          <w:sz w:val="32"/>
          <w:szCs w:val="32"/>
          <w:highlight w:val="none"/>
          <w:lang w:val="en-US" w:eastAsia="zh-CN" w:bidi="ar-SA"/>
        </w:rPr>
        <w:t>预算编制不科学,年度预算执行偏差较大。固定资产清查不及时，管理制度不健全。</w:t>
      </w:r>
    </w:p>
    <w:p w14:paraId="543DC62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b/>
          <w:bCs/>
          <w:color w:val="auto"/>
          <w:sz w:val="32"/>
          <w:szCs w:val="32"/>
        </w:rPr>
      </w:pPr>
      <w:r>
        <w:rPr>
          <w:rFonts w:hint="eastAsia" w:ascii="黑体" w:hAnsi="黑体" w:eastAsia="黑体"/>
          <w:b/>
          <w:bCs/>
          <w:color w:val="auto"/>
          <w:sz w:val="32"/>
          <w:szCs w:val="32"/>
        </w:rPr>
        <w:t>五、改进措施和有关建议</w:t>
      </w:r>
    </w:p>
    <w:p w14:paraId="1100E1C4">
      <w:pPr>
        <w:pStyle w:val="6"/>
        <w:rPr>
          <w:rFonts w:hint="eastAsia" w:ascii="仿宋_GB2312" w:hAnsi="Times New Roman" w:eastAsia="仿宋_GB2312" w:cs="Times New Roman"/>
          <w:spacing w:val="-8"/>
          <w:kern w:val="2"/>
          <w:sz w:val="32"/>
          <w:szCs w:val="32"/>
          <w:highlight w:val="none"/>
          <w:lang w:val="en-US" w:eastAsia="zh-CN" w:bidi="ar-SA"/>
        </w:rPr>
      </w:pPr>
      <w:r>
        <w:rPr>
          <w:rFonts w:hint="eastAsia" w:ascii="仿宋_GB2312" w:hAnsi="Times New Roman" w:eastAsia="仿宋_GB2312" w:cs="Times New Roman"/>
          <w:spacing w:val="-8"/>
          <w:kern w:val="2"/>
          <w:sz w:val="32"/>
          <w:szCs w:val="32"/>
          <w:highlight w:val="none"/>
          <w:lang w:val="en-US" w:eastAsia="zh-CN" w:bidi="ar-SA"/>
        </w:rPr>
        <w:t>1.加强预算管理，做到“无预算不支出”。提高预算的编制质量，按照年度预算安排和工作进度，持续加大推进预算执行力度。</w:t>
      </w:r>
    </w:p>
    <w:p w14:paraId="4D53CF1C">
      <w:pPr>
        <w:pStyle w:val="6"/>
        <w:rPr>
          <w:rFonts w:hint="default" w:ascii="仿宋_GB2312" w:hAnsi="Times New Roman" w:eastAsia="仿宋_GB2312" w:cs="Times New Roman"/>
          <w:spacing w:val="-8"/>
          <w:kern w:val="2"/>
          <w:sz w:val="32"/>
          <w:szCs w:val="32"/>
          <w:highlight w:val="none"/>
          <w:lang w:val="en-US" w:eastAsia="zh-CN" w:bidi="ar-SA"/>
        </w:rPr>
      </w:pPr>
      <w:r>
        <w:rPr>
          <w:rFonts w:hint="eastAsia" w:ascii="仿宋_GB2312" w:hAnsi="Times New Roman" w:eastAsia="仿宋_GB2312" w:cs="Times New Roman"/>
          <w:spacing w:val="-8"/>
          <w:kern w:val="2"/>
          <w:sz w:val="32"/>
          <w:szCs w:val="32"/>
          <w:highlight w:val="none"/>
          <w:lang w:val="en-US" w:eastAsia="zh-CN" w:bidi="ar-SA"/>
        </w:rPr>
        <w:t>2.加强固定资产管理，完善各种制度，推动条码管理，定期盘点，及时处置核实闲置报废资产。</w:t>
      </w:r>
    </w:p>
    <w:p w14:paraId="14E49C42">
      <w:pPr>
        <w:pStyle w:val="6"/>
        <w:rPr>
          <w:rFonts w:hint="default" w:ascii="仿宋_GB2312" w:hAnsi="Times New Roman" w:eastAsia="仿宋_GB2312" w:cs="Times New Roman"/>
          <w:spacing w:val="-8"/>
          <w:kern w:val="2"/>
          <w:sz w:val="32"/>
          <w:szCs w:val="32"/>
          <w:highlight w:val="none"/>
          <w:lang w:val="en-US" w:eastAsia="zh-CN" w:bidi="ar-SA"/>
        </w:rPr>
      </w:pPr>
      <w:r>
        <w:rPr>
          <w:rFonts w:hint="eastAsia" w:ascii="仿宋_GB2312" w:hAnsi="Times New Roman" w:eastAsia="仿宋_GB2312" w:cs="Times New Roman"/>
          <w:spacing w:val="-8"/>
          <w:kern w:val="2"/>
          <w:sz w:val="32"/>
          <w:szCs w:val="32"/>
          <w:highlight w:val="none"/>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2F36B"/>
    <w:multiLevelType w:val="singleLevel"/>
    <w:tmpl w:val="BC12F36B"/>
    <w:lvl w:ilvl="0" w:tentative="0">
      <w:start w:val="2"/>
      <w:numFmt w:val="chineseCounting"/>
      <w:suff w:val="nothing"/>
      <w:lvlText w:val="（%1）"/>
      <w:lvlJc w:val="left"/>
      <w:rPr>
        <w:rFonts w:hint="eastAsia"/>
      </w:rPr>
    </w:lvl>
  </w:abstractNum>
  <w:abstractNum w:abstractNumId="1">
    <w:nsid w:val="CD9B8BD1"/>
    <w:multiLevelType w:val="singleLevel"/>
    <w:tmpl w:val="CD9B8BD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xNjZmZTU2YWIzYWViMDAyMzFjOTZmNGQzNWM0YzYifQ=="/>
  </w:docVars>
  <w:rsids>
    <w:rsidRoot w:val="0BFF0429"/>
    <w:rsid w:val="00243E3E"/>
    <w:rsid w:val="013C246A"/>
    <w:rsid w:val="01F233E3"/>
    <w:rsid w:val="023F66B6"/>
    <w:rsid w:val="031E276F"/>
    <w:rsid w:val="0332621A"/>
    <w:rsid w:val="03520036"/>
    <w:rsid w:val="0370464D"/>
    <w:rsid w:val="03B254D9"/>
    <w:rsid w:val="03D5215F"/>
    <w:rsid w:val="04387860"/>
    <w:rsid w:val="0442248D"/>
    <w:rsid w:val="04820ADC"/>
    <w:rsid w:val="04976B0F"/>
    <w:rsid w:val="04983072"/>
    <w:rsid w:val="05087233"/>
    <w:rsid w:val="052728A8"/>
    <w:rsid w:val="064A387B"/>
    <w:rsid w:val="06DC0977"/>
    <w:rsid w:val="075E4F15"/>
    <w:rsid w:val="08065FEA"/>
    <w:rsid w:val="08941AA5"/>
    <w:rsid w:val="08EB6C4F"/>
    <w:rsid w:val="092075F8"/>
    <w:rsid w:val="09574754"/>
    <w:rsid w:val="0A8703D9"/>
    <w:rsid w:val="0AFF69E2"/>
    <w:rsid w:val="0BAE21B6"/>
    <w:rsid w:val="0BFF0429"/>
    <w:rsid w:val="0C4F685B"/>
    <w:rsid w:val="0C741865"/>
    <w:rsid w:val="0C905843"/>
    <w:rsid w:val="0CF80066"/>
    <w:rsid w:val="0D200E92"/>
    <w:rsid w:val="0E305268"/>
    <w:rsid w:val="0F130CAE"/>
    <w:rsid w:val="0F264E85"/>
    <w:rsid w:val="0F557518"/>
    <w:rsid w:val="0F6B655E"/>
    <w:rsid w:val="10282537"/>
    <w:rsid w:val="109B5613"/>
    <w:rsid w:val="111D5839"/>
    <w:rsid w:val="11603F53"/>
    <w:rsid w:val="116457F1"/>
    <w:rsid w:val="116577BB"/>
    <w:rsid w:val="12274A70"/>
    <w:rsid w:val="123E24E6"/>
    <w:rsid w:val="12480792"/>
    <w:rsid w:val="124F64A1"/>
    <w:rsid w:val="13020803"/>
    <w:rsid w:val="133B07D3"/>
    <w:rsid w:val="14107459"/>
    <w:rsid w:val="155212B7"/>
    <w:rsid w:val="161F31E8"/>
    <w:rsid w:val="166D10E3"/>
    <w:rsid w:val="16D74B9E"/>
    <w:rsid w:val="16EB42BE"/>
    <w:rsid w:val="16F94C2D"/>
    <w:rsid w:val="17AC04B0"/>
    <w:rsid w:val="180715CC"/>
    <w:rsid w:val="180A0F04"/>
    <w:rsid w:val="185A16FC"/>
    <w:rsid w:val="18771970"/>
    <w:rsid w:val="18BA672F"/>
    <w:rsid w:val="199D3F96"/>
    <w:rsid w:val="1A8A02B7"/>
    <w:rsid w:val="1A9A6727"/>
    <w:rsid w:val="1AAC0209"/>
    <w:rsid w:val="1AB23A71"/>
    <w:rsid w:val="1BA41D97"/>
    <w:rsid w:val="1DED6B6E"/>
    <w:rsid w:val="1E3429EF"/>
    <w:rsid w:val="1EE95587"/>
    <w:rsid w:val="1EFB4E1D"/>
    <w:rsid w:val="1F002DF3"/>
    <w:rsid w:val="1F044E01"/>
    <w:rsid w:val="1FF42436"/>
    <w:rsid w:val="20230F6D"/>
    <w:rsid w:val="21BA76AF"/>
    <w:rsid w:val="21BF0821"/>
    <w:rsid w:val="21C62EC5"/>
    <w:rsid w:val="226D49F2"/>
    <w:rsid w:val="228850B7"/>
    <w:rsid w:val="228E4DC3"/>
    <w:rsid w:val="22BE4F7D"/>
    <w:rsid w:val="24030E16"/>
    <w:rsid w:val="24303C58"/>
    <w:rsid w:val="24BF2421"/>
    <w:rsid w:val="24DF58B1"/>
    <w:rsid w:val="24EA44CD"/>
    <w:rsid w:val="26003DD3"/>
    <w:rsid w:val="266F0A68"/>
    <w:rsid w:val="2790513A"/>
    <w:rsid w:val="27906EE8"/>
    <w:rsid w:val="284657F9"/>
    <w:rsid w:val="288B50C2"/>
    <w:rsid w:val="28A15125"/>
    <w:rsid w:val="28D177B8"/>
    <w:rsid w:val="293935AF"/>
    <w:rsid w:val="29F36156"/>
    <w:rsid w:val="2BA016C4"/>
    <w:rsid w:val="2C502114"/>
    <w:rsid w:val="2C78619D"/>
    <w:rsid w:val="2CCC4BDE"/>
    <w:rsid w:val="2DBB27E5"/>
    <w:rsid w:val="2E5A7611"/>
    <w:rsid w:val="2E9848D4"/>
    <w:rsid w:val="2FF4279A"/>
    <w:rsid w:val="304C1E1A"/>
    <w:rsid w:val="305A357B"/>
    <w:rsid w:val="30607673"/>
    <w:rsid w:val="306E4E22"/>
    <w:rsid w:val="30DD113F"/>
    <w:rsid w:val="31126BC0"/>
    <w:rsid w:val="313533B2"/>
    <w:rsid w:val="323B0398"/>
    <w:rsid w:val="32B53CA7"/>
    <w:rsid w:val="32DE48F3"/>
    <w:rsid w:val="331650FD"/>
    <w:rsid w:val="3361798A"/>
    <w:rsid w:val="338F44F8"/>
    <w:rsid w:val="33AB1A78"/>
    <w:rsid w:val="33BA52ED"/>
    <w:rsid w:val="33D75E9F"/>
    <w:rsid w:val="340325F8"/>
    <w:rsid w:val="34830C36"/>
    <w:rsid w:val="34B23C65"/>
    <w:rsid w:val="3507410E"/>
    <w:rsid w:val="353335A8"/>
    <w:rsid w:val="35A16764"/>
    <w:rsid w:val="3619514A"/>
    <w:rsid w:val="36E20E99"/>
    <w:rsid w:val="36F40B16"/>
    <w:rsid w:val="37021484"/>
    <w:rsid w:val="37163E07"/>
    <w:rsid w:val="37620175"/>
    <w:rsid w:val="38392C84"/>
    <w:rsid w:val="39744D1E"/>
    <w:rsid w:val="39B12CEE"/>
    <w:rsid w:val="3A39340F"/>
    <w:rsid w:val="3AA20FB4"/>
    <w:rsid w:val="3AF45588"/>
    <w:rsid w:val="3C3A521C"/>
    <w:rsid w:val="3CB52CDC"/>
    <w:rsid w:val="3E201F3A"/>
    <w:rsid w:val="3E7223AA"/>
    <w:rsid w:val="3E886713"/>
    <w:rsid w:val="3F00274D"/>
    <w:rsid w:val="3FC01805"/>
    <w:rsid w:val="40B32198"/>
    <w:rsid w:val="4171093E"/>
    <w:rsid w:val="41CB669E"/>
    <w:rsid w:val="4226071D"/>
    <w:rsid w:val="423B3A9C"/>
    <w:rsid w:val="425F59DD"/>
    <w:rsid w:val="43AF4742"/>
    <w:rsid w:val="43BD0C0D"/>
    <w:rsid w:val="4469669F"/>
    <w:rsid w:val="448434D9"/>
    <w:rsid w:val="456B28EB"/>
    <w:rsid w:val="45DB35CC"/>
    <w:rsid w:val="474653BD"/>
    <w:rsid w:val="48141018"/>
    <w:rsid w:val="48973D5B"/>
    <w:rsid w:val="494B2817"/>
    <w:rsid w:val="4957740E"/>
    <w:rsid w:val="49D547D7"/>
    <w:rsid w:val="4A3431A3"/>
    <w:rsid w:val="4A3634C7"/>
    <w:rsid w:val="4A4831FA"/>
    <w:rsid w:val="4A7E4E7C"/>
    <w:rsid w:val="4C3C28EB"/>
    <w:rsid w:val="4C6A38FC"/>
    <w:rsid w:val="4D081E5F"/>
    <w:rsid w:val="4D1F6494"/>
    <w:rsid w:val="4D52307E"/>
    <w:rsid w:val="4DE44FE8"/>
    <w:rsid w:val="4E395334"/>
    <w:rsid w:val="4EA35D8A"/>
    <w:rsid w:val="4F243B87"/>
    <w:rsid w:val="4F24484D"/>
    <w:rsid w:val="506A3ECB"/>
    <w:rsid w:val="513D3BB6"/>
    <w:rsid w:val="513F5357"/>
    <w:rsid w:val="515D3A2F"/>
    <w:rsid w:val="51BA2949"/>
    <w:rsid w:val="524B7D2C"/>
    <w:rsid w:val="526861E8"/>
    <w:rsid w:val="526C3E84"/>
    <w:rsid w:val="52AD009F"/>
    <w:rsid w:val="532C5467"/>
    <w:rsid w:val="5349426B"/>
    <w:rsid w:val="53DF697E"/>
    <w:rsid w:val="54857525"/>
    <w:rsid w:val="548E5CAE"/>
    <w:rsid w:val="552705DC"/>
    <w:rsid w:val="555F796D"/>
    <w:rsid w:val="55B654BC"/>
    <w:rsid w:val="55F02BA5"/>
    <w:rsid w:val="569A4B0E"/>
    <w:rsid w:val="574D23FA"/>
    <w:rsid w:val="57C739B1"/>
    <w:rsid w:val="58492617"/>
    <w:rsid w:val="5915074C"/>
    <w:rsid w:val="598F04FE"/>
    <w:rsid w:val="59D845ED"/>
    <w:rsid w:val="5AE1122D"/>
    <w:rsid w:val="5CA6395A"/>
    <w:rsid w:val="5D0E3E30"/>
    <w:rsid w:val="5D88268C"/>
    <w:rsid w:val="5E211941"/>
    <w:rsid w:val="5EFF7ED4"/>
    <w:rsid w:val="5F563A58"/>
    <w:rsid w:val="5F772C6D"/>
    <w:rsid w:val="5FE91194"/>
    <w:rsid w:val="60D217DB"/>
    <w:rsid w:val="61616C24"/>
    <w:rsid w:val="625143FC"/>
    <w:rsid w:val="62532C56"/>
    <w:rsid w:val="62724E61"/>
    <w:rsid w:val="635F64C4"/>
    <w:rsid w:val="63EA73A4"/>
    <w:rsid w:val="64E738E4"/>
    <w:rsid w:val="65F432FF"/>
    <w:rsid w:val="677D2C82"/>
    <w:rsid w:val="68316D14"/>
    <w:rsid w:val="68646FFA"/>
    <w:rsid w:val="691E489B"/>
    <w:rsid w:val="6A6634FD"/>
    <w:rsid w:val="6AE14931"/>
    <w:rsid w:val="6CAD4579"/>
    <w:rsid w:val="6CF876A8"/>
    <w:rsid w:val="6D1C6BFA"/>
    <w:rsid w:val="6DDD7632"/>
    <w:rsid w:val="6E9D58ED"/>
    <w:rsid w:val="6EAD542B"/>
    <w:rsid w:val="6EDC27B1"/>
    <w:rsid w:val="6EF410D7"/>
    <w:rsid w:val="6F6C348A"/>
    <w:rsid w:val="6F787969"/>
    <w:rsid w:val="6F875693"/>
    <w:rsid w:val="705D2CAC"/>
    <w:rsid w:val="70FE623D"/>
    <w:rsid w:val="71535E5D"/>
    <w:rsid w:val="72331613"/>
    <w:rsid w:val="72872262"/>
    <w:rsid w:val="72C731C9"/>
    <w:rsid w:val="73171838"/>
    <w:rsid w:val="737E5BE0"/>
    <w:rsid w:val="74277859"/>
    <w:rsid w:val="75A90742"/>
    <w:rsid w:val="76FC5A74"/>
    <w:rsid w:val="772C162A"/>
    <w:rsid w:val="77D53A70"/>
    <w:rsid w:val="782347DB"/>
    <w:rsid w:val="78EC72C3"/>
    <w:rsid w:val="790F6884"/>
    <w:rsid w:val="79284FD5"/>
    <w:rsid w:val="7951722A"/>
    <w:rsid w:val="79FC7092"/>
    <w:rsid w:val="7A044199"/>
    <w:rsid w:val="7A5A7466"/>
    <w:rsid w:val="7A785E04"/>
    <w:rsid w:val="7AA339B1"/>
    <w:rsid w:val="7AAF5CC9"/>
    <w:rsid w:val="7B1A0118"/>
    <w:rsid w:val="7B607AF4"/>
    <w:rsid w:val="7BC731BE"/>
    <w:rsid w:val="7C4B4301"/>
    <w:rsid w:val="7C6432CE"/>
    <w:rsid w:val="7D7358BD"/>
    <w:rsid w:val="7E2D34D3"/>
    <w:rsid w:val="7EA80B44"/>
    <w:rsid w:val="7EDE76AE"/>
    <w:rsid w:val="7F3177DE"/>
    <w:rsid w:val="7F9B2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after="200" w:line="276" w:lineRule="auto"/>
    </w:pPr>
    <w:rPr>
      <w:rFonts w:ascii="Arial" w:hAnsi="Arial" w:eastAsia="宋体" w:cs="Times New Roman"/>
      <w:sz w:val="24"/>
      <w:szCs w:val="24"/>
    </w:rPr>
  </w:style>
  <w:style w:type="paragraph" w:styleId="3">
    <w:name w:val="Body Text"/>
    <w:basedOn w:val="1"/>
    <w:qFormat/>
    <w:uiPriority w:val="0"/>
    <w:pPr>
      <w:jc w:val="center"/>
    </w:pPr>
    <w:rPr>
      <w:rFonts w:ascii="宋体"/>
      <w:b/>
      <w:bCs/>
      <w:sz w:val="44"/>
    </w:rPr>
  </w:style>
  <w:style w:type="paragraph" w:styleId="4">
    <w:name w:val="Body Text Indent"/>
    <w:basedOn w:val="1"/>
    <w:qFormat/>
    <w:uiPriority w:val="0"/>
    <w:pPr>
      <w:ind w:firstLine="640" w:firstLineChars="200"/>
    </w:pPr>
    <w:rPr>
      <w:sz w:val="32"/>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4"/>
    <w:autoRedefine/>
    <w:qFormat/>
    <w:uiPriority w:val="99"/>
    <w:pPr>
      <w:ind w:firstLine="420" w:firstLineChars="200"/>
    </w:pPr>
  </w:style>
  <w:style w:type="character" w:customStyle="1" w:styleId="9">
    <w:name w:val="NormalCharacter"/>
    <w:semiHidden/>
    <w:qFormat/>
    <w:uiPriority w:val="0"/>
  </w:style>
  <w:style w:type="paragraph" w:customStyle="1" w:styleId="10">
    <w:name w:val="p16"/>
    <w:basedOn w:val="1"/>
    <w:autoRedefine/>
    <w:qFormat/>
    <w:uiPriority w:val="99"/>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4909</Words>
  <Characters>5092</Characters>
  <Lines>0</Lines>
  <Paragraphs>0</Paragraphs>
  <TotalTime>17</TotalTime>
  <ScaleCrop>false</ScaleCrop>
  <LinksUpToDate>false</LinksUpToDate>
  <CharactersWithSpaces>5146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2022-04-20T07:33:00Z</dcterms:created>
  <dc:creator>厚达</dc:creator>
  <cp:lastModifiedBy>随风而起</cp:lastModifiedBy>
  <dcterms:modified xsi:type="dcterms:W3CDTF">2025-12-17T03:56:35Z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F966B73E3FE74A19A54A6C8ACCBBB494_13</vt:lpwstr>
  </property>
  <property fmtid="{D5CDD505-2E9C-101B-9397-08002B2CF9AE}" pid="4" name="KSOTemplateDocerSaveRecord">
    <vt:lpwstr>eyJoZGlkIjoiMzUyMGJjZGJkYTMxNmM2MGVkODM5NTNmZjk2YzllNDIiLCJ1c2VySWQiOiIyNzg1MzQ3NzgifQ==</vt:lpwstr>
  </property>
</Properties>
</file>