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隆回县六都寨镇中心学校</w:t>
      </w:r>
    </w:p>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2023年度部门整体支出绩效自评报告</w:t>
      </w:r>
    </w:p>
    <w:p w:rsidR="004B746C" w:rsidRPr="003946F8" w:rsidRDefault="004B746C" w:rsidP="004B746C">
      <w:pPr>
        <w:ind w:firstLine="561"/>
        <w:rPr>
          <w:rFonts w:ascii="华文楷体" w:eastAsia="华文楷体" w:hAnsi="华文楷体" w:hint="eastAsia"/>
          <w:sz w:val="28"/>
          <w:szCs w:val="28"/>
        </w:rPr>
      </w:pPr>
    </w:p>
    <w:p w:rsidR="004B746C" w:rsidRPr="003946F8" w:rsidRDefault="004B746C" w:rsidP="004B746C">
      <w:pPr>
        <w:ind w:firstLine="561"/>
        <w:rPr>
          <w:rFonts w:ascii="华文楷体" w:eastAsia="华文楷体" w:hAnsi="华文楷体" w:cs="黑体" w:hint="eastAsia"/>
          <w:sz w:val="28"/>
          <w:szCs w:val="28"/>
        </w:rPr>
      </w:pPr>
      <w:r w:rsidRPr="003946F8">
        <w:rPr>
          <w:rFonts w:ascii="华文楷体" w:eastAsia="华文楷体" w:hAnsi="华文楷体" w:hint="eastAsia"/>
          <w:sz w:val="28"/>
          <w:szCs w:val="28"/>
        </w:rPr>
        <w:t>根据《隆回县财政局关于开展2023年度部门整体支出绩效自评和县级专项资金支出部门评价工作的通知》隆财绩[2024]4号文件精神。结合本单位实际，通过认真总结和反思，现将我单位的整体绩效自评阐述如下：</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一、部门、单位基本情况</w:t>
      </w:r>
    </w:p>
    <w:p w:rsidR="004B746C" w:rsidRPr="003946F8" w:rsidRDefault="004B746C" w:rsidP="004B746C">
      <w:pPr>
        <w:ind w:firstLine="561"/>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（一）</w:t>
      </w:r>
      <w:r w:rsidRPr="003946F8">
        <w:rPr>
          <w:rFonts w:ascii="华文楷体" w:eastAsia="华文楷体" w:hAnsi="华文楷体" w:hint="eastAsia"/>
          <w:sz w:val="28"/>
          <w:szCs w:val="28"/>
        </w:rPr>
        <w:t>机构设置情况、人员编制情况、主要职能职责、2023年的重点工作、绩效目标设定情况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机构设置情况：20</w:t>
      </w:r>
      <w:r w:rsidRPr="003946F8">
        <w:rPr>
          <w:rFonts w:ascii="华文楷体" w:eastAsia="华文楷体" w:hAnsi="华文楷体"/>
          <w:sz w:val="28"/>
          <w:szCs w:val="28"/>
        </w:rPr>
        <w:t>23</w:t>
      </w:r>
      <w:r w:rsidRPr="003946F8">
        <w:rPr>
          <w:rFonts w:ascii="华文楷体" w:eastAsia="华文楷体" w:hAnsi="华文楷体" w:hint="eastAsia"/>
          <w:sz w:val="28"/>
          <w:szCs w:val="28"/>
        </w:rPr>
        <w:t>年隆回县六都寨镇中心学校包括</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六都寨镇中心学校本级（含</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六都寨镇朝阳小学、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六都寨镇工农小学、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六都寨镇明德小学、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六都寨镇蜡树小学及教学点）、</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六都寨镇中学、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六都寨镇中心小学、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六都寨镇丁山中学、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六都寨镇丁山小学、</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六都寨镇马坪学校、</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六都寨镇西山九年义务制学校、</w:t>
      </w:r>
      <w:r w:rsidRPr="003946F8">
        <w:rPr>
          <w:rFonts w:ascii="华文楷体" w:eastAsia="华文楷体" w:hAnsi="华文楷体" w:hint="eastAsia"/>
          <w:sz w:val="28"/>
          <w:szCs w:val="28"/>
          <w:lang w:bidi="ar"/>
        </w:rPr>
        <w:t>隆回县</w:t>
      </w:r>
      <w:r w:rsidRPr="003946F8">
        <w:rPr>
          <w:rFonts w:ascii="华文楷体" w:eastAsia="华文楷体" w:hAnsi="华文楷体"/>
          <w:sz w:val="28"/>
          <w:szCs w:val="28"/>
          <w:lang w:bidi="ar"/>
        </w:rPr>
        <w:t>六都寨镇幼儿园</w:t>
      </w:r>
      <w:r w:rsidRPr="003946F8">
        <w:rPr>
          <w:rFonts w:ascii="华文楷体" w:eastAsia="华文楷体" w:hAnsi="华文楷体" w:hint="eastAsia"/>
          <w:sz w:val="28"/>
          <w:szCs w:val="28"/>
          <w:lang w:bidi="ar"/>
        </w:rPr>
        <w:t>8</w:t>
      </w:r>
      <w:r w:rsidRPr="003946F8">
        <w:rPr>
          <w:rFonts w:ascii="华文楷体" w:eastAsia="华文楷体" w:hAnsi="华文楷体" w:hint="eastAsia"/>
          <w:sz w:val="28"/>
          <w:szCs w:val="28"/>
        </w:rPr>
        <w:t>个独立编制机构单位。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人员编制情况：六都寨镇中心学校单位编制人数为 347人，年末实际在职人数</w:t>
      </w:r>
      <w:r w:rsidRPr="003946F8">
        <w:rPr>
          <w:rFonts w:ascii="华文楷体" w:eastAsia="华文楷体" w:hAnsi="华文楷体"/>
          <w:sz w:val="28"/>
          <w:szCs w:val="28"/>
        </w:rPr>
        <w:t>3</w:t>
      </w:r>
      <w:r w:rsidRPr="003946F8">
        <w:rPr>
          <w:rFonts w:ascii="华文楷体" w:eastAsia="华文楷体" w:hAnsi="华文楷体" w:hint="eastAsia"/>
          <w:sz w:val="28"/>
          <w:szCs w:val="28"/>
        </w:rPr>
        <w:t>63人（含特岗教师16人），退休人员239人；年末中小学学生6703人；年末实有遗属补助人数</w:t>
      </w:r>
      <w:r w:rsidRPr="003946F8">
        <w:rPr>
          <w:rFonts w:ascii="华文楷体" w:eastAsia="华文楷体" w:hAnsi="华文楷体"/>
          <w:sz w:val="28"/>
          <w:szCs w:val="28"/>
        </w:rPr>
        <w:t>57</w:t>
      </w:r>
      <w:r w:rsidRPr="003946F8">
        <w:rPr>
          <w:rFonts w:ascii="华文楷体" w:eastAsia="华文楷体" w:hAnsi="华文楷体" w:hint="eastAsia"/>
          <w:sz w:val="28"/>
          <w:szCs w:val="28"/>
        </w:rPr>
        <w:t>人。</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主要职能职责：为教育教学提供管理保障。教育教学管理。提供中小学义务教育和学前教育。中小学学历教育。</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023</w:t>
      </w:r>
      <w:r w:rsidRPr="003946F8">
        <w:rPr>
          <w:rFonts w:ascii="华文楷体" w:eastAsia="华文楷体" w:hAnsi="华文楷体" w:hint="eastAsia"/>
          <w:sz w:val="28"/>
          <w:szCs w:val="28"/>
        </w:rPr>
        <w:t>年的重点工作：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做好校园欺凌、疫情防控、防溺水、交通安全、食品安全等综治安全</w:t>
      </w:r>
      <w:r w:rsidR="00CD0197">
        <w:rPr>
          <w:rFonts w:ascii="华文楷体" w:eastAsia="华文楷体" w:hAnsi="华文楷体" w:hint="eastAsia"/>
          <w:sz w:val="28"/>
          <w:szCs w:val="28"/>
        </w:rPr>
        <w:t>维稳</w:t>
      </w:r>
      <w:r w:rsidRPr="003946F8">
        <w:rPr>
          <w:rFonts w:ascii="华文楷体" w:eastAsia="华文楷体" w:hAnsi="华文楷体" w:hint="eastAsia"/>
          <w:sz w:val="28"/>
          <w:szCs w:val="28"/>
        </w:rPr>
        <w:t>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完成年度教育教学工作任务</w:t>
      </w:r>
      <w:r w:rsidR="00CD0197">
        <w:rPr>
          <w:rFonts w:ascii="华文楷体" w:eastAsia="华文楷体" w:hAnsi="华文楷体" w:hint="eastAsia"/>
          <w:sz w:val="28"/>
          <w:szCs w:val="28"/>
        </w:rPr>
        <w:t>，保持重点高中升学率不下降</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Pr="003946F8">
        <w:rPr>
          <w:rFonts w:ascii="华文楷体" w:eastAsia="华文楷体" w:hAnsi="华文楷体"/>
          <w:sz w:val="28"/>
          <w:szCs w:val="28"/>
        </w:rPr>
        <w:t>.</w:t>
      </w:r>
      <w:r w:rsidRPr="003946F8">
        <w:rPr>
          <w:rFonts w:ascii="华文楷体" w:eastAsia="华文楷体" w:hAnsi="华文楷体" w:hint="eastAsia"/>
          <w:sz w:val="28"/>
          <w:szCs w:val="28"/>
        </w:rPr>
        <w:t>改善学校办学条件，提高师生学生生活环境；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4.义务教育均衡发展，教师稳定，质量提高。</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在各级部门领导下，承担中小学教育、学前教育教学工作及教育行政管理事务,为中小学、幼儿园提供教育管理保障；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lastRenderedPageBreak/>
        <w:t>2</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按时完成教育教学任务；</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义务教育稳步、健康运行；</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w:t>
      </w:r>
      <w:r w:rsidR="00C92858">
        <w:rPr>
          <w:rFonts w:ascii="华文楷体" w:eastAsia="华文楷体" w:hAnsi="华文楷体" w:hint="eastAsia"/>
          <w:sz w:val="28"/>
          <w:szCs w:val="28"/>
        </w:rPr>
        <w:t>.</w:t>
      </w:r>
      <w:r w:rsidRPr="003946F8">
        <w:rPr>
          <w:rFonts w:ascii="华文楷体" w:eastAsia="华文楷体" w:hAnsi="华文楷体" w:hint="eastAsia"/>
          <w:sz w:val="28"/>
          <w:szCs w:val="28"/>
        </w:rPr>
        <w:t>学校办学条件逐步改善，办学行为逐步规范</w:t>
      </w:r>
      <w:r w:rsidR="00EE5333">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收入情况：2023年度财政拨款收入6113万元，其中：一般公共预算拨</w:t>
      </w:r>
      <w:r>
        <w:rPr>
          <w:rFonts w:hint="eastAsia"/>
          <w:sz w:val="28"/>
          <w:szCs w:val="28"/>
        </w:rPr>
        <w:t>款</w:t>
      </w:r>
      <w:r w:rsidRPr="003946F8">
        <w:rPr>
          <w:rFonts w:ascii="华文楷体" w:eastAsia="华文楷体" w:hAnsi="华文楷体" w:hint="eastAsia"/>
          <w:sz w:val="28"/>
          <w:szCs w:val="28"/>
        </w:rPr>
        <w:t>6112万元，政府性基金预算</w:t>
      </w:r>
      <w:r>
        <w:rPr>
          <w:rFonts w:hint="eastAsia"/>
          <w:sz w:val="28"/>
          <w:szCs w:val="28"/>
        </w:rPr>
        <w:t>拨款</w:t>
      </w:r>
      <w:r w:rsidRPr="003946F8">
        <w:rPr>
          <w:rFonts w:ascii="华文楷体" w:eastAsia="华文楷体" w:hAnsi="华文楷体" w:hint="eastAsia"/>
          <w:sz w:val="28"/>
          <w:szCs w:val="28"/>
        </w:rPr>
        <w:t>1万元。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支出情况：2023年度支出6113万元，基本支出6008万元，为保障单位机构正常运转、完成日常工作任务而发生的各项支出，包括用于基本工资、津贴补贴等人员经费以及办公费、印刷费、水电费及办公设备购置等日常公用经费</w:t>
      </w:r>
      <w:r>
        <w:rPr>
          <w:rFonts w:hint="eastAsia"/>
          <w:sz w:val="28"/>
          <w:szCs w:val="28"/>
        </w:rPr>
        <w:t>；</w:t>
      </w:r>
      <w:r w:rsidRPr="003946F8">
        <w:rPr>
          <w:rFonts w:ascii="华文楷体" w:eastAsia="华文楷体" w:hAnsi="华文楷体" w:hint="eastAsia"/>
          <w:sz w:val="28"/>
          <w:szCs w:val="28"/>
        </w:rPr>
        <w:t>项目支出105万元</w:t>
      </w:r>
      <w:r w:rsidRPr="003946F8">
        <w:rPr>
          <w:rFonts w:ascii="华文楷体" w:eastAsia="华文楷体" w:hAnsi="华文楷体" w:hint="eastAsia"/>
          <w:sz w:val="28"/>
          <w:szCs w:val="28"/>
          <w:lang w:bidi="ar"/>
        </w:rPr>
        <w:t>，主要是部门为完成特定工作任务或事业发展目标而发生的支出，包括有关事业发展专项、专项业务费、基本建设支出等</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二、部门整体支出管理及使用情况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（一）基本支出情况</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2023年度基本支出6008万元，基本支出中：工资福利支出4469万元（其中基本工资2952万元，津贴补贴377万元，绩效工资549万元，机关养老保险缴费232万元，职工基本医疗保险缴费81万元，公务员医疗补助缴费6万元，其他社会保障缴费60万元，住房公积金156万元，其他工资福利支出57万元）；商品和服务支出766万元；对个人和家庭的补助支出773万元；</w:t>
      </w:r>
    </w:p>
    <w:p w:rsidR="004B746C" w:rsidRPr="00EF3C71" w:rsidRDefault="004B746C" w:rsidP="004B746C">
      <w:pPr>
        <w:ind w:firstLine="561"/>
        <w:rPr>
          <w:rFonts w:ascii="华文楷体" w:eastAsia="华文楷体" w:hAnsi="华文楷体" w:hint="eastAsia"/>
          <w:sz w:val="28"/>
          <w:szCs w:val="28"/>
        </w:rPr>
      </w:pPr>
      <w:r w:rsidRPr="00EF3C71">
        <w:rPr>
          <w:rFonts w:ascii="华文楷体" w:eastAsia="华文楷体" w:hAnsi="华文楷体" w:hint="eastAsia"/>
          <w:sz w:val="28"/>
          <w:szCs w:val="28"/>
        </w:rPr>
        <w:t>（二）</w:t>
      </w:r>
      <w:r w:rsidR="00EF3C71">
        <w:rPr>
          <w:rFonts w:ascii="华文楷体" w:eastAsia="华文楷体" w:hAnsi="华文楷体" w:hint="eastAsia"/>
          <w:sz w:val="28"/>
          <w:szCs w:val="28"/>
        </w:rPr>
        <w:t>项目支出情况</w:t>
      </w:r>
    </w:p>
    <w:p w:rsidR="00EF3C71" w:rsidRPr="00CD0197" w:rsidRDefault="00EF3C71" w:rsidP="00EF3C71">
      <w:pPr>
        <w:pStyle w:val="a0"/>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2023年度办公设备专用设备购置10万元，各中小学教学楼改扩建和附属工程95万元。</w:t>
      </w:r>
    </w:p>
    <w:p w:rsidR="004B746C" w:rsidRPr="003946F8" w:rsidRDefault="004B746C" w:rsidP="004B746C">
      <w:pPr>
        <w:ind w:firstLine="561"/>
        <w:rPr>
          <w:rFonts w:ascii="华文楷体" w:eastAsia="华文楷体" w:hAnsi="华文楷体" w:cs="仿宋" w:hint="eastAsia"/>
          <w:sz w:val="28"/>
          <w:szCs w:val="28"/>
        </w:rPr>
      </w:pPr>
      <w:r w:rsidRPr="003946F8">
        <w:rPr>
          <w:rFonts w:ascii="华文楷体" w:eastAsia="华文楷体" w:hAnsi="华文楷体" w:hint="eastAsia"/>
          <w:sz w:val="28"/>
          <w:szCs w:val="28"/>
        </w:rPr>
        <w:t>（三）“三公”</w:t>
      </w:r>
      <w:r w:rsidRPr="003946F8">
        <w:rPr>
          <w:rFonts w:ascii="华文楷体" w:eastAsia="华文楷体" w:hAnsi="华文楷体" w:cs="仿宋" w:hint="eastAsia"/>
          <w:sz w:val="28"/>
          <w:szCs w:val="28"/>
        </w:rPr>
        <w:t>经费情况</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1.因公出国（境）费用：本单位2023年度无因公出国（境）费用；</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2.公务接待费：本单位2023年度无公务接待费；</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lang w:bidi="ar"/>
        </w:rPr>
        <w:t>3.公务用车购置及运行费：本单位2023年度无公务用车购置及运行费</w:t>
      </w:r>
      <w:r w:rsidRPr="003946F8">
        <w:rPr>
          <w:rFonts w:ascii="华文楷体" w:eastAsia="华文楷体" w:hAnsi="华文楷体" w:hint="eastAsia"/>
          <w:sz w:val="28"/>
          <w:szCs w:val="28"/>
        </w:rPr>
        <w:t>。</w:t>
      </w:r>
    </w:p>
    <w:p w:rsidR="004B746C" w:rsidRPr="00CD0197" w:rsidRDefault="004B746C" w:rsidP="00CD0197">
      <w:pPr>
        <w:ind w:firstLine="561"/>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三、政府性基金预算支出情况</w:t>
      </w:r>
    </w:p>
    <w:p w:rsidR="004B746C" w:rsidRPr="00CD0197" w:rsidRDefault="004B746C" w:rsidP="00CD0197">
      <w:pPr>
        <w:ind w:firstLine="561"/>
        <w:rPr>
          <w:rFonts w:ascii="华文楷体" w:eastAsia="华文楷体" w:hAnsi="华文楷体" w:hint="eastAsia"/>
          <w:sz w:val="28"/>
          <w:szCs w:val="28"/>
        </w:rPr>
      </w:pPr>
      <w:r w:rsidRPr="00CD0197">
        <w:rPr>
          <w:rFonts w:ascii="华文楷体" w:eastAsia="华文楷体" w:hAnsi="华文楷体" w:hint="eastAsia"/>
          <w:sz w:val="28"/>
          <w:szCs w:val="28"/>
        </w:rPr>
        <w:t>本单位2023年度政府性基金支出1万元。</w:t>
      </w:r>
    </w:p>
    <w:p w:rsidR="004B746C" w:rsidRDefault="004B746C" w:rsidP="004B746C">
      <w:pPr>
        <w:ind w:firstLine="561"/>
        <w:rPr>
          <w:sz w:val="28"/>
          <w:szCs w:val="28"/>
        </w:rPr>
      </w:pPr>
      <w:r w:rsidRPr="003946F8">
        <w:rPr>
          <w:rFonts w:ascii="华文楷体" w:eastAsia="华文楷体" w:hAnsi="华文楷体" w:hint="eastAsia"/>
          <w:b/>
          <w:bCs/>
          <w:sz w:val="28"/>
          <w:szCs w:val="28"/>
        </w:rPr>
        <w:lastRenderedPageBreak/>
        <w:t>四、国有资本经营预算支出情况</w:t>
      </w:r>
    </w:p>
    <w:p w:rsidR="004B746C" w:rsidRPr="003946F8" w:rsidRDefault="004B746C" w:rsidP="004B746C">
      <w:pPr>
        <w:ind w:firstLine="561"/>
        <w:rPr>
          <w:rFonts w:ascii="华文楷体" w:eastAsia="华文楷体" w:hAnsi="华文楷体" w:hint="eastAsia"/>
          <w:b/>
          <w:bCs/>
          <w:sz w:val="28"/>
          <w:szCs w:val="28"/>
        </w:rPr>
      </w:pPr>
      <w:r w:rsidRPr="003946F8">
        <w:rPr>
          <w:rFonts w:ascii="华文楷体" w:eastAsia="华文楷体" w:hAnsi="华文楷体" w:hint="eastAsia"/>
          <w:sz w:val="28"/>
          <w:szCs w:val="28"/>
        </w:rPr>
        <w:t>本单位2023年度无国有资本经营收支。</w:t>
      </w:r>
    </w:p>
    <w:p w:rsidR="004B746C" w:rsidRDefault="004B746C" w:rsidP="004B746C">
      <w:pPr>
        <w:ind w:firstLine="561"/>
        <w:rPr>
          <w:sz w:val="28"/>
          <w:szCs w:val="28"/>
        </w:rPr>
      </w:pPr>
      <w:r w:rsidRPr="003946F8">
        <w:rPr>
          <w:rFonts w:ascii="华文楷体" w:eastAsia="华文楷体" w:hAnsi="华文楷体" w:hint="eastAsia"/>
          <w:sz w:val="28"/>
          <w:szCs w:val="28"/>
        </w:rPr>
        <w:t>五、社会保险基金预算支出情况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本单位2023年度无社会保险基金预算收支。</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六、部门整体支出绩效情况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政府会计制度执行情况：资金拨付严格按程序申报、审批，合理合规使用资金，确保财政资金安全。</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资产管理：及时按照要求报送资产情况报表，确保各项资产核算准确、帐实相符、管理到位。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预决算公开：及时在县人民政府门户网站上进行了预决算公开。</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“三公经费”控制情况：能严格遵守各项规章制度，严控“三公”经费支出，并及时在县人民政府门户网站上对“三公”经费情况进行公示。</w:t>
      </w:r>
    </w:p>
    <w:p w:rsidR="004B746C" w:rsidRPr="00985270" w:rsidRDefault="004B746C" w:rsidP="00985270">
      <w:pPr>
        <w:ind w:firstLine="561"/>
        <w:rPr>
          <w:rFonts w:ascii="华文楷体" w:eastAsia="华文楷体" w:hAnsi="华文楷体" w:hint="eastAsia"/>
          <w:sz w:val="28"/>
          <w:szCs w:val="28"/>
        </w:rPr>
      </w:pPr>
      <w:r w:rsidRPr="00985270">
        <w:rPr>
          <w:rFonts w:ascii="华文楷体" w:eastAsia="华文楷体" w:hAnsi="华文楷体" w:hint="eastAsia"/>
          <w:sz w:val="28"/>
          <w:szCs w:val="28"/>
        </w:rPr>
        <w:t>认真履行职责，及时报送财政资金信息、财务报表等有关资料。</w:t>
      </w:r>
    </w:p>
    <w:p w:rsid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七、存在的问题</w:t>
      </w:r>
    </w:p>
    <w:p w:rsidR="004B746C" w:rsidRP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1.预算编制工作有待提高。预算编制跟不上学校实际支出，预算编制的合理性需要提高，预算执行力度还要进一步加强。</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2.学校公用经费预算有待提高，特别是小规模学校运转困难。</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3.工会经费预算严重不足。</w:t>
      </w:r>
    </w:p>
    <w:p w:rsidR="004B746C" w:rsidRPr="00CD0197" w:rsidRDefault="004B746C" w:rsidP="004B746C">
      <w:pPr>
        <w:ind w:firstLineChars="200" w:firstLine="560"/>
        <w:rPr>
          <w:rFonts w:ascii="华文楷体" w:eastAsia="华文楷体" w:hAnsi="华文楷体" w:hint="eastAsia"/>
          <w:sz w:val="28"/>
          <w:szCs w:val="28"/>
        </w:rPr>
      </w:pPr>
      <w:r w:rsidRPr="00CD0197">
        <w:rPr>
          <w:rFonts w:ascii="华文楷体" w:eastAsia="华文楷体" w:hAnsi="华文楷体"/>
          <w:sz w:val="28"/>
          <w:szCs w:val="28"/>
        </w:rPr>
        <w:t>4</w:t>
      </w:r>
      <w:r w:rsidRPr="00CD0197">
        <w:rPr>
          <w:rFonts w:ascii="华文楷体" w:eastAsia="华文楷体" w:hAnsi="华文楷体" w:hint="eastAsia"/>
          <w:sz w:val="28"/>
          <w:szCs w:val="28"/>
        </w:rPr>
        <w:t>.残疾人就业保障金财政年初未</w:t>
      </w:r>
      <w:r w:rsidR="00CD0197">
        <w:rPr>
          <w:rFonts w:ascii="华文楷体" w:eastAsia="华文楷体" w:hAnsi="华文楷体" w:hint="eastAsia"/>
          <w:sz w:val="28"/>
          <w:szCs w:val="28"/>
        </w:rPr>
        <w:t>纳入</w:t>
      </w:r>
      <w:r w:rsidRPr="00CD0197">
        <w:rPr>
          <w:rFonts w:ascii="华文楷体" w:eastAsia="华文楷体" w:hAnsi="华文楷体" w:hint="eastAsia"/>
          <w:sz w:val="28"/>
          <w:szCs w:val="28"/>
        </w:rPr>
        <w:t>预算，均为学校公用经费承担。</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八、改进措施及有关建议</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CD0197">
        <w:rPr>
          <w:rFonts w:ascii="华文楷体" w:eastAsia="华文楷体" w:hAnsi="华文楷体" w:hint="eastAsia"/>
          <w:sz w:val="28"/>
          <w:szCs w:val="28"/>
        </w:rPr>
        <w:t>1.细化预算编制工作，认</w:t>
      </w:r>
      <w:r w:rsidRPr="003946F8">
        <w:rPr>
          <w:rFonts w:ascii="华文楷体" w:eastAsia="华文楷体" w:hAnsi="华文楷体" w:cs="仿宋_GB2312" w:hint="eastAsia"/>
          <w:sz w:val="28"/>
          <w:szCs w:val="28"/>
        </w:rPr>
        <w:t>真做好预算的编制。进一步加强单位内部机构各科室的预算管理意识，严格按照预算编制的相关制度和要求进行预算编制，尽量压缩变动性的、有控制空间的费用项目，进一步提高预算编制的科学性、严谨性和可控性。</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2.加强财务管理，严格财务审核。加强单位财务管理，在费用报</w:t>
      </w:r>
      <w:r w:rsidRPr="003946F8">
        <w:rPr>
          <w:rFonts w:ascii="华文楷体" w:eastAsia="华文楷体" w:hAnsi="华文楷体" w:cs="仿宋_GB2312" w:hint="eastAsia"/>
          <w:sz w:val="28"/>
          <w:szCs w:val="28"/>
        </w:rPr>
        <w:lastRenderedPageBreak/>
        <w:t>账支付时，按照预算规定的费用项目和用途进行资金使用审核、列报支付、财务核算，杜绝超支现象的发生。</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3.完善资产管理，抓好“三公”经费控制。把关“三公”经费支出的审核、审批，杜绝挪用和挤占其他预算资金行为；合理压缩“三公”经费支出。</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4.希望政府部门能落实解决单位的工会经费缺口、残保金全额纳入年初预算、临聘人员全额纳入预算等资金。</w:t>
      </w:r>
    </w:p>
    <w:p w:rsidR="004B746C" w:rsidRPr="003946F8" w:rsidRDefault="004B746C" w:rsidP="004B746C">
      <w:pPr>
        <w:ind w:firstLine="561"/>
        <w:rPr>
          <w:rFonts w:ascii="华文楷体" w:eastAsia="华文楷体" w:hAnsi="华文楷体" w:hint="eastAsia"/>
          <w:sz w:val="28"/>
          <w:szCs w:val="28"/>
        </w:rPr>
      </w:pPr>
    </w:p>
    <w:p w:rsidR="004B746C" w:rsidRPr="00CD0197" w:rsidRDefault="004B746C" w:rsidP="00EF3C71">
      <w:pPr>
        <w:pStyle w:val="a0"/>
        <w:rPr>
          <w:rFonts w:ascii="华文楷体" w:eastAsia="华文楷体" w:hAnsi="华文楷体" w:cs="仿宋_GB2312" w:hint="eastAsia"/>
          <w:sz w:val="28"/>
          <w:szCs w:val="28"/>
        </w:rPr>
      </w:pPr>
      <w:r w:rsidRPr="00CD0197">
        <w:rPr>
          <w:rFonts w:ascii="华文楷体" w:eastAsia="华文楷体" w:hAnsi="华文楷体" w:cs="仿宋_GB2312" w:hint="eastAsia"/>
          <w:sz w:val="28"/>
          <w:szCs w:val="28"/>
        </w:rPr>
        <w:t>附件：</w:t>
      </w:r>
    </w:p>
    <w:p w:rsidR="004B746C" w:rsidRPr="00CD0197" w:rsidRDefault="004B746C" w:rsidP="00EF3C71">
      <w:pPr>
        <w:pStyle w:val="a0"/>
        <w:rPr>
          <w:rFonts w:ascii="华文楷体" w:eastAsia="华文楷体" w:hAnsi="华文楷体" w:cs="仿宋_GB2312" w:hint="eastAsia"/>
          <w:sz w:val="28"/>
          <w:szCs w:val="28"/>
        </w:rPr>
      </w:pPr>
      <w:r w:rsidRPr="00CD0197">
        <w:rPr>
          <w:rFonts w:ascii="华文楷体" w:eastAsia="华文楷体" w:hAnsi="华文楷体" w:cs="仿宋_GB2312" w:hint="eastAsia"/>
          <w:sz w:val="28"/>
          <w:szCs w:val="28"/>
        </w:rPr>
        <w:t>1.部门整体支出绩效评价基础数据表</w:t>
      </w:r>
    </w:p>
    <w:p w:rsidR="00AA656C" w:rsidRPr="00C26154" w:rsidRDefault="004B746C" w:rsidP="00C26154">
      <w:pPr>
        <w:pStyle w:val="a0"/>
        <w:rPr>
          <w:rFonts w:ascii="华文楷体" w:eastAsia="华文楷体" w:hAnsi="华文楷体" w:cs="仿宋_GB2312" w:hint="eastAsia"/>
          <w:sz w:val="28"/>
          <w:szCs w:val="28"/>
        </w:rPr>
      </w:pPr>
      <w:r w:rsidRPr="00CD0197">
        <w:rPr>
          <w:rFonts w:ascii="华文楷体" w:eastAsia="华文楷体" w:hAnsi="华文楷体" w:cs="仿宋_GB2312" w:hint="eastAsia"/>
          <w:sz w:val="28"/>
          <w:szCs w:val="28"/>
        </w:rPr>
        <w:t>2.部门整体支出绩效自评表</w:t>
      </w:r>
    </w:p>
    <w:sectPr w:rsidR="00AA656C" w:rsidRPr="00C26154">
      <w:headerReference w:type="default" r:id="rId8"/>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0F21" w:rsidRDefault="00CF0F21">
      <w:r>
        <w:separator/>
      </w:r>
    </w:p>
    <w:p w:rsidR="00CF0F21" w:rsidRDefault="00CF0F21"/>
  </w:endnote>
  <w:endnote w:type="continuationSeparator" w:id="0">
    <w:p w:rsidR="00CF0F21" w:rsidRDefault="00CF0F21">
      <w:r>
        <w:continuationSeparator/>
      </w:r>
    </w:p>
    <w:p w:rsidR="00CF0F21" w:rsidRDefault="00CF0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framePr w:wrap="around" w:vAnchor="text" w:hAnchor="margin" w:xAlign="outside" w:y="1"/>
      <w:rPr>
        <w:rStyle w:val="a8"/>
      </w:rPr>
    </w:pPr>
    <w:r>
      <w:fldChar w:fldCharType="begin"/>
    </w:r>
    <w:r>
      <w:rPr>
        <w:rStyle w:val="a8"/>
      </w:rPr>
      <w:instrText xml:space="preserve">PAGE  </w:instrText>
    </w:r>
    <w:r>
      <w:fldChar w:fldCharType="separate"/>
    </w:r>
    <w:r>
      <w:fldChar w:fldCharType="end"/>
    </w:r>
  </w:p>
  <w:p w:rsidR="00AA656C" w:rsidRDefault="00AA656C">
    <w:pPr>
      <w:pStyle w:val="a5"/>
      <w:ind w:right="360" w:firstLine="360"/>
    </w:pPr>
  </w:p>
  <w:p w:rsidR="00C510B9" w:rsidRDefault="00C51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0F21" w:rsidRDefault="00CF0F21">
      <w:r>
        <w:separator/>
      </w:r>
    </w:p>
    <w:p w:rsidR="00CF0F21" w:rsidRDefault="00CF0F21"/>
  </w:footnote>
  <w:footnote w:type="continuationSeparator" w:id="0">
    <w:p w:rsidR="00CF0F21" w:rsidRDefault="00CF0F21">
      <w:r>
        <w:continuationSeparator/>
      </w:r>
    </w:p>
    <w:p w:rsidR="00CF0F21" w:rsidRDefault="00CF0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AA656C">
    <w:pPr>
      <w:pStyle w:val="a6"/>
      <w:pBdr>
        <w:bottom w:val="none" w:sz="0" w:space="0" w:color="auto"/>
      </w:pBdr>
    </w:pPr>
  </w:p>
  <w:p w:rsidR="00C510B9" w:rsidRDefault="00C51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948F8"/>
    <w:multiLevelType w:val="singleLevel"/>
    <w:tmpl w:val="BDF948F8"/>
    <w:lvl w:ilvl="0">
      <w:start w:val="7"/>
      <w:numFmt w:val="chineseCounting"/>
      <w:suff w:val="nothing"/>
      <w:lvlText w:val="%1、"/>
      <w:lvlJc w:val="left"/>
      <w:rPr>
        <w:rFonts w:hint="eastAsia"/>
      </w:rPr>
    </w:lvl>
  </w:abstractNum>
  <w:abstractNum w:abstractNumId="1" w15:restartNumberingAfterBreak="0">
    <w:nsid w:val="EC81D1B1"/>
    <w:multiLevelType w:val="singleLevel"/>
    <w:tmpl w:val="EC81D1B1"/>
    <w:lvl w:ilvl="0">
      <w:start w:val="1"/>
      <w:numFmt w:val="decimal"/>
      <w:suff w:val="nothing"/>
      <w:lvlText w:val="%1、"/>
      <w:lvlJc w:val="left"/>
    </w:lvl>
  </w:abstractNum>
  <w:num w:numId="1" w16cid:durableId="1434937749">
    <w:abstractNumId w:val="0"/>
  </w:num>
  <w:num w:numId="2" w16cid:durableId="5787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MDZjOWVkMWFlNjYwOWZiMDkwNTAzZWZhMDNkOTQifQ=="/>
  </w:docVars>
  <w:rsids>
    <w:rsidRoot w:val="18D538B0"/>
    <w:rsid w:val="000C2560"/>
    <w:rsid w:val="00166A79"/>
    <w:rsid w:val="003752C8"/>
    <w:rsid w:val="00406106"/>
    <w:rsid w:val="004568D8"/>
    <w:rsid w:val="00492C92"/>
    <w:rsid w:val="004966B8"/>
    <w:rsid w:val="004B48CF"/>
    <w:rsid w:val="004B746C"/>
    <w:rsid w:val="004D0398"/>
    <w:rsid w:val="00550918"/>
    <w:rsid w:val="00581FFC"/>
    <w:rsid w:val="00752E7B"/>
    <w:rsid w:val="007539B3"/>
    <w:rsid w:val="00985270"/>
    <w:rsid w:val="00AA656C"/>
    <w:rsid w:val="00B147B4"/>
    <w:rsid w:val="00B80953"/>
    <w:rsid w:val="00C26154"/>
    <w:rsid w:val="00C510B9"/>
    <w:rsid w:val="00C92858"/>
    <w:rsid w:val="00CD0197"/>
    <w:rsid w:val="00CD3C2B"/>
    <w:rsid w:val="00CE5F88"/>
    <w:rsid w:val="00CF0F21"/>
    <w:rsid w:val="00E32C1E"/>
    <w:rsid w:val="00E61CEF"/>
    <w:rsid w:val="00EE5333"/>
    <w:rsid w:val="00EF3C71"/>
    <w:rsid w:val="00F653BB"/>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E5F87"/>
  <w15:docId w15:val="{1B4132CF-1CEB-4231-8C58-DD00F1D6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EF3C71"/>
    <w:pPr>
      <w:spacing w:before="120" w:after="200" w:line="276" w:lineRule="auto"/>
      <w:ind w:firstLineChars="253" w:firstLine="708"/>
    </w:pPr>
    <w:rPr>
      <w:rFonts w:ascii="Arial" w:hAnsi="Arial"/>
      <w:sz w:val="24"/>
    </w:rPr>
  </w:style>
  <w:style w:type="paragraph" w:styleId="a4">
    <w:name w:val="Body Text Indent"/>
    <w:basedOn w:val="a"/>
    <w:autoRedefine/>
    <w:qFormat/>
    <w:pPr>
      <w:ind w:firstLineChars="200" w:firstLine="640"/>
    </w:pPr>
    <w:rPr>
      <w:sz w:val="32"/>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autoRedefine/>
    <w:uiPriority w:val="99"/>
    <w:qFormat/>
    <w:pPr>
      <w:ind w:firstLine="420"/>
    </w:p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4</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448718444@qq.com</cp:lastModifiedBy>
  <cp:revision>23</cp:revision>
  <cp:lastPrinted>2024-04-23T08:44:00Z</cp:lastPrinted>
  <dcterms:created xsi:type="dcterms:W3CDTF">2024-04-25T03:41:00Z</dcterms:created>
  <dcterms:modified xsi:type="dcterms:W3CDTF">2024-08-30T00:06:00Z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