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罗洪镇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172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163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1790.4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1790.4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袁呈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18973970869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单位基本情况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隆回县罗洪镇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172</w:t>
      </w:r>
      <w:r>
        <w:rPr>
          <w:rFonts w:hint="eastAsia" w:ascii="楷体" w:hAnsi="楷体" w:eastAsia="楷体" w:cs="楷体"/>
          <w:sz w:val="28"/>
          <w:szCs w:val="28"/>
        </w:rPr>
        <w:t>人，实际在职人数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163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158</w:t>
      </w:r>
      <w:r>
        <w:rPr>
          <w:rFonts w:hint="eastAsia" w:ascii="楷体" w:hAnsi="楷体" w:eastAsia="楷体" w:cs="楷体"/>
          <w:sz w:val="28"/>
          <w:szCs w:val="28"/>
        </w:rPr>
        <w:t>人，特岗教师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人），退休教师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67</w:t>
      </w:r>
      <w:r>
        <w:rPr>
          <w:rFonts w:hint="eastAsia" w:ascii="楷体" w:hAnsi="楷体" w:eastAsia="楷体" w:cs="楷体"/>
          <w:sz w:val="28"/>
          <w:szCs w:val="28"/>
        </w:rPr>
        <w:t>人。小学教师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92</w:t>
      </w:r>
      <w:r>
        <w:rPr>
          <w:rFonts w:hint="eastAsia" w:ascii="楷体" w:hAnsi="楷体" w:eastAsia="楷体" w:cs="楷体"/>
          <w:sz w:val="28"/>
          <w:szCs w:val="28"/>
        </w:rPr>
        <w:t>人，初中教师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71</w:t>
      </w:r>
      <w:r>
        <w:rPr>
          <w:rFonts w:hint="eastAsia" w:ascii="楷体" w:hAnsi="楷体" w:eastAsia="楷体" w:cs="楷体"/>
          <w:sz w:val="28"/>
          <w:szCs w:val="28"/>
        </w:rPr>
        <w:t>人，学生总人数为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2561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生人数为1674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887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年度决算支出为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1790.4</w:t>
      </w:r>
      <w:r>
        <w:rPr>
          <w:rFonts w:hint="eastAsia" w:ascii="楷体" w:hAnsi="楷体" w:eastAsia="楷体" w:cs="楷体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年度决算数为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1790.4</w:t>
      </w:r>
      <w:r>
        <w:rPr>
          <w:rFonts w:hint="eastAsia" w:ascii="楷体" w:hAnsi="楷体" w:eastAsia="楷体" w:cs="楷体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年年度决算数为0万元，是指单位为完成选定行政工作或事业发展目标而发生的支出，包括有关事业发展专项、专项业务费、基本建设支出等。我单位项目支出由县教育局统一上报。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年我单位“三公”经费 0万元。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1、因公出国(境)费0元；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2、公务接待费0万元；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预决算公开：及时在县人民政府门户网站上进行了预决算公开。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1、预算编制工作有待细化。预算编制不够明确和细化，预算编制的合理性需要提高，预算执行力度还要进一步加强。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2、公用经费的支出数大于预算数。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3、工会经费等人头经费严重不足。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</w:rPr>
        <w:t>经费及工会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罗洪镇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center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年4月21日</w:t>
      </w:r>
    </w:p>
    <w:p>
      <w:pPr>
        <w:spacing w:line="600" w:lineRule="exact"/>
        <w:jc w:val="center"/>
        <w:rPr>
          <w:rFonts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07CB7A51"/>
    <w:rsid w:val="16B34BE9"/>
    <w:rsid w:val="266C025E"/>
    <w:rsid w:val="31830071"/>
    <w:rsid w:val="44F91E86"/>
    <w:rsid w:val="5B930B8F"/>
    <w:rsid w:val="5CB21B90"/>
    <w:rsid w:val="630C5145"/>
    <w:rsid w:val="7614275D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2143</Words>
  <Characters>2240</Characters>
  <Lines>18</Lines>
  <Paragraphs>5</Paragraphs>
  <TotalTime>112</TotalTime>
  <ScaleCrop>false</ScaleCrop>
  <LinksUpToDate>false</LinksUpToDate>
  <CharactersWithSpaces>2413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Administrator</cp:lastModifiedBy>
  <dcterms:modified xsi:type="dcterms:W3CDTF">2022-04-21T01:13:59Z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E23D3F215B3541C79A128521CF2135D7</vt:lpwstr>
  </property>
</Properties>
</file>