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w w:val="96"/>
          <w:sz w:val="44"/>
          <w:szCs w:val="44"/>
          <w:lang w:eastAsia="zh-CN"/>
        </w:rPr>
      </w:pPr>
      <w:r>
        <w:rPr>
          <w:rFonts w:hint="eastAsia" w:ascii="方正小标宋_GBK" w:hAnsi="方正小标宋_GBK" w:eastAsia="方正小标宋_GBK" w:cs="方正小标宋_GBK"/>
          <w:b w:val="0"/>
          <w:bCs w:val="0"/>
          <w:w w:val="96"/>
          <w:sz w:val="44"/>
          <w:szCs w:val="44"/>
          <w:lang w:eastAsia="zh-CN"/>
        </w:rPr>
        <w:t>2025年农作物病虫害专业化统防统治应急防治作业补贴遴选项目入围候选人公示</w:t>
      </w:r>
    </w:p>
    <w:p>
      <w:pPr>
        <w:widowControl/>
        <w:adjustRightInd w:val="0"/>
        <w:snapToGrid w:val="0"/>
        <w:spacing w:line="360" w:lineRule="auto"/>
        <w:ind w:firstLine="640" w:firstLineChars="200"/>
        <w:jc w:val="left"/>
        <w:textAlignment w:val="top"/>
        <w:rPr>
          <w:rFonts w:hint="eastAsia" w:ascii="宋体" w:hAnsi="宋体" w:eastAsia="宋体" w:cs="宋体"/>
          <w:color w:val="auto"/>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隆回县农业局农村委托和兮国际建筑工程咨询有限公司，对2025年农作物病虫害专业化统防统治应急防治作业补贴遴选项目进行公开遴选。</w:t>
      </w:r>
    </w:p>
    <w:p>
      <w:pPr>
        <w:keepNext w:val="0"/>
        <w:keepLines w:val="0"/>
        <w:pageBreakBefore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Times New Roman" w:eastAsia="宋体" w:cs="Times New Roman"/>
          <w:color w:val="auto"/>
          <w:sz w:val="32"/>
          <w:szCs w:val="32"/>
          <w:lang w:val="en-US" w:eastAsia="zh-CN"/>
        </w:rPr>
      </w:pPr>
      <w:r>
        <w:rPr>
          <w:rFonts w:hint="eastAsia" w:ascii="黑体" w:hAnsi="黑体" w:eastAsia="黑体" w:cs="黑体"/>
          <w:color w:val="auto"/>
          <w:sz w:val="32"/>
          <w:szCs w:val="32"/>
          <w:lang w:val="en-US" w:eastAsia="zh-CN"/>
        </w:rPr>
        <w:t>一、项目名称：</w:t>
      </w:r>
      <w:r>
        <w:rPr>
          <w:rFonts w:hint="eastAsia" w:ascii="仿宋_GB2312" w:hAnsi="仿宋_GB2312" w:eastAsia="仿宋_GB2312" w:cs="仿宋_GB2312"/>
          <w:color w:val="auto"/>
          <w:sz w:val="32"/>
          <w:szCs w:val="32"/>
          <w:lang w:val="en-US" w:eastAsia="zh-CN"/>
        </w:rPr>
        <w:t>2025年农作物病虫害专业化统防统治应急防治作业补贴遴选项目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二、项目编号：</w:t>
      </w:r>
      <w:r>
        <w:rPr>
          <w:rFonts w:hint="eastAsia" w:ascii="仿宋_GB2312" w:hAnsi="仿宋_GB2312" w:eastAsia="仿宋_GB2312" w:cs="仿宋_GB2312"/>
          <w:color w:val="auto"/>
          <w:sz w:val="32"/>
          <w:szCs w:val="32"/>
          <w:lang w:val="en-US" w:eastAsia="zh-CN"/>
        </w:rPr>
        <w:t>HXLH-2025-010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三、开标时间：</w:t>
      </w:r>
      <w:r>
        <w:rPr>
          <w:rFonts w:hint="eastAsia" w:ascii="仿宋_GB2312" w:hAnsi="仿宋_GB2312" w:eastAsia="仿宋_GB2312" w:cs="仿宋_GB2312"/>
          <w:color w:val="auto"/>
          <w:sz w:val="32"/>
          <w:szCs w:val="32"/>
          <w:lang w:val="en-US" w:eastAsia="zh-CN"/>
        </w:rPr>
        <w:t>2025年09月26日上午9时30分(北京时间)</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四、评审情况</w:t>
      </w:r>
    </w:p>
    <w:tbl>
      <w:tblPr>
        <w:tblStyle w:val="6"/>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070"/>
        <w:gridCol w:w="923"/>
        <w:gridCol w:w="2898"/>
        <w:gridCol w:w="1378"/>
        <w:gridCol w:w="1264"/>
        <w:gridCol w:w="10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386"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包号</w:t>
            </w:r>
          </w:p>
        </w:tc>
        <w:tc>
          <w:tcPr>
            <w:tcW w:w="576"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包名称</w:t>
            </w:r>
          </w:p>
        </w:tc>
        <w:tc>
          <w:tcPr>
            <w:tcW w:w="497"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排序</w:t>
            </w:r>
          </w:p>
        </w:tc>
        <w:tc>
          <w:tcPr>
            <w:tcW w:w="156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入围候选人</w:t>
            </w:r>
          </w:p>
        </w:tc>
        <w:tc>
          <w:tcPr>
            <w:tcW w:w="742"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资格性审查</w:t>
            </w:r>
          </w:p>
        </w:tc>
        <w:tc>
          <w:tcPr>
            <w:tcW w:w="68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符合性</w:t>
            </w:r>
          </w:p>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审 查</w:t>
            </w:r>
          </w:p>
        </w:tc>
        <w:tc>
          <w:tcPr>
            <w:tcW w:w="555"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综合</w:t>
            </w:r>
          </w:p>
          <w:p>
            <w:pPr>
              <w:widowControl/>
              <w:adjustRightInd w:val="0"/>
              <w:snapToGrid w:val="0"/>
              <w:spacing w:line="240" w:lineRule="auto"/>
              <w:jc w:val="center"/>
              <w:textAlignment w:val="top"/>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86" w:type="pct"/>
            <w:vMerge w:val="restar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包</w:t>
            </w:r>
            <w:r>
              <w:rPr>
                <w:rFonts w:hint="eastAsia" w:ascii="宋体" w:hAnsi="宋体" w:eastAsia="宋体" w:cs="宋体"/>
                <w:color w:val="auto"/>
                <w:sz w:val="21"/>
                <w:szCs w:val="21"/>
                <w:lang w:val="en-US" w:eastAsia="zh-CN"/>
              </w:rPr>
              <w:t>1</w:t>
            </w:r>
          </w:p>
        </w:tc>
        <w:tc>
          <w:tcPr>
            <w:tcW w:w="576" w:type="pct"/>
            <w:vMerge w:val="restar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2025年农作物病虫害专业化统防统治应急防治作业补贴遴选项目</w:t>
            </w:r>
          </w:p>
        </w:tc>
        <w:tc>
          <w:tcPr>
            <w:tcW w:w="497"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第一名</w:t>
            </w:r>
          </w:p>
        </w:tc>
        <w:tc>
          <w:tcPr>
            <w:tcW w:w="1560" w:type="pct"/>
            <w:tcBorders>
              <w:tl2br w:val="nil"/>
              <w:tr2bl w:val="nil"/>
            </w:tcBorders>
            <w:vAlign w:val="center"/>
          </w:tcPr>
          <w:p>
            <w:pPr>
              <w:spacing w:line="280" w:lineRule="exact"/>
              <w:rPr>
                <w:rFonts w:hint="eastAsia" w:ascii="宋体" w:hAnsi="宋体" w:eastAsia="宋体" w:cs="宋体"/>
                <w:color w:val="auto"/>
                <w:sz w:val="21"/>
                <w:szCs w:val="21"/>
                <w:lang w:eastAsia="zh-CN"/>
              </w:rPr>
            </w:pPr>
            <w:r>
              <w:rPr>
                <w:rFonts w:hint="default" w:ascii="宋体" w:hAnsi="Times New Roman" w:eastAsia="宋体" w:cs="Times New Roman"/>
                <w:color w:val="auto"/>
                <w:sz w:val="21"/>
                <w:szCs w:val="21"/>
                <w:lang w:val="en-US" w:eastAsia="zh-CN"/>
              </w:rPr>
              <w:t>隆回县惠农植保专业合作社</w:t>
            </w:r>
          </w:p>
        </w:tc>
        <w:tc>
          <w:tcPr>
            <w:tcW w:w="742"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68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555" w:type="pct"/>
            <w:tcBorders>
              <w:tl2br w:val="nil"/>
              <w:tr2bl w:val="nil"/>
            </w:tcBorders>
            <w:vAlign w:val="center"/>
          </w:tcPr>
          <w:p>
            <w:pPr>
              <w:widowControl/>
              <w:adjustRightInd w:val="0"/>
              <w:snapToGrid w:val="0"/>
              <w:spacing w:line="240" w:lineRule="auto"/>
              <w:jc w:val="center"/>
              <w:textAlignment w:val="top"/>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6" w:type="pct"/>
            <w:vMerge w:val="continue"/>
            <w:tcBorders>
              <w:tl2br w:val="nil"/>
              <w:tr2bl w:val="nil"/>
            </w:tcBorders>
            <w:vAlign w:val="center"/>
          </w:tcPr>
          <w:p>
            <w:pPr>
              <w:widowControl/>
              <w:adjustRightInd w:val="0"/>
              <w:snapToGrid w:val="0"/>
              <w:spacing w:line="240" w:lineRule="auto"/>
              <w:ind w:firstLine="420" w:firstLineChars="200"/>
              <w:jc w:val="center"/>
              <w:textAlignment w:val="top"/>
              <w:rPr>
                <w:rFonts w:hint="eastAsia" w:ascii="宋体" w:hAnsi="宋体" w:eastAsia="宋体" w:cs="宋体"/>
                <w:color w:val="auto"/>
                <w:sz w:val="21"/>
                <w:szCs w:val="21"/>
                <w:lang w:eastAsia="zh-CN"/>
              </w:rPr>
            </w:pPr>
          </w:p>
        </w:tc>
        <w:tc>
          <w:tcPr>
            <w:tcW w:w="576" w:type="pct"/>
            <w:vMerge w:val="continue"/>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p>
        </w:tc>
        <w:tc>
          <w:tcPr>
            <w:tcW w:w="497"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第二名</w:t>
            </w:r>
          </w:p>
        </w:tc>
        <w:tc>
          <w:tcPr>
            <w:tcW w:w="1560" w:type="pct"/>
            <w:tcBorders>
              <w:tl2br w:val="nil"/>
              <w:tr2bl w:val="nil"/>
            </w:tcBorders>
            <w:vAlign w:val="center"/>
          </w:tcPr>
          <w:p>
            <w:pPr>
              <w:spacing w:line="360" w:lineRule="exact"/>
              <w:rPr>
                <w:rFonts w:hint="default" w:ascii="宋体" w:hAnsi="宋体" w:eastAsia="宋体" w:cs="宋体"/>
                <w:color w:val="auto"/>
                <w:sz w:val="21"/>
                <w:szCs w:val="21"/>
                <w:lang w:val="en-US" w:eastAsia="zh-CN"/>
              </w:rPr>
            </w:pPr>
            <w:r>
              <w:rPr>
                <w:rFonts w:hint="default" w:ascii="宋体" w:hAnsi="Times New Roman" w:eastAsia="宋体" w:cs="Times New Roman"/>
                <w:color w:val="auto"/>
                <w:sz w:val="21"/>
                <w:szCs w:val="21"/>
                <w:lang w:val="en-US" w:eastAsia="zh-CN"/>
              </w:rPr>
              <w:t>隆回县益民植保专业合作社</w:t>
            </w:r>
          </w:p>
        </w:tc>
        <w:tc>
          <w:tcPr>
            <w:tcW w:w="742"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68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555" w:type="pct"/>
            <w:tcBorders>
              <w:tl2br w:val="nil"/>
              <w:tr2bl w:val="nil"/>
            </w:tcBorders>
            <w:vAlign w:val="center"/>
          </w:tcPr>
          <w:p>
            <w:pPr>
              <w:widowControl/>
              <w:adjustRightInd w:val="0"/>
              <w:snapToGrid w:val="0"/>
              <w:spacing w:line="240" w:lineRule="auto"/>
              <w:jc w:val="center"/>
              <w:textAlignment w:val="top"/>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86" w:type="pct"/>
            <w:vMerge w:val="continue"/>
            <w:tcBorders>
              <w:tl2br w:val="nil"/>
              <w:tr2bl w:val="nil"/>
            </w:tcBorders>
            <w:vAlign w:val="center"/>
          </w:tcPr>
          <w:p>
            <w:pPr>
              <w:widowControl/>
              <w:adjustRightInd w:val="0"/>
              <w:snapToGrid w:val="0"/>
              <w:spacing w:line="240" w:lineRule="auto"/>
              <w:ind w:firstLine="420" w:firstLineChars="200"/>
              <w:jc w:val="center"/>
              <w:textAlignment w:val="top"/>
              <w:rPr>
                <w:rFonts w:hint="eastAsia" w:ascii="宋体" w:hAnsi="宋体" w:eastAsia="宋体" w:cs="宋体"/>
                <w:color w:val="auto"/>
                <w:sz w:val="21"/>
                <w:szCs w:val="21"/>
                <w:lang w:eastAsia="zh-CN"/>
              </w:rPr>
            </w:pPr>
          </w:p>
        </w:tc>
        <w:tc>
          <w:tcPr>
            <w:tcW w:w="576" w:type="pct"/>
            <w:vMerge w:val="continue"/>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p>
        </w:tc>
        <w:tc>
          <w:tcPr>
            <w:tcW w:w="497"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第三名</w:t>
            </w:r>
          </w:p>
        </w:tc>
        <w:tc>
          <w:tcPr>
            <w:tcW w:w="1560" w:type="pct"/>
            <w:tcBorders>
              <w:tl2br w:val="nil"/>
              <w:tr2bl w:val="nil"/>
            </w:tcBorders>
            <w:vAlign w:val="center"/>
          </w:tcPr>
          <w:p>
            <w:pPr>
              <w:spacing w:line="280" w:lineRule="exact"/>
              <w:rPr>
                <w:rFonts w:hint="default" w:ascii="宋体" w:hAnsi="宋体" w:eastAsia="宋体" w:cs="宋体"/>
                <w:color w:val="auto"/>
                <w:sz w:val="21"/>
                <w:szCs w:val="21"/>
                <w:lang w:val="en-US" w:eastAsia="zh-CN"/>
              </w:rPr>
            </w:pPr>
            <w:r>
              <w:rPr>
                <w:rFonts w:hint="eastAsia" w:ascii="宋体" w:hAnsi="Times New Roman" w:eastAsia="宋体" w:cs="Times New Roman"/>
                <w:color w:val="auto"/>
                <w:sz w:val="21"/>
                <w:szCs w:val="21"/>
                <w:lang w:val="en-US" w:eastAsia="zh-CN"/>
              </w:rPr>
              <w:t>隆回县万顺植保专业合作社</w:t>
            </w:r>
          </w:p>
        </w:tc>
        <w:tc>
          <w:tcPr>
            <w:tcW w:w="742"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68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审查通过</w:t>
            </w:r>
          </w:p>
        </w:tc>
        <w:tc>
          <w:tcPr>
            <w:tcW w:w="555" w:type="pct"/>
            <w:tcBorders>
              <w:tl2br w:val="nil"/>
              <w:tr2bl w:val="nil"/>
            </w:tcBorders>
            <w:vAlign w:val="center"/>
          </w:tcPr>
          <w:p>
            <w:pPr>
              <w:widowControl/>
              <w:adjustRightInd w:val="0"/>
              <w:snapToGrid w:val="0"/>
              <w:spacing w:line="240" w:lineRule="auto"/>
              <w:jc w:val="center"/>
              <w:textAlignment w:val="top"/>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86" w:type="pct"/>
            <w:vMerge w:val="continue"/>
            <w:tcBorders>
              <w:tl2br w:val="nil"/>
              <w:tr2bl w:val="nil"/>
            </w:tcBorders>
            <w:vAlign w:val="center"/>
          </w:tcPr>
          <w:p>
            <w:pPr>
              <w:widowControl/>
              <w:adjustRightInd w:val="0"/>
              <w:snapToGrid w:val="0"/>
              <w:spacing w:line="240" w:lineRule="auto"/>
              <w:ind w:firstLine="420" w:firstLineChars="200"/>
              <w:jc w:val="center"/>
              <w:textAlignment w:val="top"/>
              <w:rPr>
                <w:rFonts w:hint="eastAsia" w:ascii="宋体" w:hAnsi="宋体" w:eastAsia="宋体" w:cs="宋体"/>
                <w:color w:val="auto"/>
                <w:sz w:val="21"/>
                <w:szCs w:val="21"/>
                <w:lang w:eastAsia="zh-CN"/>
              </w:rPr>
            </w:pPr>
          </w:p>
        </w:tc>
        <w:tc>
          <w:tcPr>
            <w:tcW w:w="576" w:type="pct"/>
            <w:vMerge w:val="continue"/>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p>
        </w:tc>
        <w:tc>
          <w:tcPr>
            <w:tcW w:w="497" w:type="pct"/>
            <w:tcBorders>
              <w:tl2br w:val="nil"/>
              <w:tr2bl w:val="nil"/>
            </w:tcBorders>
            <w:vAlign w:val="center"/>
          </w:tcPr>
          <w:p>
            <w:pPr>
              <w:widowControl/>
              <w:adjustRightInd w:val="0"/>
              <w:snapToGrid w:val="0"/>
              <w:spacing w:line="240" w:lineRule="auto"/>
              <w:jc w:val="center"/>
              <w:textAlignment w:val="top"/>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第四名</w:t>
            </w:r>
          </w:p>
        </w:tc>
        <w:tc>
          <w:tcPr>
            <w:tcW w:w="1560" w:type="pct"/>
            <w:tcBorders>
              <w:tl2br w:val="nil"/>
              <w:tr2bl w:val="nil"/>
            </w:tcBorders>
            <w:vAlign w:val="center"/>
          </w:tcPr>
          <w:p>
            <w:pPr>
              <w:spacing w:line="280" w:lineRule="exact"/>
              <w:rPr>
                <w:rFonts w:hint="eastAsia" w:ascii="宋体" w:hAnsi="宋体" w:eastAsia="宋体" w:cs="宋体"/>
                <w:color w:val="auto"/>
                <w:sz w:val="21"/>
                <w:szCs w:val="21"/>
                <w:lang w:val="en-US" w:eastAsia="zh-CN"/>
              </w:rPr>
            </w:pPr>
            <w:r>
              <w:rPr>
                <w:rFonts w:hint="default" w:ascii="宋体" w:hAnsi="Times New Roman" w:eastAsia="宋体" w:cs="Times New Roman"/>
                <w:color w:val="auto"/>
                <w:sz w:val="21"/>
                <w:szCs w:val="21"/>
                <w:lang w:val="en-US" w:eastAsia="zh-CN"/>
              </w:rPr>
              <w:t>隆回县丰收植保专业合作社</w:t>
            </w:r>
          </w:p>
        </w:tc>
        <w:tc>
          <w:tcPr>
            <w:tcW w:w="742"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审查通过</w:t>
            </w:r>
          </w:p>
        </w:tc>
        <w:tc>
          <w:tcPr>
            <w:tcW w:w="680" w:type="pct"/>
            <w:tcBorders>
              <w:tl2br w:val="nil"/>
              <w:tr2bl w:val="nil"/>
            </w:tcBorders>
            <w:vAlign w:val="center"/>
          </w:tcPr>
          <w:p>
            <w:pPr>
              <w:widowControl/>
              <w:adjustRightInd w:val="0"/>
              <w:snapToGrid w:val="0"/>
              <w:spacing w:line="240" w:lineRule="auto"/>
              <w:jc w:val="center"/>
              <w:textAlignment w:val="top"/>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审查通过</w:t>
            </w:r>
          </w:p>
        </w:tc>
        <w:tc>
          <w:tcPr>
            <w:tcW w:w="555" w:type="pct"/>
            <w:tcBorders>
              <w:tl2br w:val="nil"/>
              <w:tr2bl w:val="nil"/>
            </w:tcBorders>
            <w:vAlign w:val="center"/>
          </w:tcPr>
          <w:p>
            <w:pPr>
              <w:widowControl/>
              <w:adjustRightInd w:val="0"/>
              <w:snapToGrid w:val="0"/>
              <w:spacing w:line="240" w:lineRule="auto"/>
              <w:jc w:val="center"/>
              <w:textAlignment w:val="top"/>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auto"/>
          <w:sz w:val="32"/>
          <w:szCs w:val="32"/>
          <w:lang w:val="en-US" w:eastAsia="zh-CN"/>
        </w:rPr>
      </w:pPr>
      <w:r>
        <w:rPr>
          <w:rFonts w:hint="eastAsia" w:ascii="黑体" w:hAnsi="黑体" w:eastAsia="黑体" w:cs="黑体"/>
          <w:color w:val="auto"/>
          <w:sz w:val="32"/>
          <w:szCs w:val="32"/>
          <w:lang w:val="en-US" w:eastAsia="zh-CN"/>
        </w:rPr>
        <w:t>五、发布媒体：在隆回县人民政府网</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"http://www.cebpubservice.com/"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(https://www.longhui.gov.cn</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)上发布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六、公示期：</w:t>
      </w:r>
      <w:r>
        <w:rPr>
          <w:rFonts w:hint="eastAsia" w:ascii="仿宋_GB2312" w:hAnsi="仿宋_GB2312" w:eastAsia="仿宋_GB2312" w:cs="仿宋_GB2312"/>
          <w:color w:val="auto"/>
          <w:sz w:val="32"/>
          <w:szCs w:val="32"/>
          <w:lang w:val="en-US" w:eastAsia="zh-CN"/>
        </w:rPr>
        <w:t>2025年09月28日-2025年09月30日。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七、提出异议的方式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宋体" w:cs="宋体"/>
          <w:color w:val="auto"/>
          <w:sz w:val="32"/>
          <w:szCs w:val="32"/>
          <w:lang w:val="en-US" w:eastAsia="zh-CN"/>
        </w:rPr>
      </w:pPr>
      <w:r>
        <w:rPr>
          <w:rFonts w:hint="eastAsia" w:ascii="仿宋_GB2312" w:hAnsi="仿宋_GB2312" w:eastAsia="仿宋_GB2312" w:cs="仿宋_GB2312"/>
          <w:color w:val="auto"/>
          <w:sz w:val="32"/>
          <w:szCs w:val="32"/>
          <w:lang w:val="en-US" w:eastAsia="zh-CN"/>
        </w:rPr>
        <w:t>遴选申请人或者其他利害关系人对入围侯选人有异议的，可以在入围候选人公示发布之日起三日内，以书面形式向遴选人和代理机构提出质疑(加盖单位公章且法人签字)，由法定代表人或其原授权代表亲自携带企业营业执照副本原件及本人身份证原件提交质疑函(邮寄、传真不予受理)，并以质疑函接受确认日期作为受理时间。逾期未提交或未按照要求提交的质疑函将不予受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八、联系方式</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遴 选 人：隆回县农业农村局 </w:t>
      </w:r>
      <w:r>
        <w:rPr>
          <w:rFonts w:hint="eastAsia" w:ascii="仿宋_GB2312" w:hAnsi="仿宋_GB2312" w:eastAsia="仿宋_GB2312" w:cs="仿宋_GB2312"/>
          <w:color w:val="auto"/>
          <w:sz w:val="32"/>
          <w:szCs w:val="32"/>
          <w:lang w:val="en-US" w:eastAsia="zh-CN"/>
        </w:rPr>
        <w:tab/>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    址：隆回县桃花坪街道富隆社区白竹路8号</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 系 人：邹先生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遴选代理机构：和兮国际建筑工程咨询有限公司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    址：隆回县德铭医院对面丝域养发馆七楼</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联 系 人：刘先生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电    话：15367653976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电子邮箱：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"mailto:281585773@qq.com"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749160872@qq.com</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隆回县农业农村局</w:t>
      </w:r>
    </w:p>
    <w:p>
      <w:pPr>
        <w:keepNext w:val="0"/>
        <w:keepLines w:val="0"/>
        <w:pageBreakBefore w:val="0"/>
        <w:widowControl/>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lang w:val="en-US" w:eastAsia="zh-CN"/>
        </w:rPr>
        <w:t>2025年9月26日</w:t>
      </w:r>
    </w:p>
    <w:sectPr>
      <w:footerReference r:id="rId3" w:type="default"/>
      <w:pgSz w:w="11906" w:h="16838"/>
      <w:pgMar w:top="1701"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书体坊王学勤钢笔行书">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ZjE5ZWI5NzNlZjFiMGM2MDliZjJiNTU4MGE3YTIifQ=="/>
  </w:docVars>
  <w:rsids>
    <w:rsidRoot w:val="533E772C"/>
    <w:rsid w:val="0C6E661E"/>
    <w:rsid w:val="11EE4B46"/>
    <w:rsid w:val="209C5C0F"/>
    <w:rsid w:val="245E76C6"/>
    <w:rsid w:val="35C209BF"/>
    <w:rsid w:val="3FE8625E"/>
    <w:rsid w:val="533E772C"/>
    <w:rsid w:val="6E046FBE"/>
    <w:rsid w:val="7A30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line="360" w:lineRule="auto"/>
      <w:outlineLvl w:val="1"/>
    </w:pPr>
    <w:rPr>
      <w:rFonts w:ascii="Arial" w:hAnsi="Arial" w:eastAsia="宋体"/>
      <w:b/>
      <w:bCs/>
      <w:sz w:val="28"/>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633</Words>
  <Characters>738</Characters>
  <Lines>0</Lines>
  <Paragraphs>0</Paragraphs>
  <TotalTime>5</TotalTime>
  <ScaleCrop>false</ScaleCrop>
  <LinksUpToDate>false</LinksUpToDate>
  <CharactersWithSpaces>789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2024-08-19T09:20:00Z</dcterms:created>
  <dc:creator>Administrator</dc:creator>
  <cp:lastModifiedBy>WPS_1647765658</cp:lastModifiedBy>
  <dcterms:modified xsi:type="dcterms:W3CDTF">2025-09-26T04:50:36Z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92FB8A8911634C488F20E1478DD52954_13</vt:lpwstr>
  </property>
  <property fmtid="{D5CDD505-2E9C-101B-9397-08002B2CF9AE}" pid="4" name="KSOTemplateDocerSaveRecord">
    <vt:lpwstr>eyJoZGlkIjoiYTMwODAyYzZhODIwMDI5NGI0MTY5OGQ3ZmFmYmJhMmEiLCJ1c2VySWQiOiIyNzUxMTEwNDQifQ==</vt:lpwstr>
  </property>
</Properties>
</file>