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41695">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14:paraId="017F2C3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232323"/>
          <w:spacing w:val="0"/>
          <w:sz w:val="21"/>
          <w:szCs w:val="21"/>
        </w:rPr>
      </w:pPr>
      <w:r>
        <w:rPr>
          <w:rFonts w:ascii="华文楷体" w:hAnsi="华文楷体" w:eastAsia="华文楷体" w:cs="华文楷体"/>
          <w:i w:val="0"/>
          <w:iCs w:val="0"/>
          <w:caps w:val="0"/>
          <w:color w:val="232323"/>
          <w:spacing w:val="0"/>
          <w:sz w:val="44"/>
          <w:szCs w:val="44"/>
          <w:shd w:val="clear" w:fill="FFFFFF"/>
        </w:rPr>
        <w:t>隆回县</w:t>
      </w:r>
      <w:r>
        <w:rPr>
          <w:rFonts w:hint="eastAsia" w:ascii="华文楷体" w:hAnsi="华文楷体" w:eastAsia="华文楷体" w:cs="华文楷体"/>
          <w:i w:val="0"/>
          <w:iCs w:val="0"/>
          <w:caps w:val="0"/>
          <w:color w:val="232323"/>
          <w:spacing w:val="0"/>
          <w:sz w:val="44"/>
          <w:szCs w:val="44"/>
          <w:shd w:val="clear" w:fill="FFFFFF"/>
          <w:lang w:val="en-US" w:eastAsia="zh-CN"/>
        </w:rPr>
        <w:t>七江镇</w:t>
      </w:r>
      <w:r>
        <w:rPr>
          <w:rFonts w:ascii="华文楷体" w:hAnsi="华文楷体" w:eastAsia="华文楷体" w:cs="华文楷体"/>
          <w:i w:val="0"/>
          <w:iCs w:val="0"/>
          <w:caps w:val="0"/>
          <w:color w:val="232323"/>
          <w:spacing w:val="0"/>
          <w:sz w:val="44"/>
          <w:szCs w:val="44"/>
          <w:shd w:val="clear" w:fill="FFFFFF"/>
        </w:rPr>
        <w:t>中心学校</w:t>
      </w:r>
    </w:p>
    <w:p w14:paraId="5733CC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232323"/>
          <w:spacing w:val="0"/>
          <w:sz w:val="21"/>
          <w:szCs w:val="21"/>
        </w:rPr>
      </w:pPr>
      <w:r>
        <w:rPr>
          <w:rFonts w:hint="eastAsia" w:ascii="华文楷体" w:hAnsi="华文楷体" w:eastAsia="华文楷体" w:cs="华文楷体"/>
          <w:i w:val="0"/>
          <w:iCs w:val="0"/>
          <w:caps w:val="0"/>
          <w:color w:val="232323"/>
          <w:spacing w:val="0"/>
          <w:sz w:val="44"/>
          <w:szCs w:val="44"/>
          <w:shd w:val="clear" w:fill="FFFFFF"/>
        </w:rPr>
        <w:t>202</w:t>
      </w:r>
      <w:r>
        <w:rPr>
          <w:rFonts w:hint="eastAsia" w:ascii="华文楷体" w:hAnsi="华文楷体" w:eastAsia="华文楷体" w:cs="华文楷体"/>
          <w:i w:val="0"/>
          <w:iCs w:val="0"/>
          <w:caps w:val="0"/>
          <w:color w:val="232323"/>
          <w:spacing w:val="0"/>
          <w:sz w:val="44"/>
          <w:szCs w:val="44"/>
          <w:shd w:val="clear" w:fill="FFFFFF"/>
          <w:lang w:val="en-US" w:eastAsia="zh-CN"/>
        </w:rPr>
        <w:t>4</w:t>
      </w:r>
      <w:r>
        <w:rPr>
          <w:rFonts w:hint="eastAsia" w:ascii="华文楷体" w:hAnsi="华文楷体" w:eastAsia="华文楷体" w:cs="华文楷体"/>
          <w:i w:val="0"/>
          <w:iCs w:val="0"/>
          <w:caps w:val="0"/>
          <w:color w:val="232323"/>
          <w:spacing w:val="0"/>
          <w:sz w:val="44"/>
          <w:szCs w:val="44"/>
          <w:shd w:val="clear" w:fill="FFFFFF"/>
        </w:rPr>
        <w:t>年度部门整体支出绩效自评报告</w:t>
      </w:r>
    </w:p>
    <w:p w14:paraId="3DBF9A11">
      <w:pPr>
        <w:jc w:val="center"/>
        <w:rPr>
          <w:rFonts w:hint="eastAsia" w:ascii="楷体" w:hAnsi="楷体" w:eastAsia="楷体" w:cs="楷体"/>
          <w:b/>
          <w:bCs/>
          <w:sz w:val="32"/>
          <w:szCs w:val="32"/>
        </w:rPr>
      </w:pPr>
    </w:p>
    <w:p w14:paraId="0CA10ECA">
      <w:pPr>
        <w:ind w:firstLine="420" w:firstLineChars="200"/>
        <w:rPr>
          <w:rFonts w:hint="eastAsia" w:ascii="仿宋" w:hAnsi="仿宋" w:eastAsia="仿宋" w:cs="仿宋"/>
        </w:rPr>
      </w:pPr>
    </w:p>
    <w:p w14:paraId="6BB54A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根据《隆回县财政局关于开展202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年度部门整体支出绩效自评和县级专项资金支出部门评价工作的通知》隆财绩[202</w:t>
      </w:r>
      <w:r>
        <w:rPr>
          <w:rFonts w:hint="eastAsia" w:ascii="华文仿宋" w:hAnsi="华文仿宋" w:eastAsia="华文仿宋" w:cs="华文仿宋"/>
          <w:i w:val="0"/>
          <w:iCs w:val="0"/>
          <w:caps w:val="0"/>
          <w:color w:val="232323"/>
          <w:spacing w:val="0"/>
          <w:sz w:val="28"/>
          <w:szCs w:val="28"/>
          <w:shd w:val="clear" w:fill="FFFFFF"/>
          <w:lang w:val="en-US" w:eastAsia="zh-CN"/>
        </w:rPr>
        <w:t>5</w:t>
      </w:r>
      <w:r>
        <w:rPr>
          <w:rFonts w:hint="eastAsia" w:ascii="华文仿宋" w:hAnsi="华文仿宋" w:eastAsia="华文仿宋" w:cs="华文仿宋"/>
          <w:i w:val="0"/>
          <w:iCs w:val="0"/>
          <w:caps w:val="0"/>
          <w:color w:val="232323"/>
          <w:spacing w:val="0"/>
          <w:sz w:val="28"/>
          <w:szCs w:val="28"/>
          <w:shd w:val="clear" w:fill="FFFFFF"/>
        </w:rPr>
        <w:t>]</w:t>
      </w:r>
      <w:r>
        <w:rPr>
          <w:rFonts w:hint="eastAsia" w:ascii="华文仿宋" w:hAnsi="华文仿宋" w:eastAsia="华文仿宋" w:cs="华文仿宋"/>
          <w:i w:val="0"/>
          <w:iCs w:val="0"/>
          <w:caps w:val="0"/>
          <w:color w:val="232323"/>
          <w:spacing w:val="0"/>
          <w:sz w:val="28"/>
          <w:szCs w:val="28"/>
          <w:shd w:val="clear" w:fill="FFFFFF"/>
          <w:lang w:val="en-US" w:eastAsia="zh-CN"/>
        </w:rPr>
        <w:t>2</w:t>
      </w:r>
      <w:r>
        <w:rPr>
          <w:rFonts w:hint="eastAsia" w:ascii="华文仿宋" w:hAnsi="华文仿宋" w:eastAsia="华文仿宋" w:cs="华文仿宋"/>
          <w:i w:val="0"/>
          <w:iCs w:val="0"/>
          <w:caps w:val="0"/>
          <w:color w:val="232323"/>
          <w:spacing w:val="0"/>
          <w:sz w:val="28"/>
          <w:szCs w:val="28"/>
          <w:shd w:val="clear" w:fill="FFFFFF"/>
        </w:rPr>
        <w:t>号文件精神。结合本单位实际，通过认真总结和反思，现将我单位的整体绩效自评阐述如下：</w:t>
      </w:r>
    </w:p>
    <w:p w14:paraId="245889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微软雅黑" w:hAnsi="微软雅黑" w:eastAsia="微软雅黑" w:cs="微软雅黑"/>
          <w:b/>
          <w:bCs/>
          <w:i w:val="0"/>
          <w:iCs w:val="0"/>
          <w:caps w:val="0"/>
          <w:color w:val="232323"/>
          <w:spacing w:val="0"/>
          <w:sz w:val="28"/>
          <w:szCs w:val="28"/>
        </w:rPr>
      </w:pPr>
      <w:r>
        <w:rPr>
          <w:rFonts w:hint="eastAsia" w:ascii="微软雅黑" w:hAnsi="微软雅黑" w:eastAsia="微软雅黑" w:cs="微软雅黑"/>
          <w:b/>
          <w:bCs/>
          <w:i w:val="0"/>
          <w:iCs w:val="0"/>
          <w:caps w:val="0"/>
          <w:color w:val="232323"/>
          <w:spacing w:val="0"/>
          <w:sz w:val="28"/>
          <w:szCs w:val="28"/>
          <w:shd w:val="clear" w:fill="FFFFFF"/>
        </w:rPr>
        <w:t>一、部门、单位基本情况</w:t>
      </w:r>
    </w:p>
    <w:p w14:paraId="78A505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8"/>
          <w:szCs w:val="28"/>
        </w:rPr>
      </w:pPr>
      <w:r>
        <w:rPr>
          <w:rFonts w:hint="eastAsia" w:ascii="WPS灵秀黑" w:hAnsi="WPS灵秀黑" w:eastAsia="WPS灵秀黑" w:cs="WPS灵秀黑"/>
          <w:b/>
          <w:bCs/>
          <w:i w:val="0"/>
          <w:iCs w:val="0"/>
          <w:caps w:val="0"/>
          <w:color w:val="232323"/>
          <w:spacing w:val="0"/>
          <w:sz w:val="28"/>
          <w:szCs w:val="28"/>
          <w:shd w:val="clear" w:fill="FFFFFF"/>
        </w:rPr>
        <w:t>（一）机构设置情况、人员编制情况、主要职能职责、202</w:t>
      </w:r>
      <w:r>
        <w:rPr>
          <w:rFonts w:hint="eastAsia" w:ascii="WPS灵秀黑" w:hAnsi="WPS灵秀黑" w:eastAsia="WPS灵秀黑" w:cs="WPS灵秀黑"/>
          <w:b/>
          <w:bCs/>
          <w:i w:val="0"/>
          <w:iCs w:val="0"/>
          <w:caps w:val="0"/>
          <w:color w:val="232323"/>
          <w:spacing w:val="0"/>
          <w:sz w:val="28"/>
          <w:szCs w:val="28"/>
          <w:shd w:val="clear" w:fill="FFFFFF"/>
          <w:lang w:val="en-US" w:eastAsia="zh-CN"/>
        </w:rPr>
        <w:t>4</w:t>
      </w:r>
      <w:r>
        <w:rPr>
          <w:rFonts w:hint="eastAsia" w:ascii="WPS灵秀黑" w:hAnsi="WPS灵秀黑" w:eastAsia="WPS灵秀黑" w:cs="WPS灵秀黑"/>
          <w:b/>
          <w:bCs/>
          <w:i w:val="0"/>
          <w:iCs w:val="0"/>
          <w:caps w:val="0"/>
          <w:color w:val="232323"/>
          <w:spacing w:val="0"/>
          <w:sz w:val="28"/>
          <w:szCs w:val="28"/>
          <w:shd w:val="clear" w:fill="FFFFFF"/>
        </w:rPr>
        <w:t>年的重点工作、绩效目标设定情况</w:t>
      </w:r>
    </w:p>
    <w:p w14:paraId="6628501B">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WPS灵秀黑" w:hAnsi="WPS灵秀黑" w:eastAsia="WPS灵秀黑" w:cs="WPS灵秀黑"/>
          <w:b/>
          <w:bCs/>
          <w:i w:val="0"/>
          <w:iCs w:val="0"/>
          <w:caps w:val="0"/>
          <w:color w:val="232323"/>
          <w:spacing w:val="0"/>
          <w:sz w:val="28"/>
          <w:szCs w:val="28"/>
          <w:shd w:val="clear" w:fill="FFFFFF"/>
        </w:rPr>
      </w:pPr>
      <w:r>
        <w:rPr>
          <w:rFonts w:hint="eastAsia" w:ascii="WPS灵秀黑" w:hAnsi="WPS灵秀黑" w:eastAsia="WPS灵秀黑" w:cs="WPS灵秀黑"/>
          <w:b/>
          <w:bCs/>
          <w:i w:val="0"/>
          <w:iCs w:val="0"/>
          <w:caps w:val="0"/>
          <w:color w:val="232323"/>
          <w:spacing w:val="0"/>
          <w:sz w:val="28"/>
          <w:szCs w:val="28"/>
          <w:shd w:val="clear" w:fill="FFFFFF"/>
        </w:rPr>
        <w:t>机构设置情况：</w:t>
      </w:r>
    </w:p>
    <w:p w14:paraId="5AC617E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根据编委办核定，我单位内设科室6个，所属单位10个，内设科室分别是：党支部、工会、教导室、政教室、总务室、办公室。</w:t>
      </w:r>
    </w:p>
    <w:p w14:paraId="479F1B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仿宋" w:hAnsi="华文仿宋" w:eastAsia="华文仿宋" w:cs="华文仿宋"/>
          <w:i w:val="0"/>
          <w:iCs w:val="0"/>
          <w:caps w:val="0"/>
          <w:color w:val="232323"/>
          <w:spacing w:val="0"/>
          <w:kern w:val="0"/>
          <w:sz w:val="28"/>
          <w:szCs w:val="28"/>
          <w:shd w:val="clear" w:fill="FFFFFF"/>
          <w:lang w:val="en-US" w:eastAsia="zh-CN" w:bidi="ar"/>
        </w:rPr>
      </w:pPr>
      <w:r>
        <w:rPr>
          <w:rFonts w:hint="eastAsia" w:ascii="华文仿宋" w:hAnsi="华文仿宋" w:eastAsia="华文仿宋" w:cs="华文仿宋"/>
          <w:i w:val="0"/>
          <w:iCs w:val="0"/>
          <w:caps w:val="0"/>
          <w:color w:val="232323"/>
          <w:spacing w:val="0"/>
          <w:kern w:val="0"/>
          <w:sz w:val="28"/>
          <w:szCs w:val="28"/>
          <w:shd w:val="clear" w:fill="FFFFFF"/>
          <w:lang w:val="en-US" w:eastAsia="zh-CN" w:bidi="ar"/>
        </w:rPr>
        <w:t>所属事业单位包括1、隆回县七江镇中心学校（黄家小学、洞头小学、斗照楼小学、七家铺小学、金山小学、南冲小学、大湾小学、富家小学）2、七江镇中学。3、鸟树下中学4、建华九年义务制学校；5、七江镇中心小学 ；6、五星完全小学、7、农科所完全小学、8、七江镇公立幼儿园、9、七江镇活动中心共9</w:t>
      </w:r>
      <w:r>
        <w:rPr>
          <w:rFonts w:hint="default" w:ascii="华文仿宋" w:hAnsi="华文仿宋" w:eastAsia="华文仿宋" w:cs="华文仿宋"/>
          <w:i w:val="0"/>
          <w:iCs w:val="0"/>
          <w:caps w:val="0"/>
          <w:color w:val="232323"/>
          <w:spacing w:val="0"/>
          <w:kern w:val="0"/>
          <w:sz w:val="28"/>
          <w:szCs w:val="28"/>
          <w:shd w:val="clear" w:fill="FFFFFF"/>
          <w:lang w:val="en-US" w:eastAsia="zh-CN" w:bidi="ar"/>
        </w:rPr>
        <w:t>个单位</w:t>
      </w:r>
      <w:r>
        <w:rPr>
          <w:rFonts w:hint="eastAsia" w:ascii="华文仿宋" w:hAnsi="华文仿宋" w:eastAsia="华文仿宋" w:cs="华文仿宋"/>
          <w:i w:val="0"/>
          <w:iCs w:val="0"/>
          <w:caps w:val="0"/>
          <w:color w:val="232323"/>
          <w:spacing w:val="0"/>
          <w:kern w:val="0"/>
          <w:sz w:val="28"/>
          <w:szCs w:val="28"/>
          <w:shd w:val="clear" w:fill="FFFFFF"/>
          <w:lang w:val="en-US" w:eastAsia="zh-CN" w:bidi="ar"/>
        </w:rPr>
        <w:t>。</w:t>
      </w:r>
    </w:p>
    <w:p w14:paraId="642AD4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561" w:firstLineChars="200"/>
        <w:jc w:val="both"/>
        <w:textAlignment w:val="auto"/>
        <w:rPr>
          <w:rFonts w:hint="eastAsia" w:ascii="华文仿宋" w:hAnsi="华文仿宋" w:eastAsia="华文仿宋" w:cs="华文仿宋"/>
          <w:i w:val="0"/>
          <w:iCs w:val="0"/>
          <w:caps w:val="0"/>
          <w:color w:val="auto"/>
          <w:spacing w:val="0"/>
          <w:sz w:val="28"/>
          <w:szCs w:val="28"/>
        </w:rPr>
      </w:pPr>
      <w:r>
        <w:rPr>
          <w:rFonts w:hint="eastAsia" w:ascii="WPS灵秀黑" w:hAnsi="WPS灵秀黑" w:eastAsia="WPS灵秀黑" w:cs="WPS灵秀黑"/>
          <w:b/>
          <w:bCs/>
          <w:i w:val="0"/>
          <w:iCs w:val="0"/>
          <w:caps w:val="0"/>
          <w:color w:val="auto"/>
          <w:spacing w:val="0"/>
          <w:sz w:val="28"/>
          <w:szCs w:val="28"/>
          <w:shd w:val="clear" w:fill="FFFFFF"/>
        </w:rPr>
        <w:t>人员编制情况：</w:t>
      </w:r>
      <w:r>
        <w:rPr>
          <w:rFonts w:hint="eastAsia" w:ascii="华文仿宋" w:hAnsi="华文仿宋" w:eastAsia="华文仿宋" w:cs="华文仿宋"/>
          <w:i w:val="0"/>
          <w:iCs w:val="0"/>
          <w:caps w:val="0"/>
          <w:color w:val="auto"/>
          <w:spacing w:val="0"/>
          <w:sz w:val="28"/>
          <w:szCs w:val="28"/>
          <w:shd w:val="clear" w:fill="FFFFFF"/>
        </w:rPr>
        <w:t>隆回县</w:t>
      </w:r>
      <w:r>
        <w:rPr>
          <w:rFonts w:hint="eastAsia" w:ascii="华文仿宋" w:hAnsi="华文仿宋" w:eastAsia="华文仿宋" w:cs="华文仿宋"/>
          <w:i w:val="0"/>
          <w:iCs w:val="0"/>
          <w:caps w:val="0"/>
          <w:color w:val="auto"/>
          <w:spacing w:val="0"/>
          <w:sz w:val="28"/>
          <w:szCs w:val="28"/>
          <w:shd w:val="clear" w:fill="FFFFFF"/>
          <w:lang w:val="en-US" w:eastAsia="zh-CN"/>
        </w:rPr>
        <w:t>麻塘山乡</w:t>
      </w:r>
      <w:r>
        <w:rPr>
          <w:rFonts w:hint="eastAsia" w:ascii="华文仿宋" w:hAnsi="华文仿宋" w:eastAsia="华文仿宋" w:cs="华文仿宋"/>
          <w:i w:val="0"/>
          <w:iCs w:val="0"/>
          <w:caps w:val="0"/>
          <w:color w:val="auto"/>
          <w:spacing w:val="0"/>
          <w:sz w:val="28"/>
          <w:szCs w:val="28"/>
          <w:shd w:val="clear" w:fill="FFFFFF"/>
        </w:rPr>
        <w:t>中心学校单位编制人数为</w:t>
      </w:r>
      <w:r>
        <w:rPr>
          <w:rFonts w:hint="eastAsia" w:ascii="华文仿宋" w:hAnsi="华文仿宋" w:eastAsia="华文仿宋" w:cs="华文仿宋"/>
          <w:i w:val="0"/>
          <w:iCs w:val="0"/>
          <w:caps w:val="0"/>
          <w:color w:val="auto"/>
          <w:spacing w:val="0"/>
          <w:sz w:val="28"/>
          <w:szCs w:val="28"/>
          <w:shd w:val="clear" w:fill="FFFFFF"/>
          <w:lang w:val="en-US" w:eastAsia="zh-CN"/>
        </w:rPr>
        <w:t>280</w:t>
      </w:r>
      <w:r>
        <w:rPr>
          <w:rFonts w:hint="eastAsia" w:ascii="华文仿宋" w:hAnsi="华文仿宋" w:eastAsia="华文仿宋" w:cs="华文仿宋"/>
          <w:i w:val="0"/>
          <w:iCs w:val="0"/>
          <w:caps w:val="0"/>
          <w:color w:val="auto"/>
          <w:spacing w:val="0"/>
          <w:sz w:val="28"/>
          <w:szCs w:val="28"/>
          <w:shd w:val="clear" w:fill="FFFFFF"/>
        </w:rPr>
        <w:t>人，年末实际在职人数</w:t>
      </w:r>
      <w:r>
        <w:rPr>
          <w:rFonts w:hint="eastAsia" w:ascii="华文仿宋" w:hAnsi="华文仿宋" w:eastAsia="华文仿宋" w:cs="华文仿宋"/>
          <w:i w:val="0"/>
          <w:iCs w:val="0"/>
          <w:caps w:val="0"/>
          <w:color w:val="auto"/>
          <w:spacing w:val="0"/>
          <w:sz w:val="28"/>
          <w:szCs w:val="28"/>
          <w:shd w:val="clear" w:fill="FFFFFF"/>
          <w:lang w:val="en-US" w:eastAsia="zh-CN"/>
        </w:rPr>
        <w:t>280</w:t>
      </w:r>
      <w:r>
        <w:rPr>
          <w:rFonts w:hint="eastAsia" w:ascii="华文仿宋" w:hAnsi="华文仿宋" w:eastAsia="华文仿宋" w:cs="华文仿宋"/>
          <w:i w:val="0"/>
          <w:iCs w:val="0"/>
          <w:caps w:val="0"/>
          <w:color w:val="auto"/>
          <w:spacing w:val="0"/>
          <w:sz w:val="28"/>
          <w:szCs w:val="28"/>
          <w:shd w:val="clear" w:fill="FFFFFF"/>
        </w:rPr>
        <w:t>人（含特岗教师</w:t>
      </w:r>
      <w:r>
        <w:rPr>
          <w:rFonts w:hint="eastAsia" w:ascii="华文仿宋" w:hAnsi="华文仿宋" w:eastAsia="华文仿宋" w:cs="华文仿宋"/>
          <w:i w:val="0"/>
          <w:iCs w:val="0"/>
          <w:caps w:val="0"/>
          <w:color w:val="auto"/>
          <w:spacing w:val="0"/>
          <w:sz w:val="28"/>
          <w:szCs w:val="28"/>
          <w:shd w:val="clear" w:fill="FFFFFF"/>
          <w:lang w:val="en-US" w:eastAsia="zh-CN"/>
        </w:rPr>
        <w:t>10</w:t>
      </w:r>
      <w:r>
        <w:rPr>
          <w:rFonts w:hint="eastAsia" w:ascii="华文仿宋" w:hAnsi="华文仿宋" w:eastAsia="华文仿宋" w:cs="华文仿宋"/>
          <w:i w:val="0"/>
          <w:iCs w:val="0"/>
          <w:caps w:val="0"/>
          <w:color w:val="auto"/>
          <w:spacing w:val="0"/>
          <w:sz w:val="28"/>
          <w:szCs w:val="28"/>
          <w:shd w:val="clear" w:fill="FFFFFF"/>
        </w:rPr>
        <w:t>人）退休人员</w:t>
      </w:r>
      <w:r>
        <w:rPr>
          <w:rFonts w:hint="eastAsia" w:ascii="华文仿宋" w:hAnsi="华文仿宋" w:eastAsia="华文仿宋" w:cs="华文仿宋"/>
          <w:i w:val="0"/>
          <w:iCs w:val="0"/>
          <w:caps w:val="0"/>
          <w:color w:val="auto"/>
          <w:spacing w:val="0"/>
          <w:sz w:val="28"/>
          <w:szCs w:val="28"/>
          <w:shd w:val="clear" w:fill="FFFFFF"/>
          <w:lang w:val="en-US" w:eastAsia="zh-CN"/>
        </w:rPr>
        <w:t>150</w:t>
      </w:r>
      <w:r>
        <w:rPr>
          <w:rFonts w:hint="eastAsia" w:ascii="华文仿宋" w:hAnsi="华文仿宋" w:eastAsia="华文仿宋" w:cs="华文仿宋"/>
          <w:i w:val="0"/>
          <w:iCs w:val="0"/>
          <w:caps w:val="0"/>
          <w:color w:val="auto"/>
          <w:spacing w:val="0"/>
          <w:sz w:val="28"/>
          <w:szCs w:val="28"/>
          <w:shd w:val="clear" w:fill="FFFFFF"/>
        </w:rPr>
        <w:t>人；年末中小学学生</w:t>
      </w:r>
      <w:r>
        <w:rPr>
          <w:rFonts w:hint="eastAsia" w:ascii="华文仿宋" w:hAnsi="华文仿宋" w:eastAsia="华文仿宋" w:cs="华文仿宋"/>
          <w:color w:val="auto"/>
          <w:sz w:val="28"/>
          <w:szCs w:val="28"/>
          <w:lang w:val="en-US" w:eastAsia="zh-CN"/>
        </w:rPr>
        <w:t>4068</w:t>
      </w:r>
      <w:r>
        <w:rPr>
          <w:rFonts w:hint="eastAsia" w:ascii="华文仿宋" w:hAnsi="华文仿宋" w:eastAsia="华文仿宋" w:cs="华文仿宋"/>
          <w:color w:val="auto"/>
          <w:sz w:val="28"/>
          <w:szCs w:val="28"/>
        </w:rPr>
        <w:t>人，小学</w:t>
      </w:r>
      <w:r>
        <w:rPr>
          <w:rFonts w:hint="eastAsia" w:ascii="华文仿宋" w:hAnsi="华文仿宋" w:eastAsia="华文仿宋" w:cs="华文仿宋"/>
          <w:color w:val="auto"/>
          <w:sz w:val="28"/>
          <w:szCs w:val="28"/>
          <w:lang w:val="en-US" w:eastAsia="zh-CN"/>
        </w:rPr>
        <w:t>学生人数2441</w:t>
      </w:r>
      <w:r>
        <w:rPr>
          <w:rFonts w:hint="eastAsia" w:ascii="华文仿宋" w:hAnsi="华文仿宋" w:eastAsia="华文仿宋" w:cs="华文仿宋"/>
          <w:color w:val="auto"/>
          <w:sz w:val="28"/>
          <w:szCs w:val="28"/>
        </w:rPr>
        <w:t>人，初中学生人数为</w:t>
      </w:r>
      <w:r>
        <w:rPr>
          <w:rFonts w:hint="eastAsia" w:ascii="华文仿宋" w:hAnsi="华文仿宋" w:eastAsia="华文仿宋" w:cs="华文仿宋"/>
          <w:color w:val="auto"/>
          <w:sz w:val="28"/>
          <w:szCs w:val="28"/>
          <w:lang w:val="en-US" w:eastAsia="zh-CN"/>
        </w:rPr>
        <w:t>1627</w:t>
      </w:r>
      <w:r>
        <w:rPr>
          <w:rFonts w:hint="eastAsia" w:ascii="华文仿宋" w:hAnsi="华文仿宋" w:eastAsia="华文仿宋" w:cs="华文仿宋"/>
          <w:color w:val="auto"/>
          <w:sz w:val="28"/>
          <w:szCs w:val="28"/>
        </w:rPr>
        <w:t>人</w:t>
      </w:r>
      <w:r>
        <w:rPr>
          <w:rFonts w:hint="eastAsia" w:ascii="华文仿宋" w:hAnsi="华文仿宋" w:eastAsia="华文仿宋" w:cs="华文仿宋"/>
          <w:i w:val="0"/>
          <w:iCs w:val="0"/>
          <w:caps w:val="0"/>
          <w:color w:val="auto"/>
          <w:spacing w:val="0"/>
          <w:sz w:val="28"/>
          <w:szCs w:val="28"/>
          <w:shd w:val="clear" w:fill="FFFFFF"/>
        </w:rPr>
        <w:t>。</w:t>
      </w:r>
    </w:p>
    <w:p w14:paraId="5AD7D5BC">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sz w:val="28"/>
          <w:szCs w:val="28"/>
          <w:lang w:val="en-US" w:eastAsia="zh-CN"/>
        </w:rPr>
      </w:pPr>
      <w:r>
        <w:rPr>
          <w:rFonts w:hint="eastAsia" w:ascii="WPS灵秀黑" w:hAnsi="WPS灵秀黑" w:eastAsia="WPS灵秀黑" w:cs="WPS灵秀黑"/>
          <w:b/>
          <w:bCs/>
          <w:i w:val="0"/>
          <w:iCs w:val="0"/>
          <w:caps w:val="0"/>
          <w:color w:val="232323"/>
          <w:spacing w:val="0"/>
          <w:sz w:val="28"/>
          <w:szCs w:val="28"/>
          <w:shd w:val="clear" w:fill="FFFFFF"/>
        </w:rPr>
        <w:t>主要职能职责：</w:t>
      </w:r>
      <w:r>
        <w:rPr>
          <w:rFonts w:hint="eastAsia" w:ascii="华文仿宋" w:hAnsi="华文仿宋" w:eastAsia="华文仿宋" w:cs="华文仿宋"/>
          <w:sz w:val="28"/>
          <w:szCs w:val="28"/>
          <w:lang w:val="en-US" w:eastAsia="zh-CN"/>
        </w:rPr>
        <w:t>为教育教学提供管理保障，中小学、幼儿园教育教学管理，中小学学历教育，办人民满意的教育；研究拟定全镇教育发展战略和教育工作的规定、办法，监督和检查所属学校对党和国家教育方针、政策和法规的贯彻执行。管理和指导全镇教育教学研究工作等。</w:t>
      </w:r>
    </w:p>
    <w:p w14:paraId="31DB20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8"/>
          <w:szCs w:val="28"/>
          <w:shd w:val="clear" w:fill="FFFFFF"/>
        </w:rPr>
      </w:pPr>
      <w:r>
        <w:rPr>
          <w:rFonts w:hint="eastAsia" w:ascii="WPS灵秀黑" w:hAnsi="WPS灵秀黑" w:eastAsia="WPS灵秀黑" w:cs="WPS灵秀黑"/>
          <w:b/>
          <w:bCs/>
          <w:i w:val="0"/>
          <w:iCs w:val="0"/>
          <w:caps w:val="0"/>
          <w:color w:val="232323"/>
          <w:spacing w:val="0"/>
          <w:sz w:val="28"/>
          <w:szCs w:val="28"/>
          <w:shd w:val="clear" w:fill="FFFFFF"/>
        </w:rPr>
        <w:t>202</w:t>
      </w:r>
      <w:r>
        <w:rPr>
          <w:rFonts w:hint="eastAsia" w:ascii="WPS灵秀黑" w:hAnsi="WPS灵秀黑" w:eastAsia="WPS灵秀黑" w:cs="WPS灵秀黑"/>
          <w:b/>
          <w:bCs/>
          <w:i w:val="0"/>
          <w:iCs w:val="0"/>
          <w:caps w:val="0"/>
          <w:color w:val="232323"/>
          <w:spacing w:val="0"/>
          <w:sz w:val="28"/>
          <w:szCs w:val="28"/>
          <w:shd w:val="clear" w:fill="FFFFFF"/>
          <w:lang w:val="en-US" w:eastAsia="zh-CN"/>
        </w:rPr>
        <w:t>4</w:t>
      </w:r>
      <w:r>
        <w:rPr>
          <w:rFonts w:hint="eastAsia" w:ascii="WPS灵秀黑" w:hAnsi="WPS灵秀黑" w:eastAsia="WPS灵秀黑" w:cs="WPS灵秀黑"/>
          <w:b/>
          <w:bCs/>
          <w:i w:val="0"/>
          <w:iCs w:val="0"/>
          <w:caps w:val="0"/>
          <w:color w:val="232323"/>
          <w:spacing w:val="0"/>
          <w:sz w:val="28"/>
          <w:szCs w:val="28"/>
          <w:shd w:val="clear" w:fill="FFFFFF"/>
        </w:rPr>
        <w:t>年的重点工作：</w:t>
      </w:r>
    </w:p>
    <w:p w14:paraId="7D3CA8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1.做好校园欺凌、疫情防控、防溺水、交通安全、食品安全等综治安全维稳工作；</w:t>
      </w:r>
    </w:p>
    <w:p w14:paraId="47D197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2.完成年度教育教学工作任务，保持重点高中升学率</w:t>
      </w:r>
      <w:r>
        <w:rPr>
          <w:rFonts w:hint="eastAsia" w:ascii="华文仿宋" w:hAnsi="华文仿宋" w:eastAsia="华文仿宋" w:cs="华文仿宋"/>
          <w:i w:val="0"/>
          <w:iCs w:val="0"/>
          <w:caps w:val="0"/>
          <w:color w:val="232323"/>
          <w:spacing w:val="0"/>
          <w:sz w:val="28"/>
          <w:szCs w:val="28"/>
          <w:shd w:val="clear" w:fill="FFFFFF"/>
          <w:lang w:val="en-US" w:eastAsia="zh-CN"/>
        </w:rPr>
        <w:t>稳步提升</w:t>
      </w:r>
      <w:r>
        <w:rPr>
          <w:rFonts w:hint="eastAsia" w:ascii="华文仿宋" w:hAnsi="华文仿宋" w:eastAsia="华文仿宋" w:cs="华文仿宋"/>
          <w:i w:val="0"/>
          <w:iCs w:val="0"/>
          <w:caps w:val="0"/>
          <w:color w:val="232323"/>
          <w:spacing w:val="0"/>
          <w:sz w:val="28"/>
          <w:szCs w:val="28"/>
          <w:shd w:val="clear" w:fill="FFFFFF"/>
        </w:rPr>
        <w:t>；</w:t>
      </w:r>
    </w:p>
    <w:p w14:paraId="78D38A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3.改善学校办学条件，提高师生学生生活环境；</w:t>
      </w:r>
    </w:p>
    <w:p w14:paraId="55FEBB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4.义务教育均衡发展，教师稳定，质量提高。</w:t>
      </w:r>
    </w:p>
    <w:p w14:paraId="6DD282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default" w:ascii="Times New Roman" w:hAnsi="Times New Roman" w:cs="Times New Roman"/>
          <w:i w:val="0"/>
          <w:iCs w:val="0"/>
          <w:caps w:val="0"/>
          <w:color w:val="232323"/>
          <w:spacing w:val="0"/>
          <w:sz w:val="21"/>
          <w:szCs w:val="21"/>
        </w:rPr>
      </w:pPr>
      <w:r>
        <w:rPr>
          <w:rFonts w:hint="eastAsia" w:ascii="WPS灵秀黑" w:hAnsi="WPS灵秀黑" w:eastAsia="WPS灵秀黑" w:cs="WPS灵秀黑"/>
          <w:b/>
          <w:bCs/>
          <w:i w:val="0"/>
          <w:iCs w:val="0"/>
          <w:caps w:val="0"/>
          <w:color w:val="232323"/>
          <w:spacing w:val="0"/>
          <w:sz w:val="28"/>
          <w:szCs w:val="28"/>
          <w:shd w:val="clear" w:fill="FFFFFF"/>
        </w:rPr>
        <w:t>绩效目标设定情况：</w:t>
      </w:r>
    </w:p>
    <w:p w14:paraId="34A2AB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1、在各级部门领导下，承担中小学教育、学前教育教学工作及教育行政管理事务,为中小学、幼儿园提供教育管理保障；</w:t>
      </w:r>
    </w:p>
    <w:p w14:paraId="1782BF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2、按时完成教育教学任务；</w:t>
      </w:r>
    </w:p>
    <w:p w14:paraId="39A5DE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3、义务教育稳步、健康运行；</w:t>
      </w:r>
    </w:p>
    <w:p w14:paraId="6C3AAA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4、学校办学条件逐步改善，办学行为逐步规范</w:t>
      </w:r>
    </w:p>
    <w:p w14:paraId="18DCD4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1"/>
          <w:szCs w:val="21"/>
        </w:rPr>
      </w:pPr>
      <w:r>
        <w:rPr>
          <w:rFonts w:hint="eastAsia" w:ascii="WPS灵秀黑" w:hAnsi="WPS灵秀黑" w:eastAsia="WPS灵秀黑" w:cs="WPS灵秀黑"/>
          <w:b/>
          <w:bCs/>
          <w:i w:val="0"/>
          <w:iCs w:val="0"/>
          <w:caps w:val="0"/>
          <w:color w:val="232323"/>
          <w:spacing w:val="0"/>
          <w:sz w:val="28"/>
          <w:szCs w:val="28"/>
          <w:shd w:val="clear" w:fill="FFFFFF"/>
        </w:rPr>
        <w:t>（二）部门整体支出情况</w:t>
      </w:r>
    </w:p>
    <w:p w14:paraId="4AD2AF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1.收入情况：202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年度财政拨款收入</w:t>
      </w:r>
      <w:r>
        <w:rPr>
          <w:rFonts w:hint="eastAsia" w:ascii="华文仿宋" w:hAnsi="华文仿宋" w:eastAsia="华文仿宋" w:cs="华文仿宋"/>
          <w:i w:val="0"/>
          <w:iCs w:val="0"/>
          <w:caps w:val="0"/>
          <w:color w:val="232323"/>
          <w:spacing w:val="0"/>
          <w:sz w:val="28"/>
          <w:szCs w:val="28"/>
          <w:shd w:val="clear" w:fill="FFFFFF"/>
          <w:lang w:val="en-US" w:eastAsia="zh-CN"/>
        </w:rPr>
        <w:t>4989.47</w:t>
      </w:r>
      <w:r>
        <w:rPr>
          <w:rFonts w:hint="eastAsia" w:ascii="华文仿宋" w:hAnsi="华文仿宋" w:eastAsia="华文仿宋" w:cs="华文仿宋"/>
          <w:i w:val="0"/>
          <w:iCs w:val="0"/>
          <w:caps w:val="0"/>
          <w:color w:val="232323"/>
          <w:spacing w:val="0"/>
          <w:sz w:val="28"/>
          <w:szCs w:val="28"/>
          <w:shd w:val="clear" w:fill="FFFFFF"/>
        </w:rPr>
        <w:t>万元，其中：一般公共预算拨款</w:t>
      </w:r>
      <w:r>
        <w:rPr>
          <w:rFonts w:hint="eastAsia" w:ascii="华文仿宋" w:hAnsi="华文仿宋" w:eastAsia="华文仿宋" w:cs="华文仿宋"/>
          <w:i w:val="0"/>
          <w:iCs w:val="0"/>
          <w:caps w:val="0"/>
          <w:color w:val="232323"/>
          <w:spacing w:val="0"/>
          <w:sz w:val="28"/>
          <w:szCs w:val="28"/>
          <w:shd w:val="clear" w:fill="FFFFFF"/>
          <w:lang w:val="en-US" w:eastAsia="zh-CN"/>
        </w:rPr>
        <w:t>4715.46</w:t>
      </w:r>
      <w:r>
        <w:rPr>
          <w:rFonts w:hint="eastAsia" w:ascii="华文仿宋" w:hAnsi="华文仿宋" w:eastAsia="华文仿宋" w:cs="华文仿宋"/>
          <w:i w:val="0"/>
          <w:iCs w:val="0"/>
          <w:caps w:val="0"/>
          <w:color w:val="232323"/>
          <w:spacing w:val="0"/>
          <w:sz w:val="28"/>
          <w:szCs w:val="28"/>
          <w:shd w:val="clear" w:fill="FFFFFF"/>
        </w:rPr>
        <w:t>万元</w:t>
      </w:r>
      <w:r>
        <w:rPr>
          <w:rFonts w:hint="eastAsia" w:ascii="华文仿宋" w:hAnsi="华文仿宋" w:eastAsia="华文仿宋" w:cs="华文仿宋"/>
          <w:i w:val="0"/>
          <w:iCs w:val="0"/>
          <w:caps w:val="0"/>
          <w:color w:val="232323"/>
          <w:spacing w:val="0"/>
          <w:sz w:val="28"/>
          <w:szCs w:val="28"/>
          <w:shd w:val="clear" w:fill="FFFFFF"/>
          <w:lang w:eastAsia="zh-CN"/>
        </w:rPr>
        <w:t>、</w:t>
      </w:r>
      <w:r>
        <w:rPr>
          <w:rFonts w:hint="eastAsia" w:ascii="华文仿宋" w:hAnsi="华文仿宋" w:eastAsia="华文仿宋" w:cs="华文仿宋"/>
          <w:i w:val="0"/>
          <w:iCs w:val="0"/>
          <w:caps w:val="0"/>
          <w:color w:val="232323"/>
          <w:spacing w:val="0"/>
          <w:sz w:val="28"/>
          <w:szCs w:val="28"/>
          <w:shd w:val="clear" w:fill="FFFFFF"/>
          <w:lang w:val="en-US" w:eastAsia="zh-CN"/>
        </w:rPr>
        <w:t>事业收入274.01万元</w:t>
      </w:r>
      <w:r>
        <w:rPr>
          <w:rFonts w:hint="eastAsia" w:ascii="华文仿宋" w:hAnsi="华文仿宋" w:eastAsia="华文仿宋" w:cs="华文仿宋"/>
          <w:i w:val="0"/>
          <w:iCs w:val="0"/>
          <w:caps w:val="0"/>
          <w:color w:val="232323"/>
          <w:spacing w:val="0"/>
          <w:sz w:val="28"/>
          <w:szCs w:val="28"/>
          <w:shd w:val="clear" w:fill="FFFFFF"/>
        </w:rPr>
        <w:t>。</w:t>
      </w:r>
    </w:p>
    <w:p w14:paraId="75C190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shd w:val="clear" w:fill="FFFFFF"/>
        </w:rPr>
      </w:pPr>
      <w:r>
        <w:rPr>
          <w:rFonts w:hint="eastAsia" w:ascii="华文仿宋" w:hAnsi="华文仿宋" w:eastAsia="华文仿宋" w:cs="华文仿宋"/>
          <w:i w:val="0"/>
          <w:iCs w:val="0"/>
          <w:caps w:val="0"/>
          <w:color w:val="232323"/>
          <w:spacing w:val="0"/>
          <w:sz w:val="28"/>
          <w:szCs w:val="28"/>
          <w:shd w:val="clear" w:fill="FFFFFF"/>
        </w:rPr>
        <w:t>2.支出情况：202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年度支出</w:t>
      </w:r>
      <w:r>
        <w:rPr>
          <w:rFonts w:hint="eastAsia" w:ascii="华文仿宋" w:hAnsi="华文仿宋" w:eastAsia="华文仿宋" w:cs="华文仿宋"/>
          <w:i w:val="0"/>
          <w:iCs w:val="0"/>
          <w:caps w:val="0"/>
          <w:color w:val="232323"/>
          <w:spacing w:val="0"/>
          <w:sz w:val="28"/>
          <w:szCs w:val="28"/>
          <w:shd w:val="clear" w:fill="FFFFFF"/>
          <w:lang w:val="en-US" w:eastAsia="zh-CN"/>
        </w:rPr>
        <w:t>4989.47</w:t>
      </w:r>
      <w:r>
        <w:rPr>
          <w:rFonts w:hint="eastAsia" w:ascii="华文仿宋" w:hAnsi="华文仿宋" w:eastAsia="华文仿宋" w:cs="华文仿宋"/>
          <w:i w:val="0"/>
          <w:iCs w:val="0"/>
          <w:caps w:val="0"/>
          <w:color w:val="232323"/>
          <w:spacing w:val="0"/>
          <w:sz w:val="28"/>
          <w:szCs w:val="28"/>
          <w:shd w:val="clear" w:fill="FFFFFF"/>
        </w:rPr>
        <w:t>万元，基本支出</w:t>
      </w:r>
      <w:r>
        <w:rPr>
          <w:rFonts w:hint="eastAsia" w:ascii="华文仿宋" w:hAnsi="华文仿宋" w:eastAsia="华文仿宋" w:cs="华文仿宋"/>
          <w:i w:val="0"/>
          <w:iCs w:val="0"/>
          <w:caps w:val="0"/>
          <w:color w:val="232323"/>
          <w:spacing w:val="0"/>
          <w:sz w:val="28"/>
          <w:szCs w:val="28"/>
          <w:shd w:val="clear" w:fill="FFFFFF"/>
          <w:lang w:val="en-US" w:eastAsia="zh-CN"/>
        </w:rPr>
        <w:t>4890.94</w:t>
      </w:r>
      <w:r>
        <w:rPr>
          <w:rFonts w:hint="eastAsia" w:ascii="华文仿宋" w:hAnsi="华文仿宋" w:eastAsia="华文仿宋" w:cs="华文仿宋"/>
          <w:i w:val="0"/>
          <w:iCs w:val="0"/>
          <w:caps w:val="0"/>
          <w:color w:val="232323"/>
          <w:spacing w:val="0"/>
          <w:sz w:val="28"/>
          <w:szCs w:val="28"/>
          <w:shd w:val="clear" w:fill="FFFFFF"/>
        </w:rPr>
        <w:t>万元，为保障单位机构正常运转、完成日常工作任务而发生的各项支出，包括用于基本工资、津贴补贴等人员经费以及办公费、印刷费、水电费及办公设备购置等日常公用经费；项目支出</w:t>
      </w:r>
      <w:r>
        <w:rPr>
          <w:rFonts w:hint="eastAsia" w:ascii="华文仿宋" w:hAnsi="华文仿宋" w:eastAsia="华文仿宋" w:cs="华文仿宋"/>
          <w:i w:val="0"/>
          <w:iCs w:val="0"/>
          <w:caps w:val="0"/>
          <w:color w:val="232323"/>
          <w:spacing w:val="0"/>
          <w:sz w:val="28"/>
          <w:szCs w:val="28"/>
          <w:shd w:val="clear" w:fill="FFFFFF"/>
          <w:lang w:val="en-US" w:eastAsia="zh-CN"/>
        </w:rPr>
        <w:t>98.53</w:t>
      </w:r>
      <w:r>
        <w:rPr>
          <w:rFonts w:hint="eastAsia" w:ascii="华文仿宋" w:hAnsi="华文仿宋" w:eastAsia="华文仿宋" w:cs="华文仿宋"/>
          <w:i w:val="0"/>
          <w:iCs w:val="0"/>
          <w:caps w:val="0"/>
          <w:color w:val="232323"/>
          <w:spacing w:val="0"/>
          <w:sz w:val="28"/>
          <w:szCs w:val="28"/>
          <w:shd w:val="clear" w:fill="FFFFFF"/>
        </w:rPr>
        <w:t>万元，主要是部门为完成特定工作任务或事业发展目标而发生的支出，包括有关事业发展专项、专项业务费、基本建设支出等</w:t>
      </w:r>
      <w:r>
        <w:rPr>
          <w:rFonts w:hint="eastAsia" w:ascii="华文仿宋" w:hAnsi="华文仿宋" w:eastAsia="华文仿宋" w:cs="华文仿宋"/>
          <w:i w:val="0"/>
          <w:iCs w:val="0"/>
          <w:caps w:val="0"/>
          <w:color w:val="232323"/>
          <w:spacing w:val="0"/>
          <w:sz w:val="28"/>
          <w:szCs w:val="28"/>
          <w:shd w:val="clear" w:fill="FFFFFF"/>
          <w:lang w:eastAsia="zh-CN"/>
        </w:rPr>
        <w:t>。</w:t>
      </w:r>
    </w:p>
    <w:p w14:paraId="495D066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二、部门整体支出管理及使用情况</w:t>
      </w:r>
    </w:p>
    <w:p w14:paraId="29D2DE5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黑体" w:hAnsi="黑体" w:eastAsia="黑体" w:cs="黑体"/>
          <w:sz w:val="28"/>
          <w:szCs w:val="28"/>
        </w:rPr>
        <w:t>（一）基本支出情况</w:t>
      </w:r>
    </w:p>
    <w:p w14:paraId="5F1385C3">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WPS灵秀黑" w:hAnsi="WPS灵秀黑" w:eastAsia="WPS灵秀黑" w:cs="WPS灵秀黑"/>
          <w:sz w:val="28"/>
          <w:szCs w:val="28"/>
          <w:lang w:val="en-US" w:eastAsia="zh-CN"/>
        </w:rPr>
      </w:pPr>
      <w:r>
        <w:rPr>
          <w:rFonts w:hint="eastAsia" w:ascii="华文仿宋" w:hAnsi="华文仿宋" w:eastAsia="华文仿宋" w:cs="华文仿宋"/>
          <w:b/>
          <w:bCs/>
          <w:sz w:val="28"/>
          <w:szCs w:val="28"/>
          <w:lang w:val="en-US" w:eastAsia="zh-CN"/>
        </w:rPr>
        <w:t>1.基本支出用途、范围及执行情况</w:t>
      </w:r>
    </w:p>
    <w:p w14:paraId="6A21AE27">
      <w:pPr>
        <w:widowControl w:val="0"/>
        <w:kinsoku/>
        <w:overflowPunct w:val="0"/>
        <w:spacing w:line="600" w:lineRule="exact"/>
        <w:ind w:left="16" w:firstLine="560" w:firstLineChars="20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隆回县七江镇中心校2024年基本支出金额为</w:t>
      </w:r>
      <w:r>
        <w:rPr>
          <w:rFonts w:hint="eastAsia" w:ascii="华文仿宋" w:hAnsi="华文仿宋" w:eastAsia="华文仿宋" w:cs="华文仿宋"/>
          <w:i w:val="0"/>
          <w:iCs w:val="0"/>
          <w:caps w:val="0"/>
          <w:color w:val="232323"/>
          <w:spacing w:val="0"/>
          <w:sz w:val="28"/>
          <w:szCs w:val="28"/>
          <w:shd w:val="clear" w:fill="FFFFFF"/>
          <w:lang w:val="en-US" w:eastAsia="zh-CN"/>
        </w:rPr>
        <w:t>4890.94</w:t>
      </w:r>
      <w:r>
        <w:rPr>
          <w:rFonts w:hint="eastAsia" w:ascii="华文仿宋" w:hAnsi="华文仿宋" w:eastAsia="华文仿宋" w:cs="华文仿宋"/>
          <w:sz w:val="28"/>
          <w:szCs w:val="28"/>
          <w:lang w:val="en-US" w:eastAsia="zh-CN"/>
        </w:rPr>
        <w:t>万元，主要用于保障单位机构正常运转、完成日常工作任务而发生的各项支出。其中：1、工资福利支出3470.94万元（其中：基本工资1323.41万元、津贴补贴373.28万元、绩效工资947.17万元、养老保险348.32万元、医疗保险204.3万元、其他社会保障缴费6.98万元、住房公积金205.33万元、其它工资福利支出17.32万元）；2、商品和服务支出921.38万元；3、对个人和家庭的补助支出498.62万元，主要用于助学金、抚恤金等其他补助。</w:t>
      </w:r>
    </w:p>
    <w:p w14:paraId="1CD89EE6">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2、基本支出管理情况</w:t>
      </w:r>
    </w:p>
    <w:p w14:paraId="7714497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为加强对预算资金的支出管理，隆回县麻塘山乡中心学校制订了财务会审制度，学校校长、财务人员、财务监督小组的成员共同组成本制度的执行主体。严格财务会审制度，财务会审时，会审成员需达到80%以上才能进行财务会审，在会审通过的原始发票上签字并加盖“财务会审专用章”。未经财务会审的，一律不得报账。</w:t>
      </w:r>
    </w:p>
    <w:p w14:paraId="5F21EC1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lang w:val="en-US" w:eastAsia="zh-CN"/>
        </w:rPr>
        <w:t>项目</w:t>
      </w:r>
      <w:r>
        <w:rPr>
          <w:rFonts w:hint="eastAsia" w:ascii="黑体" w:hAnsi="黑体" w:eastAsia="黑体" w:cs="黑体"/>
          <w:sz w:val="28"/>
          <w:szCs w:val="28"/>
          <w:lang w:eastAsia="zh-CN"/>
        </w:rPr>
        <w:t>资金</w:t>
      </w:r>
      <w:r>
        <w:rPr>
          <w:rFonts w:hint="eastAsia" w:ascii="黑体" w:hAnsi="黑体" w:eastAsia="黑体" w:cs="黑体"/>
          <w:sz w:val="28"/>
          <w:szCs w:val="28"/>
        </w:rPr>
        <w:t>情况</w:t>
      </w:r>
    </w:p>
    <w:p w14:paraId="1F1DACE6">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lang w:val="en-US" w:eastAsia="zh-CN"/>
        </w:rPr>
        <w:t>1.项目支出用途、范围。</w:t>
      </w:r>
      <w:r>
        <w:rPr>
          <w:rFonts w:hint="eastAsia" w:ascii="华文仿宋" w:hAnsi="华文仿宋" w:eastAsia="华文仿宋" w:cs="华文仿宋"/>
          <w:sz w:val="28"/>
          <w:szCs w:val="28"/>
          <w:lang w:val="en-US" w:eastAsia="zh-CN"/>
        </w:rPr>
        <w:t>根据2024年决算报表，2024年隆回县七江镇中心学校项目支出98.53万元，为单位完成有关基本建设而发生的支出，主要为下属学校维修改造、挡土墙等附属工程相关建设支出。</w:t>
      </w:r>
    </w:p>
    <w:p w14:paraId="265A37CD">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lang w:val="en-US" w:eastAsia="zh-CN"/>
        </w:rPr>
        <w:t>2.项目支出管理情况。</w:t>
      </w:r>
      <w:r>
        <w:rPr>
          <w:rFonts w:hint="eastAsia" w:ascii="华文仿宋" w:hAnsi="华文仿宋" w:eastAsia="华文仿宋" w:cs="华文仿宋"/>
          <w:sz w:val="28"/>
          <w:szCs w:val="28"/>
          <w:lang w:val="en-US" w:eastAsia="zh-CN"/>
        </w:rPr>
        <w:t>单位制定有项目管理制度、项目资金管理办法，项目支出参照单位财务管理制度中重大开支审批事项进行审批。项目支出来源主要为主管部门下拨经费，大额支出事项由主管部门统一管理，流程如下：先由下属学校向中心学校申请，经审核后向主管部门（教育局或项目指挥部）申报，主管部门审核同意后申报计划再实施；实施过程中，由供应商向主管部门申请，主管部门根据项目建设进度情况，按照签订的合同条款事项进行批复后下拨资金至中心学校，中心学校履行内部程序后拨付对应项目款项。</w:t>
      </w:r>
    </w:p>
    <w:p w14:paraId="0F4E04A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（三）“三公”经费情况</w:t>
      </w:r>
    </w:p>
    <w:p w14:paraId="3002D41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年本部门机关本级</w:t>
      </w:r>
      <w:r>
        <w:rPr>
          <w:rFonts w:hint="eastAsia" w:ascii="华文仿宋" w:hAnsi="华文仿宋" w:eastAsia="华文仿宋" w:cs="华文仿宋"/>
          <w:sz w:val="28"/>
          <w:szCs w:val="28"/>
          <w:lang w:val="en-US" w:eastAsia="zh-CN"/>
        </w:rPr>
        <w:t>及下属学校</w:t>
      </w:r>
      <w:r>
        <w:rPr>
          <w:rFonts w:hint="eastAsia" w:ascii="华文仿宋" w:hAnsi="华文仿宋" w:eastAsia="华文仿宋" w:cs="华文仿宋"/>
          <w:sz w:val="28"/>
          <w:szCs w:val="28"/>
          <w:lang w:eastAsia="zh-CN"/>
        </w:rPr>
        <w:t>的“三公”经费预算数为0万元，其中：</w:t>
      </w:r>
    </w:p>
    <w:p w14:paraId="514DD81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因公出国（境）费0万元。</w:t>
      </w:r>
    </w:p>
    <w:p w14:paraId="1588A72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公务接待费0万元。</w:t>
      </w:r>
    </w:p>
    <w:p w14:paraId="0801032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公务用车购置及运行费0万元（其中，公务用车购置费0万元，公务用车运行费0万元）。</w:t>
      </w:r>
    </w:p>
    <w:p w14:paraId="39AC5A2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微软雅黑" w:hAnsi="微软雅黑" w:eastAsia="微软雅黑" w:cs="微软雅黑"/>
          <w:b/>
          <w:bCs/>
          <w:sz w:val="28"/>
          <w:szCs w:val="28"/>
          <w:lang w:eastAsia="zh-CN"/>
        </w:rPr>
        <w:t>三、政府性基金预算支出情况</w:t>
      </w:r>
    </w:p>
    <w:p w14:paraId="63776AD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根据2024年预、决算报表，2024年隆回县七江镇中心学校政府性基金预算支出安排0万元。</w:t>
      </w:r>
    </w:p>
    <w:p w14:paraId="00AB75E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微软雅黑" w:hAnsi="微软雅黑" w:eastAsia="微软雅黑" w:cs="微软雅黑"/>
          <w:b/>
          <w:bCs/>
          <w:sz w:val="28"/>
          <w:szCs w:val="28"/>
          <w:lang w:val="en-US" w:eastAsia="zh-CN"/>
        </w:rPr>
        <w:t>四、</w:t>
      </w:r>
      <w:r>
        <w:rPr>
          <w:rFonts w:hint="eastAsia" w:ascii="微软雅黑" w:hAnsi="微软雅黑" w:eastAsia="微软雅黑" w:cs="微软雅黑"/>
          <w:b/>
          <w:bCs/>
          <w:sz w:val="28"/>
          <w:szCs w:val="28"/>
          <w:lang w:eastAsia="zh-CN"/>
        </w:rPr>
        <w:t>国有资本经营预算支出情况</w:t>
      </w:r>
    </w:p>
    <w:p w14:paraId="2CD0B6C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w:t>
      </w:r>
      <w:r>
        <w:rPr>
          <w:rFonts w:hint="eastAsia" w:ascii="华文仿宋" w:hAnsi="华文仿宋" w:eastAsia="华文仿宋" w:cs="华文仿宋"/>
          <w:sz w:val="28"/>
          <w:szCs w:val="28"/>
          <w:lang w:val="en-US" w:eastAsia="zh-CN"/>
        </w:rPr>
        <w:t>国有资本经营</w:t>
      </w:r>
      <w:r>
        <w:rPr>
          <w:rFonts w:hint="eastAsia" w:ascii="华文仿宋" w:hAnsi="华文仿宋" w:eastAsia="华文仿宋" w:cs="华文仿宋"/>
          <w:sz w:val="28"/>
          <w:szCs w:val="28"/>
          <w:lang w:eastAsia="zh-CN"/>
        </w:rPr>
        <w:t>预算支出0万元，本部门无</w:t>
      </w:r>
      <w:r>
        <w:rPr>
          <w:rFonts w:hint="eastAsia" w:ascii="华文仿宋" w:hAnsi="华文仿宋" w:eastAsia="华文仿宋" w:cs="华文仿宋"/>
          <w:sz w:val="28"/>
          <w:szCs w:val="28"/>
          <w:lang w:val="en-US" w:eastAsia="zh-CN"/>
        </w:rPr>
        <w:t>国有资本经营</w:t>
      </w:r>
      <w:r>
        <w:rPr>
          <w:rFonts w:hint="eastAsia" w:ascii="华文仿宋" w:hAnsi="华文仿宋" w:eastAsia="华文仿宋" w:cs="华文仿宋"/>
          <w:sz w:val="28"/>
          <w:szCs w:val="28"/>
          <w:lang w:eastAsia="zh-CN"/>
        </w:rPr>
        <w:t>安排的支出。</w:t>
      </w:r>
    </w:p>
    <w:p w14:paraId="1D2E0AF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val="en-US" w:eastAsia="zh-CN"/>
        </w:rPr>
        <w:t>五、</w:t>
      </w:r>
      <w:r>
        <w:rPr>
          <w:rFonts w:hint="eastAsia" w:ascii="微软雅黑" w:hAnsi="微软雅黑" w:eastAsia="微软雅黑" w:cs="微软雅黑"/>
          <w:b/>
          <w:bCs/>
          <w:sz w:val="28"/>
          <w:szCs w:val="28"/>
          <w:lang w:eastAsia="zh-CN"/>
        </w:rPr>
        <w:t>社会保险基金预算支出情况</w:t>
      </w:r>
    </w:p>
    <w:p w14:paraId="64EEA92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w:t>
      </w:r>
      <w:r>
        <w:rPr>
          <w:rFonts w:hint="eastAsia" w:ascii="华文仿宋" w:hAnsi="华文仿宋" w:eastAsia="华文仿宋" w:cs="华文仿宋"/>
          <w:sz w:val="28"/>
          <w:szCs w:val="28"/>
          <w:lang w:val="en-US" w:eastAsia="zh-CN"/>
        </w:rPr>
        <w:t>社会保险基金</w:t>
      </w:r>
      <w:r>
        <w:rPr>
          <w:rFonts w:hint="eastAsia" w:ascii="华文仿宋" w:hAnsi="华文仿宋" w:eastAsia="华文仿宋" w:cs="华文仿宋"/>
          <w:sz w:val="28"/>
          <w:szCs w:val="28"/>
          <w:lang w:eastAsia="zh-CN"/>
        </w:rPr>
        <w:t>预算支出0万元，本部门无</w:t>
      </w:r>
      <w:r>
        <w:rPr>
          <w:rFonts w:hint="eastAsia" w:ascii="华文仿宋" w:hAnsi="华文仿宋" w:eastAsia="华文仿宋" w:cs="华文仿宋"/>
          <w:sz w:val="28"/>
          <w:szCs w:val="28"/>
          <w:lang w:val="en-US" w:eastAsia="zh-CN"/>
        </w:rPr>
        <w:t>会保险基金</w:t>
      </w:r>
      <w:r>
        <w:rPr>
          <w:rFonts w:hint="eastAsia" w:ascii="华文仿宋" w:hAnsi="华文仿宋" w:eastAsia="华文仿宋" w:cs="华文仿宋"/>
          <w:sz w:val="28"/>
          <w:szCs w:val="28"/>
          <w:lang w:eastAsia="zh-CN"/>
        </w:rPr>
        <w:t>安排的支出。</w:t>
      </w:r>
    </w:p>
    <w:p w14:paraId="71B1840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eastAsia="zh-CN"/>
        </w:rPr>
        <w:t>六</w:t>
      </w:r>
      <w:r>
        <w:rPr>
          <w:rFonts w:hint="eastAsia" w:ascii="微软雅黑" w:hAnsi="微软雅黑" w:eastAsia="微软雅黑" w:cs="微软雅黑"/>
          <w:b/>
          <w:bCs/>
          <w:sz w:val="28"/>
          <w:szCs w:val="28"/>
        </w:rPr>
        <w:t>、部门整体支出绩效情况</w:t>
      </w:r>
    </w:p>
    <w:p w14:paraId="100348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sz w:val="28"/>
          <w:szCs w:val="28"/>
          <w:lang w:val="en-US" w:eastAsia="zh-CN"/>
        </w:rPr>
        <w:t>严格</w:t>
      </w:r>
      <w:r>
        <w:rPr>
          <w:rFonts w:hint="eastAsia" w:ascii="华文仿宋" w:hAnsi="华文仿宋" w:eastAsia="华文仿宋" w:cs="华文仿宋"/>
          <w:sz w:val="28"/>
          <w:szCs w:val="28"/>
        </w:rPr>
        <w:t>贯彻和执行党和国家的教育方针、政策、法规。学校基础教育工作有序进行，普及九年义务教</w:t>
      </w:r>
      <w:r>
        <w:rPr>
          <w:rFonts w:hint="eastAsia" w:ascii="华文仿宋" w:hAnsi="华文仿宋" w:eastAsia="华文仿宋" w:cs="华文仿宋"/>
          <w:sz w:val="28"/>
          <w:szCs w:val="28"/>
          <w:lang w:val="en-US" w:eastAsia="zh-CN"/>
        </w:rPr>
        <w:t>育</w:t>
      </w:r>
      <w:r>
        <w:rPr>
          <w:rFonts w:hint="eastAsia" w:ascii="华文仿宋" w:hAnsi="华文仿宋" w:eastAsia="华文仿宋" w:cs="华文仿宋"/>
          <w:sz w:val="28"/>
          <w:szCs w:val="28"/>
        </w:rPr>
        <w:t>，工作成果突出。执行财务管理制度，</w:t>
      </w:r>
      <w:r>
        <w:rPr>
          <w:rFonts w:hint="eastAsia" w:ascii="华文仿宋" w:hAnsi="华文仿宋" w:eastAsia="华文仿宋" w:cs="华文仿宋"/>
          <w:i w:val="0"/>
          <w:iCs w:val="0"/>
          <w:caps w:val="0"/>
          <w:color w:val="232323"/>
          <w:spacing w:val="0"/>
          <w:sz w:val="28"/>
          <w:szCs w:val="28"/>
          <w:shd w:val="clear" w:fill="FFFFFF"/>
        </w:rPr>
        <w:t>资金拨付严格按程序申报、审批，合理合规使用资金，确保财政资金安全</w:t>
      </w:r>
      <w:r>
        <w:rPr>
          <w:rFonts w:hint="eastAsia" w:ascii="华文仿宋" w:hAnsi="华文仿宋" w:eastAsia="华文仿宋" w:cs="华文仿宋"/>
          <w:i w:val="0"/>
          <w:iCs w:val="0"/>
          <w:caps w:val="0"/>
          <w:color w:val="232323"/>
          <w:spacing w:val="0"/>
          <w:sz w:val="28"/>
          <w:szCs w:val="28"/>
          <w:shd w:val="clear" w:fill="FFFFFF"/>
          <w:lang w:eastAsia="zh-CN"/>
        </w:rPr>
        <w:t>，</w:t>
      </w:r>
      <w:r>
        <w:rPr>
          <w:rFonts w:hint="eastAsia" w:ascii="华文仿宋" w:hAnsi="华文仿宋" w:eastAsia="华文仿宋" w:cs="华文仿宋"/>
          <w:sz w:val="28"/>
          <w:szCs w:val="28"/>
        </w:rPr>
        <w:t>严控三公经费，学校教育经费管理规范。学校教职工的政治思想纯洁高尚，学校资产管理规范，使用率高。</w:t>
      </w:r>
    </w:p>
    <w:p w14:paraId="6F6D343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黑体" w:hAnsi="黑体" w:eastAsia="黑体" w:cs="黑体"/>
          <w:sz w:val="28"/>
          <w:szCs w:val="28"/>
        </w:rPr>
        <w:t>(一)强化师德师风建设，促进校园和谐发展。</w:t>
      </w:r>
      <w:r>
        <w:rPr>
          <w:rFonts w:hint="eastAsia" w:ascii="华文仿宋" w:hAnsi="华文仿宋" w:eastAsia="华文仿宋" w:cs="华文仿宋"/>
          <w:sz w:val="28"/>
          <w:szCs w:val="28"/>
        </w:rPr>
        <w:t>教师的素质直接影响着学风和校风，教师的形象直接关系着学生素质的培养。师德是一种职业精神和文化品位的体现。一是思想上高度重视。先后多次</w:t>
      </w:r>
      <w:r>
        <w:rPr>
          <w:rFonts w:hint="eastAsia" w:ascii="华文仿宋" w:hAnsi="华文仿宋" w:eastAsia="华文仿宋" w:cs="华文仿宋"/>
          <w:sz w:val="28"/>
          <w:szCs w:val="28"/>
          <w:lang w:val="en-US" w:eastAsia="zh-CN"/>
        </w:rPr>
        <w:t>召开</w:t>
      </w:r>
      <w:r>
        <w:rPr>
          <w:rFonts w:hint="eastAsia" w:ascii="华文仿宋" w:hAnsi="华文仿宋" w:eastAsia="华文仿宋" w:cs="华文仿宋"/>
          <w:sz w:val="28"/>
          <w:szCs w:val="28"/>
        </w:rPr>
        <w:t>专题</w:t>
      </w:r>
      <w:r>
        <w:rPr>
          <w:rFonts w:hint="eastAsia" w:ascii="华文仿宋" w:hAnsi="华文仿宋" w:eastAsia="华文仿宋" w:cs="华文仿宋"/>
          <w:sz w:val="28"/>
          <w:szCs w:val="28"/>
          <w:lang w:val="en-US" w:eastAsia="zh-CN"/>
        </w:rPr>
        <w:t>会议，</w:t>
      </w:r>
      <w:r>
        <w:rPr>
          <w:rFonts w:hint="eastAsia" w:ascii="华文仿宋" w:hAnsi="华文仿宋" w:eastAsia="华文仿宋" w:cs="华文仿宋"/>
          <w:sz w:val="28"/>
          <w:szCs w:val="28"/>
        </w:rPr>
        <w:t>学习</w:t>
      </w:r>
      <w:r>
        <w:rPr>
          <w:rFonts w:hint="eastAsia" w:ascii="华文仿宋" w:hAnsi="华文仿宋" w:eastAsia="华文仿宋" w:cs="华文仿宋"/>
          <w:sz w:val="28"/>
          <w:szCs w:val="28"/>
          <w:lang w:val="en-US" w:eastAsia="zh-CN"/>
        </w:rPr>
        <w:t>制定</w:t>
      </w:r>
      <w:r>
        <w:rPr>
          <w:rFonts w:hint="eastAsia" w:ascii="华文仿宋" w:hAnsi="华文仿宋" w:eastAsia="华文仿宋" w:cs="华文仿宋"/>
          <w:sz w:val="28"/>
          <w:szCs w:val="28"/>
        </w:rPr>
        <w:t>有关教师作风建设文件，要求教师在平时的教学工作中时严格要求自己，做学生的表率。二是开展师德培训，塑造教师为人师表的良好形象。通过开展师德师风自查</w:t>
      </w:r>
      <w:r>
        <w:rPr>
          <w:rFonts w:hint="eastAsia" w:ascii="华文仿宋" w:hAnsi="华文仿宋" w:eastAsia="华文仿宋" w:cs="华文仿宋"/>
          <w:sz w:val="28"/>
          <w:szCs w:val="28"/>
          <w:lang w:val="en-US" w:eastAsia="zh-CN"/>
        </w:rPr>
        <w:t>自纠</w:t>
      </w:r>
      <w:r>
        <w:rPr>
          <w:rFonts w:hint="eastAsia" w:ascii="华文仿宋" w:hAnsi="华文仿宋" w:eastAsia="华文仿宋" w:cs="华文仿宋"/>
          <w:sz w:val="28"/>
          <w:szCs w:val="28"/>
        </w:rPr>
        <w:t>活动，全体教师进一步转变了工作作风，提高了办事效率，文明执教，优质服务于学生。学生、家长对教师工作的满意度有了大幅度提升。</w:t>
      </w:r>
    </w:p>
    <w:p w14:paraId="67E26B3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(二)坚持以教学为中心，全面提高教学质量。</w:t>
      </w:r>
      <w:r>
        <w:rPr>
          <w:rFonts w:hint="eastAsia" w:ascii="华文仿宋" w:hAnsi="华文仿宋" w:eastAsia="华文仿宋" w:cs="华文仿宋"/>
          <w:sz w:val="28"/>
          <w:szCs w:val="28"/>
        </w:rPr>
        <w:t>教学工作始终坚持以教育教学质量为中心，以教学常规管理为切入点，强化教学工作。一是规范教学秩序、强化教学常规管理。严格执行教学“六认真”，教师做到认真备课、认真上课、认真布置批改作业、认真辅导学生，教学处做到认真检查、认真考核评价，强化教学过程每个环节的时效。二是抓好教师队伍建设，提高教师素质。每学期集中安排了公开教学周，通过听课、评课、反馈教学情况，使教师比较迅速地成长起来。发挥骨干教师、教学能手的示范和引领作用，积极参加“竞赛活动”。三是严格执行“减负”规定，向课堂教学要效益。充分利用好课堂教学平台和教育资源，切实提高教学质量。要求任课老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14:paraId="0C01B51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（三）坚持以德育为首位，全面实施素质教育。</w:t>
      </w:r>
      <w:r>
        <w:rPr>
          <w:rFonts w:hint="eastAsia" w:ascii="华文仿宋" w:hAnsi="华文仿宋" w:eastAsia="华文仿宋" w:cs="华文仿宋"/>
          <w:sz w:val="28"/>
          <w:szCs w:val="28"/>
        </w:rPr>
        <w:t>一是开展丰富多彩的活动。坚持每周一的升旗仪式，利用国旗下讲话、校会、班队等活动对学生进行文明礼貌、行为习惯</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防性侵、防溺水、利剑护蕾</w:t>
      </w:r>
      <w:r>
        <w:rPr>
          <w:rFonts w:hint="eastAsia" w:ascii="华文仿宋" w:hAnsi="华文仿宋" w:eastAsia="华文仿宋" w:cs="华文仿宋"/>
          <w:sz w:val="28"/>
          <w:szCs w:val="28"/>
        </w:rPr>
        <w:t>等教育</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开展了丰富多彩的学生课外活动</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科技创新活动</w:t>
      </w:r>
      <w:r>
        <w:rPr>
          <w:rFonts w:hint="eastAsia" w:ascii="华文仿宋" w:hAnsi="华文仿宋" w:eastAsia="华文仿宋" w:cs="华文仿宋"/>
          <w:sz w:val="28"/>
          <w:szCs w:val="28"/>
        </w:rPr>
        <w:t>，让学生得到了展示的平台，从中既得到了快乐又学到了知识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坚持文明班级评比，继续开展了“流动红旗”评比活动，给学生创造一种积极向上的氛围，让学生自己管理自己</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注重常规教育，抓学生行为习惯养成教育。以《小学生守则》、《中小学生日常行为规范》为标准，在全校范围内开展争做规范生活动。二是发挥“家长学校”的职能。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将对“家校”工作进行不断的探索、研究，努力做好。</w:t>
      </w:r>
    </w:p>
    <w:p w14:paraId="55A2F49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（四）加强学校安全和后勤服务工作，强化安全管理责任。</w:t>
      </w:r>
      <w:r>
        <w:rPr>
          <w:rFonts w:hint="eastAsia" w:ascii="华文仿宋" w:hAnsi="华文仿宋" w:eastAsia="华文仿宋" w:cs="华文仿宋"/>
          <w:sz w:val="28"/>
          <w:szCs w:val="28"/>
        </w:rPr>
        <w:t>学校安全直接关系到广大师生的生命安全，关系到社会和谐定。学校后勤部门本着服务于教育教学工作的原则，努力创造优美舒适的校园环境，为教育教学提供安全保障，尽心尽力做好后勤服务工作。一是坚持常规工作不放松，确保教育教学的正常进行。在开学初及时发放了办公用品;检修了楼梯道和各教室照明设施维修了学生损坏窗户玻璃做好开学典礼的准备等。对各功能室、各班级的财产和物品进行核查并登记入册，落实固定资产的管理工作。使学生的学习条件得到了很大的改善。每月进行了安全排查，平时也不定期对学校电器进行安全检查，并将检查记录进行汇总，发现问题及时维修。对学生损坏的课桌椅、门、锁、窗、水电也及时进行了维修。二是强化安全意识，紧抓安全工作不放松。开学初，向每位学生家长都发放了</w:t>
      </w:r>
      <w:r>
        <w:rPr>
          <w:rFonts w:hint="eastAsia" w:ascii="华文仿宋" w:hAnsi="华文仿宋" w:eastAsia="华文仿宋" w:cs="华文仿宋"/>
          <w:sz w:val="28"/>
          <w:szCs w:val="28"/>
          <w:lang w:val="en-US" w:eastAsia="zh-CN"/>
        </w:rPr>
        <w:t>防性侵、防溺水、利剑护蕾等</w:t>
      </w:r>
      <w:r>
        <w:rPr>
          <w:rFonts w:hint="eastAsia" w:ascii="华文仿宋" w:hAnsi="华文仿宋" w:eastAsia="华文仿宋" w:cs="华文仿宋"/>
          <w:sz w:val="28"/>
          <w:szCs w:val="28"/>
        </w:rPr>
        <w:t>《致家长的一封信》，并要求在回执上签字。学校也与教职工、特别是班主任老师签订了安全目标责任书。进一步完善了各项安全制度和应急预案，加大了安全宣传力度认真落实了安全课进课堂，每周组织学生紧急疏散演练，使学生的安全意识得到了很大的提高。对学校教学设施、体育设施、电路等，不定期进行了检查，发现问题，及时整改。加强学校内保工作，严格执行学校各项管理制度，把教师轮值制度落到实处，认真履行职责，严禁闲杂人等进入校园，确保校园安全。</w:t>
      </w:r>
    </w:p>
    <w:p w14:paraId="4FC2D67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七、</w:t>
      </w:r>
      <w:r>
        <w:rPr>
          <w:rFonts w:hint="eastAsia" w:ascii="微软雅黑" w:hAnsi="微软雅黑" w:eastAsia="微软雅黑" w:cs="微软雅黑"/>
          <w:b/>
          <w:bCs/>
          <w:sz w:val="28"/>
          <w:szCs w:val="28"/>
        </w:rPr>
        <w:t>存在的问题</w:t>
      </w:r>
    </w:p>
    <w:p w14:paraId="5A1C58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500" w:lineRule="exact"/>
        <w:ind w:left="0" w:right="0" w:firstLine="560" w:firstLineChars="20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1.预算编制工作有待提高。预算编制跟不上学校实际支出，预算编制的合理性需要提高，预算执行力度还要进一步加强。</w:t>
      </w:r>
    </w:p>
    <w:p w14:paraId="175FDD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2.学校公用经费预算有待提高，特别是小规模学校运转困难。</w:t>
      </w:r>
    </w:p>
    <w:p w14:paraId="235C62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3.工会经费预算严重不足。</w:t>
      </w:r>
    </w:p>
    <w:p w14:paraId="2C6CEC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4.残疾人就业保障金财政年初未纳入预算，均为学校公用经费承担。</w:t>
      </w:r>
    </w:p>
    <w:p w14:paraId="412A27A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八、改进措施和有关建议</w:t>
      </w:r>
    </w:p>
    <w:p w14:paraId="510F96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细化预算编制工作，认真做好预算的编制。进一步加强单位内部机构各科室的预算管理意识，严格按照预算编制的相关制度和要求进行预算编制，尽量压缩变动性的、有控制空间的费用项目，进一步提高预算编制的科学性、严谨性和可控性。</w:t>
      </w:r>
    </w:p>
    <w:p w14:paraId="69DC48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2.加强财务管理，严格财务审核。加强单位财务管理，在费用报账支付时，按照预算规定的费用项目和用途进行资金使用审核、列报支付、财务核算，杜绝超支现象的发生。</w:t>
      </w:r>
    </w:p>
    <w:p w14:paraId="048E3B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3.完善资产管理，抓好“三公”经费控制。把关“三公”经费支出的审核、审批，杜绝挪用和挤占其他预算资金行为。</w:t>
      </w:r>
    </w:p>
    <w:p w14:paraId="3F98D6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4.希望政府部门能落实解决单位的工会经费缺口、残保金全额纳入年初预算、临聘人员全额纳入预算等资金。</w:t>
      </w:r>
    </w:p>
    <w:p w14:paraId="15D4AE49">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w:t>
      </w:r>
    </w:p>
    <w:p w14:paraId="4FF97DDE">
      <w:pPr>
        <w:spacing w:line="560" w:lineRule="exact"/>
        <w:ind w:firstLine="5040" w:firstLineChars="1800"/>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隆回县七江镇中心学校</w:t>
      </w:r>
    </w:p>
    <w:p w14:paraId="429A4F72">
      <w:pPr>
        <w:pStyle w:val="8"/>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w:t>
      </w:r>
    </w:p>
    <w:p w14:paraId="0A25012D">
      <w:pPr>
        <w:pStyle w:val="8"/>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2025年5月</w:t>
      </w:r>
    </w:p>
    <w:p w14:paraId="21B37BE4">
      <w:pPr>
        <w:spacing w:line="560" w:lineRule="exact"/>
        <w:rPr>
          <w:rFonts w:hint="eastAsia" w:ascii="华文仿宋" w:hAnsi="华文仿宋" w:eastAsia="华文仿宋" w:cs="华文仿宋"/>
          <w:kern w:val="0"/>
          <w:sz w:val="28"/>
          <w:szCs w:val="28"/>
        </w:rPr>
      </w:pPr>
    </w:p>
    <w:p w14:paraId="598F8758">
      <w:pPr>
        <w:spacing w:line="560" w:lineRule="exact"/>
        <w:rPr>
          <w:rFonts w:hint="eastAsia" w:ascii="仿宋" w:hAnsi="仿宋" w:eastAsia="仿宋" w:cs="仿宋"/>
          <w:kern w:val="0"/>
          <w:sz w:val="32"/>
          <w:szCs w:val="32"/>
        </w:rPr>
      </w:pPr>
    </w:p>
    <w:p w14:paraId="4DB18265">
      <w:pPr>
        <w:spacing w:line="560" w:lineRule="exact"/>
        <w:rPr>
          <w:rFonts w:hint="eastAsia" w:ascii="仿宋" w:hAnsi="仿宋" w:eastAsia="仿宋" w:cs="仿宋"/>
          <w:kern w:val="0"/>
          <w:sz w:val="32"/>
          <w:szCs w:val="32"/>
        </w:rPr>
      </w:pPr>
    </w:p>
    <w:p w14:paraId="1307C698">
      <w:pPr>
        <w:spacing w:line="560" w:lineRule="exact"/>
        <w:rPr>
          <w:rFonts w:hint="eastAsia" w:ascii="仿宋" w:hAnsi="仿宋" w:eastAsia="仿宋" w:cs="仿宋"/>
          <w:kern w:val="0"/>
          <w:sz w:val="32"/>
          <w:szCs w:val="32"/>
        </w:rPr>
      </w:pPr>
    </w:p>
    <w:p w14:paraId="76451DE9">
      <w:pPr>
        <w:spacing w:line="560" w:lineRule="exact"/>
        <w:rPr>
          <w:rFonts w:hint="eastAsia" w:ascii="仿宋" w:hAnsi="仿宋" w:eastAsia="仿宋" w:cs="仿宋"/>
          <w:kern w:val="0"/>
          <w:sz w:val="32"/>
          <w:szCs w:val="32"/>
        </w:rPr>
      </w:pPr>
    </w:p>
    <w:p w14:paraId="3D9BA4F1">
      <w:pPr>
        <w:spacing w:line="560" w:lineRule="exact"/>
        <w:rPr>
          <w:rFonts w:hint="eastAsia" w:ascii="仿宋" w:hAnsi="仿宋" w:eastAsia="仿宋" w:cs="仿宋"/>
          <w:kern w:val="0"/>
          <w:sz w:val="32"/>
          <w:szCs w:val="32"/>
        </w:rPr>
      </w:pPr>
    </w:p>
    <w:p w14:paraId="508181FB">
      <w:pPr>
        <w:spacing w:line="560" w:lineRule="exact"/>
        <w:rPr>
          <w:rFonts w:hint="eastAsia" w:ascii="仿宋" w:hAnsi="仿宋" w:eastAsia="仿宋" w:cs="仿宋"/>
          <w:kern w:val="0"/>
          <w:sz w:val="32"/>
          <w:szCs w:val="32"/>
        </w:rPr>
      </w:pPr>
    </w:p>
    <w:p w14:paraId="10BE49DE">
      <w:pPr>
        <w:spacing w:line="560" w:lineRule="exact"/>
        <w:rPr>
          <w:rFonts w:hint="eastAsia" w:ascii="仿宋" w:hAnsi="仿宋" w:eastAsia="仿宋" w:cs="仿宋"/>
          <w:kern w:val="0"/>
          <w:sz w:val="32"/>
          <w:szCs w:val="32"/>
        </w:rPr>
      </w:pPr>
    </w:p>
    <w:p w14:paraId="640FC8C1">
      <w:pPr>
        <w:spacing w:line="560" w:lineRule="exact"/>
        <w:rPr>
          <w:rFonts w:hint="eastAsia" w:ascii="仿宋" w:hAnsi="仿宋" w:eastAsia="仿宋" w:cs="仿宋"/>
          <w:kern w:val="0"/>
          <w:sz w:val="32"/>
          <w:szCs w:val="32"/>
        </w:rPr>
      </w:pPr>
    </w:p>
    <w:p w14:paraId="48985F10">
      <w:pPr>
        <w:spacing w:line="560" w:lineRule="exact"/>
        <w:rPr>
          <w:rFonts w:hint="eastAsia" w:ascii="仿宋" w:hAnsi="仿宋" w:eastAsia="仿宋" w:cs="仿宋"/>
          <w:kern w:val="0"/>
          <w:sz w:val="32"/>
          <w:szCs w:val="32"/>
        </w:rPr>
      </w:pPr>
    </w:p>
    <w:p w14:paraId="246A1D15">
      <w:pPr>
        <w:spacing w:line="560" w:lineRule="exact"/>
        <w:rPr>
          <w:rFonts w:hint="eastAsia" w:ascii="仿宋" w:hAnsi="仿宋" w:eastAsia="仿宋" w:cs="仿宋"/>
          <w:kern w:val="0"/>
          <w:sz w:val="32"/>
          <w:szCs w:val="32"/>
        </w:rPr>
      </w:pPr>
    </w:p>
    <w:p w14:paraId="6D6B13D5">
      <w:pPr>
        <w:spacing w:line="560" w:lineRule="exact"/>
        <w:rPr>
          <w:rFonts w:hint="eastAsia" w:ascii="仿宋" w:hAnsi="仿宋" w:eastAsia="仿宋" w:cs="仿宋"/>
          <w:kern w:val="0"/>
          <w:sz w:val="32"/>
          <w:szCs w:val="32"/>
        </w:rPr>
      </w:pPr>
    </w:p>
    <w:p w14:paraId="7674F803">
      <w:pPr>
        <w:spacing w:line="560" w:lineRule="exact"/>
        <w:rPr>
          <w:rFonts w:hint="eastAsia" w:ascii="仿宋" w:hAnsi="仿宋" w:eastAsia="仿宋" w:cs="仿宋"/>
          <w:kern w:val="0"/>
          <w:sz w:val="32"/>
          <w:szCs w:val="32"/>
        </w:rPr>
      </w:pPr>
    </w:p>
    <w:p w14:paraId="7C3E38ED">
      <w:pPr>
        <w:spacing w:line="560" w:lineRule="exact"/>
        <w:rPr>
          <w:rFonts w:hint="eastAsia" w:ascii="仿宋" w:hAnsi="仿宋" w:eastAsia="仿宋" w:cs="仿宋"/>
          <w:kern w:val="0"/>
          <w:sz w:val="32"/>
          <w:szCs w:val="32"/>
        </w:rPr>
      </w:pPr>
    </w:p>
    <w:p w14:paraId="059B17D8">
      <w:pPr>
        <w:spacing w:line="560" w:lineRule="exact"/>
        <w:rPr>
          <w:rFonts w:hint="eastAsia" w:ascii="仿宋" w:hAnsi="仿宋" w:eastAsia="仿宋" w:cs="仿宋"/>
          <w:kern w:val="0"/>
          <w:sz w:val="32"/>
          <w:szCs w:val="32"/>
        </w:rPr>
      </w:pPr>
    </w:p>
    <w:p w14:paraId="23D9DFD3">
      <w:pPr>
        <w:spacing w:line="560" w:lineRule="exact"/>
        <w:rPr>
          <w:rFonts w:hint="eastAsia" w:ascii="仿宋" w:hAnsi="仿宋" w:eastAsia="仿宋" w:cs="仿宋"/>
          <w:kern w:val="0"/>
          <w:sz w:val="24"/>
          <w:szCs w:val="24"/>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14:paraId="018B25AB">
      <w:pPr>
        <w:pStyle w:val="8"/>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10"/>
        <w:tblpPr w:leftFromText="180" w:rightFromText="180" w:vertAnchor="text" w:tblpX="399" w:tblpY="386"/>
        <w:tblOverlap w:val="never"/>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1047"/>
      </w:tblGrid>
      <w:tr w14:paraId="1ACE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00" w:type="dxa"/>
            <w:vAlign w:val="center"/>
          </w:tcPr>
          <w:p w14:paraId="610BA12D">
            <w:pPr>
              <w:pStyle w:val="8"/>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6096" w:type="dxa"/>
            <w:gridSpan w:val="6"/>
            <w:vAlign w:val="center"/>
          </w:tcPr>
          <w:p w14:paraId="3AD9AAB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隆回县七江镇中心学校</w:t>
            </w:r>
          </w:p>
        </w:tc>
      </w:tr>
      <w:tr w14:paraId="149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7C2DF63A">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vAlign w:val="center"/>
          </w:tcPr>
          <w:p w14:paraId="578804B1">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44016098">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2024年实际在职人数</w:t>
            </w:r>
          </w:p>
        </w:tc>
        <w:tc>
          <w:tcPr>
            <w:tcW w:w="2064" w:type="dxa"/>
            <w:gridSpan w:val="2"/>
            <w:vAlign w:val="center"/>
          </w:tcPr>
          <w:p w14:paraId="78AE2DA7">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354D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268AF6CB">
            <w:pPr>
              <w:pStyle w:val="8"/>
              <w:jc w:val="center"/>
              <w:rPr>
                <w:rFonts w:hint="eastAsia" w:ascii="仿宋" w:hAnsi="仿宋" w:eastAsia="仿宋" w:cs="仿宋"/>
                <w:b w:val="0"/>
                <w:bCs w:val="0"/>
                <w:kern w:val="0"/>
                <w:sz w:val="18"/>
                <w:szCs w:val="18"/>
                <w:vertAlign w:val="baseline"/>
                <w:lang w:eastAsia="zh-CN"/>
              </w:rPr>
            </w:pPr>
          </w:p>
        </w:tc>
        <w:tc>
          <w:tcPr>
            <w:tcW w:w="1933" w:type="dxa"/>
            <w:gridSpan w:val="2"/>
            <w:vAlign w:val="center"/>
          </w:tcPr>
          <w:p w14:paraId="0AAB7245">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280</w:t>
            </w:r>
          </w:p>
        </w:tc>
        <w:tc>
          <w:tcPr>
            <w:tcW w:w="2099" w:type="dxa"/>
            <w:gridSpan w:val="2"/>
            <w:vAlign w:val="center"/>
          </w:tcPr>
          <w:p w14:paraId="4F405D4D">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280</w:t>
            </w:r>
          </w:p>
        </w:tc>
        <w:tc>
          <w:tcPr>
            <w:tcW w:w="2064" w:type="dxa"/>
            <w:gridSpan w:val="2"/>
            <w:vAlign w:val="center"/>
          </w:tcPr>
          <w:p w14:paraId="3279644A">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100%</w:t>
            </w:r>
          </w:p>
        </w:tc>
      </w:tr>
      <w:tr w14:paraId="36CF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00" w:type="dxa"/>
            <w:vAlign w:val="center"/>
          </w:tcPr>
          <w:p w14:paraId="587AEE99">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vAlign w:val="center"/>
          </w:tcPr>
          <w:p w14:paraId="333A2AC6">
            <w:pPr>
              <w:pStyle w:val="8"/>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c>
          <w:tcPr>
            <w:tcW w:w="2099" w:type="dxa"/>
            <w:gridSpan w:val="2"/>
            <w:vAlign w:val="center"/>
          </w:tcPr>
          <w:p w14:paraId="2FEE24F5">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2024年预算数</w:t>
            </w:r>
          </w:p>
        </w:tc>
        <w:tc>
          <w:tcPr>
            <w:tcW w:w="2064" w:type="dxa"/>
            <w:gridSpan w:val="2"/>
            <w:vAlign w:val="center"/>
          </w:tcPr>
          <w:p w14:paraId="776F34F6">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r>
      <w:tr w14:paraId="3910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vAlign w:val="center"/>
          </w:tcPr>
          <w:p w14:paraId="7798293D">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vAlign w:val="center"/>
          </w:tcPr>
          <w:p w14:paraId="2E93DC0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FF140A8">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667CB999">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322F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66D2BC0B">
            <w:pPr>
              <w:pStyle w:val="8"/>
              <w:numPr>
                <w:ilvl w:val="0"/>
                <w:numId w:val="1"/>
              </w:numPr>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0AA3BE97">
            <w:pPr>
              <w:pStyle w:val="8"/>
              <w:numPr>
                <w:ilvl w:val="0"/>
                <w:numId w:val="0"/>
              </w:numPr>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vAlign w:val="center"/>
          </w:tcPr>
          <w:p w14:paraId="297E0AB2">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5F61267F">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0B330FAE">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6B95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3640528A">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vAlign w:val="center"/>
          </w:tcPr>
          <w:p w14:paraId="7A78ABD2">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627381F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01A6B77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482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64C45984">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vAlign w:val="center"/>
          </w:tcPr>
          <w:p w14:paraId="09E370C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40D234B">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4C220D5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7B60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5273DF6E">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vAlign w:val="center"/>
          </w:tcPr>
          <w:p w14:paraId="2C4B8C0D">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866A52E">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031A8E9A">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637B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4CEEF984">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vAlign w:val="center"/>
          </w:tcPr>
          <w:p w14:paraId="3B6A4A9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27CA03C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5FA23CE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00A5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75A10C50">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vAlign w:val="center"/>
          </w:tcPr>
          <w:p w14:paraId="0C38FAF1">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45276BBB">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5E4569B6">
            <w:pPr>
              <w:pStyle w:val="8"/>
              <w:jc w:val="center"/>
              <w:rPr>
                <w:rFonts w:hint="eastAsia" w:ascii="仿宋" w:hAnsi="仿宋" w:eastAsia="仿宋" w:cs="仿宋"/>
                <w:b w:val="0"/>
                <w:bCs w:val="0"/>
                <w:kern w:val="0"/>
                <w:sz w:val="18"/>
                <w:szCs w:val="18"/>
                <w:vertAlign w:val="baseline"/>
                <w:lang w:eastAsia="zh-CN"/>
              </w:rPr>
            </w:pPr>
          </w:p>
        </w:tc>
      </w:tr>
      <w:tr w14:paraId="49F5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6AC92BBE">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vAlign w:val="center"/>
          </w:tcPr>
          <w:p w14:paraId="6BAD40F0">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217DC8FF">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1C786353">
            <w:pPr>
              <w:pStyle w:val="8"/>
              <w:jc w:val="center"/>
              <w:rPr>
                <w:rFonts w:hint="eastAsia" w:ascii="仿宋" w:hAnsi="仿宋" w:eastAsia="仿宋" w:cs="仿宋"/>
                <w:b w:val="0"/>
                <w:bCs w:val="0"/>
                <w:kern w:val="0"/>
                <w:sz w:val="18"/>
                <w:szCs w:val="18"/>
                <w:vertAlign w:val="baseline"/>
                <w:lang w:eastAsia="zh-CN"/>
              </w:rPr>
            </w:pPr>
          </w:p>
        </w:tc>
      </w:tr>
      <w:tr w14:paraId="4700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DA92027">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vAlign w:val="center"/>
          </w:tcPr>
          <w:p w14:paraId="4C5BBD49">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37011ADB">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767350B3">
            <w:pPr>
              <w:pStyle w:val="8"/>
              <w:jc w:val="center"/>
              <w:rPr>
                <w:rFonts w:hint="eastAsia" w:ascii="仿宋" w:hAnsi="仿宋" w:eastAsia="仿宋" w:cs="仿宋"/>
                <w:b w:val="0"/>
                <w:bCs w:val="0"/>
                <w:kern w:val="0"/>
                <w:sz w:val="18"/>
                <w:szCs w:val="18"/>
                <w:vertAlign w:val="baseline"/>
                <w:lang w:eastAsia="zh-CN"/>
              </w:rPr>
            </w:pPr>
          </w:p>
        </w:tc>
      </w:tr>
      <w:tr w14:paraId="414E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0F46AA5E">
            <w:pPr>
              <w:pStyle w:val="8"/>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4B035F5D">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2E82ECB3">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4CCCA3B7">
            <w:pPr>
              <w:pStyle w:val="8"/>
              <w:jc w:val="center"/>
              <w:rPr>
                <w:rFonts w:hint="eastAsia" w:ascii="仿宋" w:hAnsi="仿宋" w:eastAsia="仿宋" w:cs="仿宋"/>
                <w:b w:val="0"/>
                <w:bCs w:val="0"/>
                <w:kern w:val="0"/>
                <w:sz w:val="18"/>
                <w:szCs w:val="18"/>
                <w:vertAlign w:val="baseline"/>
                <w:lang w:eastAsia="zh-CN"/>
              </w:rPr>
            </w:pPr>
          </w:p>
        </w:tc>
      </w:tr>
      <w:tr w14:paraId="18B4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102FE008">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vAlign w:val="center"/>
          </w:tcPr>
          <w:p w14:paraId="2CB1A5B6">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48F05961">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4B56792A">
            <w:pPr>
              <w:pStyle w:val="8"/>
              <w:jc w:val="center"/>
              <w:rPr>
                <w:rFonts w:hint="eastAsia" w:ascii="仿宋" w:hAnsi="仿宋" w:eastAsia="仿宋" w:cs="仿宋"/>
                <w:b w:val="0"/>
                <w:bCs w:val="0"/>
                <w:kern w:val="0"/>
                <w:sz w:val="18"/>
                <w:szCs w:val="18"/>
                <w:vertAlign w:val="baseline"/>
                <w:lang w:eastAsia="zh-CN"/>
              </w:rPr>
            </w:pPr>
          </w:p>
        </w:tc>
      </w:tr>
      <w:tr w14:paraId="3A89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1B67565B">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67AB264E">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4ACAB871">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4289BC83">
            <w:pPr>
              <w:pStyle w:val="8"/>
              <w:jc w:val="center"/>
              <w:rPr>
                <w:rFonts w:hint="eastAsia" w:ascii="仿宋" w:hAnsi="仿宋" w:eastAsia="仿宋" w:cs="仿宋"/>
                <w:b w:val="0"/>
                <w:bCs w:val="0"/>
                <w:kern w:val="0"/>
                <w:sz w:val="18"/>
                <w:szCs w:val="18"/>
                <w:vertAlign w:val="baseline"/>
                <w:lang w:eastAsia="zh-CN"/>
              </w:rPr>
            </w:pPr>
          </w:p>
        </w:tc>
      </w:tr>
      <w:tr w14:paraId="49C6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1C4EB73B">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vAlign w:val="center"/>
          </w:tcPr>
          <w:p w14:paraId="15A228CD">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728.91</w:t>
            </w:r>
          </w:p>
        </w:tc>
        <w:tc>
          <w:tcPr>
            <w:tcW w:w="2099" w:type="dxa"/>
            <w:gridSpan w:val="2"/>
            <w:vAlign w:val="center"/>
          </w:tcPr>
          <w:p w14:paraId="6A9BE822">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135.77</w:t>
            </w:r>
          </w:p>
        </w:tc>
        <w:tc>
          <w:tcPr>
            <w:tcW w:w="2064" w:type="dxa"/>
            <w:gridSpan w:val="2"/>
            <w:vAlign w:val="center"/>
          </w:tcPr>
          <w:p w14:paraId="4DAEFC7C">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689.22</w:t>
            </w:r>
          </w:p>
        </w:tc>
      </w:tr>
      <w:tr w14:paraId="5250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09D132F1">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vAlign w:val="center"/>
          </w:tcPr>
          <w:p w14:paraId="7524EC99">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114.09</w:t>
            </w:r>
          </w:p>
        </w:tc>
        <w:tc>
          <w:tcPr>
            <w:tcW w:w="2099" w:type="dxa"/>
            <w:gridSpan w:val="2"/>
            <w:vAlign w:val="center"/>
          </w:tcPr>
          <w:p w14:paraId="5AE3811A">
            <w:pPr>
              <w:pStyle w:val="8"/>
              <w:ind w:left="0" w:leftChars="0" w:firstLine="900" w:firstLineChars="500"/>
              <w:jc w:val="both"/>
              <w:rPr>
                <w:rFonts w:hint="default" w:ascii="仿宋" w:hAnsi="仿宋" w:eastAsia="仿宋" w:cs="仿宋"/>
                <w:b w:val="0"/>
                <w:bCs w:val="0"/>
                <w:kern w:val="0"/>
                <w:sz w:val="18"/>
                <w:szCs w:val="18"/>
                <w:vertAlign w:val="baseline"/>
                <w:lang w:val="en-US" w:eastAsia="zh-CN"/>
              </w:rPr>
            </w:pPr>
          </w:p>
        </w:tc>
        <w:tc>
          <w:tcPr>
            <w:tcW w:w="2064" w:type="dxa"/>
            <w:gridSpan w:val="2"/>
            <w:vAlign w:val="center"/>
          </w:tcPr>
          <w:p w14:paraId="175C02F6">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133.87</w:t>
            </w:r>
          </w:p>
        </w:tc>
      </w:tr>
      <w:tr w14:paraId="106B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33C67731">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vAlign w:val="center"/>
          </w:tcPr>
          <w:p w14:paraId="326EC1C9">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127</w:t>
            </w:r>
          </w:p>
        </w:tc>
        <w:tc>
          <w:tcPr>
            <w:tcW w:w="2099" w:type="dxa"/>
            <w:gridSpan w:val="2"/>
            <w:vAlign w:val="center"/>
          </w:tcPr>
          <w:p w14:paraId="615C470A">
            <w:pPr>
              <w:pStyle w:val="8"/>
              <w:jc w:val="both"/>
              <w:rPr>
                <w:rFonts w:hint="default" w:ascii="仿宋" w:hAnsi="仿宋" w:eastAsia="仿宋" w:cs="仿宋"/>
                <w:b w:val="0"/>
                <w:bCs w:val="0"/>
                <w:kern w:val="0"/>
                <w:sz w:val="18"/>
                <w:szCs w:val="18"/>
                <w:vertAlign w:val="baseline"/>
                <w:lang w:val="en-US" w:eastAsia="zh-CN"/>
              </w:rPr>
            </w:pPr>
          </w:p>
        </w:tc>
        <w:tc>
          <w:tcPr>
            <w:tcW w:w="2064" w:type="dxa"/>
            <w:gridSpan w:val="2"/>
            <w:vAlign w:val="center"/>
          </w:tcPr>
          <w:p w14:paraId="32C3F82E">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50.64</w:t>
            </w:r>
          </w:p>
        </w:tc>
      </w:tr>
      <w:tr w14:paraId="380C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5476B98">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vAlign w:val="center"/>
          </w:tcPr>
          <w:p w14:paraId="49FF8263">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6</w:t>
            </w:r>
          </w:p>
        </w:tc>
        <w:tc>
          <w:tcPr>
            <w:tcW w:w="2099" w:type="dxa"/>
            <w:gridSpan w:val="2"/>
            <w:vAlign w:val="center"/>
          </w:tcPr>
          <w:p w14:paraId="2D16250F">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21.99</w:t>
            </w:r>
          </w:p>
        </w:tc>
        <w:tc>
          <w:tcPr>
            <w:tcW w:w="2064" w:type="dxa"/>
            <w:gridSpan w:val="2"/>
            <w:vAlign w:val="center"/>
          </w:tcPr>
          <w:p w14:paraId="60DC8CAE">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8.8</w:t>
            </w:r>
          </w:p>
        </w:tc>
      </w:tr>
      <w:tr w14:paraId="4C6F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13C78397">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vAlign w:val="center"/>
          </w:tcPr>
          <w:p w14:paraId="30574EA9">
            <w:pPr>
              <w:pStyle w:val="8"/>
              <w:jc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577D5249">
            <w:pPr>
              <w:pStyle w:val="8"/>
              <w:jc w:val="both"/>
              <w:rPr>
                <w:rFonts w:hint="default" w:ascii="仿宋" w:hAnsi="仿宋" w:eastAsia="仿宋" w:cs="仿宋"/>
                <w:b w:val="0"/>
                <w:bCs w:val="0"/>
                <w:kern w:val="0"/>
                <w:sz w:val="18"/>
                <w:szCs w:val="18"/>
                <w:vertAlign w:val="baseline"/>
                <w:lang w:val="en-US" w:eastAsia="zh-CN"/>
              </w:rPr>
            </w:pPr>
          </w:p>
        </w:tc>
        <w:tc>
          <w:tcPr>
            <w:tcW w:w="2064" w:type="dxa"/>
            <w:gridSpan w:val="2"/>
            <w:vAlign w:val="center"/>
          </w:tcPr>
          <w:p w14:paraId="4B463A6D">
            <w:pPr>
              <w:pStyle w:val="8"/>
              <w:jc w:val="center"/>
              <w:rPr>
                <w:rFonts w:hint="default" w:ascii="仿宋" w:hAnsi="仿宋" w:eastAsia="仿宋" w:cs="仿宋"/>
                <w:b w:val="0"/>
                <w:bCs w:val="0"/>
                <w:kern w:val="0"/>
                <w:sz w:val="18"/>
                <w:szCs w:val="18"/>
                <w:vertAlign w:val="baseline"/>
                <w:lang w:val="en-US" w:eastAsia="zh-CN"/>
              </w:rPr>
            </w:pPr>
          </w:p>
        </w:tc>
      </w:tr>
      <w:tr w14:paraId="098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0BFBBDAA">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vAlign w:val="center"/>
          </w:tcPr>
          <w:p w14:paraId="0A65ACFB">
            <w:pPr>
              <w:pStyle w:val="8"/>
              <w:jc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47A2CC45">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35E00E3D">
            <w:pPr>
              <w:pStyle w:val="8"/>
              <w:jc w:val="center"/>
              <w:rPr>
                <w:rFonts w:hint="default" w:ascii="仿宋" w:hAnsi="仿宋" w:eastAsia="仿宋" w:cs="仿宋"/>
                <w:b w:val="0"/>
                <w:bCs w:val="0"/>
                <w:kern w:val="0"/>
                <w:sz w:val="18"/>
                <w:szCs w:val="18"/>
                <w:vertAlign w:val="baseline"/>
                <w:lang w:val="en-US" w:eastAsia="zh-CN"/>
              </w:rPr>
            </w:pPr>
          </w:p>
        </w:tc>
      </w:tr>
      <w:tr w14:paraId="6F5C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544D8C1B">
            <w:pPr>
              <w:pStyle w:val="8"/>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tc>
        <w:tc>
          <w:tcPr>
            <w:tcW w:w="950" w:type="dxa"/>
            <w:vAlign w:val="center"/>
          </w:tcPr>
          <w:p w14:paraId="64916E9C">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75ABA1EE">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183681FE">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43157FD7">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3E8853F1">
            <w:pPr>
              <w:pStyle w:val="8"/>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1047" w:type="dxa"/>
            <w:vAlign w:val="center"/>
          </w:tcPr>
          <w:p w14:paraId="4DC4D810">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65B7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7BDF2961">
            <w:pPr>
              <w:pStyle w:val="8"/>
              <w:jc w:val="center"/>
              <w:rPr>
                <w:rFonts w:hint="eastAsia" w:ascii="仿宋" w:hAnsi="仿宋" w:eastAsia="仿宋" w:cs="仿宋"/>
                <w:b w:val="0"/>
                <w:bCs w:val="0"/>
                <w:kern w:val="0"/>
                <w:sz w:val="18"/>
                <w:szCs w:val="18"/>
                <w:vertAlign w:val="baseline"/>
                <w:lang w:eastAsia="zh-CN"/>
              </w:rPr>
            </w:pPr>
          </w:p>
        </w:tc>
        <w:tc>
          <w:tcPr>
            <w:tcW w:w="950" w:type="dxa"/>
            <w:vAlign w:val="center"/>
          </w:tcPr>
          <w:p w14:paraId="282BAFD2">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83" w:type="dxa"/>
            <w:vAlign w:val="center"/>
          </w:tcPr>
          <w:p w14:paraId="120758A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127" w:type="dxa"/>
            <w:vAlign w:val="center"/>
          </w:tcPr>
          <w:p w14:paraId="3640154D">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72" w:type="dxa"/>
            <w:vAlign w:val="center"/>
          </w:tcPr>
          <w:p w14:paraId="05BD6966">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017" w:type="dxa"/>
            <w:vAlign w:val="center"/>
          </w:tcPr>
          <w:p w14:paraId="6DAA5EF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047" w:type="dxa"/>
            <w:vAlign w:val="center"/>
          </w:tcPr>
          <w:p w14:paraId="0AC6AC1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2FC7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577A1086">
            <w:pPr>
              <w:pStyle w:val="8"/>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6096" w:type="dxa"/>
            <w:gridSpan w:val="6"/>
            <w:vAlign w:val="center"/>
          </w:tcPr>
          <w:p w14:paraId="04041B53">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规范财务管理，加强财务监督，加大预算执行力度，支出票据严格审核，执行中央八项规定，严控三公经费，坚持厉行节约原则。</w:t>
            </w:r>
          </w:p>
        </w:tc>
      </w:tr>
    </w:tbl>
    <w:p w14:paraId="0A305894">
      <w:pPr>
        <w:pStyle w:val="8"/>
        <w:ind w:left="0" w:leftChars="0" w:firstLine="0" w:firstLineChars="0"/>
        <w:jc w:val="both"/>
        <w:rPr>
          <w:rFonts w:hint="eastAsia" w:ascii="仿宋" w:hAnsi="仿宋" w:eastAsia="仿宋" w:cs="仿宋"/>
          <w:b w:val="0"/>
          <w:bCs w:val="0"/>
          <w:kern w:val="0"/>
          <w:sz w:val="30"/>
          <w:szCs w:val="30"/>
          <w:lang w:eastAsia="zh-CN"/>
        </w:rPr>
      </w:pPr>
      <w:bookmarkStart w:id="0" w:name="_GoBack"/>
      <w:bookmarkEnd w:id="0"/>
    </w:p>
    <w:p w14:paraId="47ED2563">
      <w:pPr>
        <w:pStyle w:val="8"/>
        <w:ind w:left="0" w:leftChars="0" w:firstLine="480" w:firstLineChars="20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3AFC00A6">
      <w:pPr>
        <w:pStyle w:val="8"/>
        <w:ind w:left="0" w:leftChars="0" w:firstLine="0" w:firstLineChars="0"/>
        <w:jc w:val="both"/>
        <w:rPr>
          <w:rFonts w:hint="eastAsia" w:ascii="仿宋" w:hAnsi="仿宋" w:eastAsia="仿宋" w:cs="仿宋"/>
          <w:b w:val="0"/>
          <w:bCs w:val="0"/>
          <w:kern w:val="0"/>
          <w:sz w:val="24"/>
          <w:szCs w:val="24"/>
          <w:lang w:eastAsia="zh-CN"/>
        </w:rPr>
      </w:pPr>
    </w:p>
    <w:p w14:paraId="7DE3CC77">
      <w:pPr>
        <w:pStyle w:val="8"/>
        <w:ind w:left="0" w:leftChars="0" w:firstLine="0" w:firstLineChars="0"/>
        <w:jc w:val="both"/>
        <w:rPr>
          <w:rFonts w:hint="default" w:ascii="仿宋" w:hAnsi="仿宋" w:eastAsia="仿宋" w:cs="仿宋"/>
          <w:b/>
          <w:bCs/>
          <w:kern w:val="0"/>
          <w:sz w:val="24"/>
          <w:szCs w:val="24"/>
          <w:lang w:val="en-US" w:eastAsia="zh-CN"/>
        </w:rPr>
      </w:pPr>
      <w:r>
        <w:rPr>
          <w:rFonts w:hint="eastAsia" w:ascii="仿宋" w:hAnsi="仿宋" w:eastAsia="仿宋" w:cs="仿宋"/>
          <w:b w:val="0"/>
          <w:bCs w:val="0"/>
          <w:kern w:val="0"/>
          <w:sz w:val="24"/>
          <w:szCs w:val="24"/>
          <w:lang w:eastAsia="zh-CN"/>
        </w:rPr>
        <w:t>填表人：戴先生</w:t>
      </w:r>
      <w:r>
        <w:rPr>
          <w:rFonts w:hint="eastAsia" w:ascii="仿宋" w:hAnsi="仿宋" w:eastAsia="仿宋" w:cs="仿宋"/>
          <w:b w:val="0"/>
          <w:bCs w:val="0"/>
          <w:kern w:val="0"/>
          <w:sz w:val="24"/>
          <w:szCs w:val="24"/>
          <w:lang w:val="en-US" w:eastAsia="zh-CN"/>
        </w:rPr>
        <w:t>填报日期：20250421 联系电话：183****6216单位负责人：阳先生</w:t>
      </w:r>
    </w:p>
    <w:p w14:paraId="03C15236">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3314DB7">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267"/>
        <w:gridCol w:w="614"/>
        <w:gridCol w:w="791"/>
        <w:gridCol w:w="1223"/>
      </w:tblGrid>
      <w:tr w14:paraId="07F01E0E">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vAlign w:val="center"/>
          </w:tcPr>
          <w:p w14:paraId="3360E07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vAlign w:val="center"/>
          </w:tcPr>
          <w:p w14:paraId="2CE6B958">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val="en-US" w:eastAsia="zh-CN"/>
              </w:rPr>
              <w:t>隆回县七江镇中心学校</w:t>
            </w:r>
            <w:r>
              <w:rPr>
                <w:rFonts w:eastAsia="仿宋_GB2312"/>
                <w:color w:val="000000"/>
                <w:kern w:val="0"/>
                <w:sz w:val="18"/>
                <w:szCs w:val="18"/>
              </w:rPr>
              <w:t>　</w:t>
            </w:r>
          </w:p>
        </w:tc>
      </w:tr>
      <w:tr w14:paraId="7F5A7696">
        <w:tblPrEx>
          <w:tblCellMar>
            <w:top w:w="0" w:type="dxa"/>
            <w:left w:w="108" w:type="dxa"/>
            <w:bottom w:w="0" w:type="dxa"/>
            <w:right w:w="108" w:type="dxa"/>
          </w:tblCellMar>
        </w:tblPrEx>
        <w:trPr>
          <w:trHeight w:val="479" w:hRule="atLeast"/>
          <w:jc w:val="center"/>
        </w:trPr>
        <w:tc>
          <w:tcPr>
            <w:tcW w:w="969" w:type="dxa"/>
            <w:vMerge w:val="restart"/>
            <w:tcBorders>
              <w:top w:val="nil"/>
              <w:left w:val="single" w:color="auto" w:sz="4" w:space="0"/>
              <w:right w:val="single" w:color="auto" w:sz="4" w:space="0"/>
            </w:tcBorders>
            <w:vAlign w:val="center"/>
          </w:tcPr>
          <w:p w14:paraId="03B22C36">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5583C889">
            <w:pPr>
              <w:spacing w:line="240" w:lineRule="exact"/>
              <w:ind w:firstLine="0" w:firstLineChars="0"/>
              <w:rPr>
                <w:rFonts w:hint="eastAsia" w:eastAsia="仿宋_GB2312"/>
                <w:color w:val="000000"/>
                <w:kern w:val="0"/>
                <w:sz w:val="18"/>
                <w:szCs w:val="18"/>
                <w:lang w:eastAsia="zh-CN"/>
              </w:rPr>
            </w:pPr>
            <w:r>
              <w:rPr>
                <w:rFonts w:eastAsia="仿宋_GB2312"/>
                <w:color w:val="000000"/>
                <w:kern w:val="0"/>
                <w:sz w:val="18"/>
                <w:szCs w:val="18"/>
              </w:rPr>
              <w:t>算申请</w:t>
            </w:r>
          </w:p>
          <w:p w14:paraId="078ECC95">
            <w:pPr>
              <w:spacing w:line="240" w:lineRule="exact"/>
              <w:ind w:firstLine="0" w:firstLineChars="0"/>
              <w:rPr>
                <w:rFonts w:eastAsia="仿宋_GB2312"/>
                <w:color w:val="000000"/>
                <w:kern w:val="0"/>
                <w:sz w:val="18"/>
                <w:szCs w:val="18"/>
              </w:rPr>
            </w:pP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vAlign w:val="center"/>
          </w:tcPr>
          <w:p w14:paraId="1338BD09">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vAlign w:val="center"/>
          </w:tcPr>
          <w:p w14:paraId="706A0B27">
            <w:pPr>
              <w:spacing w:line="240" w:lineRule="exact"/>
              <w:ind w:firstLine="0" w:firstLineChars="0"/>
              <w:rPr>
                <w:rFonts w:eastAsia="仿宋_GB2312"/>
                <w:sz w:val="18"/>
                <w:szCs w:val="18"/>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vAlign w:val="center"/>
          </w:tcPr>
          <w:p w14:paraId="3D5C6F22">
            <w:pPr>
              <w:spacing w:line="240" w:lineRule="exact"/>
              <w:ind w:firstLine="0" w:firstLineChars="0"/>
              <w:rPr>
                <w:rFonts w:eastAsia="仿宋_GB2312"/>
                <w:sz w:val="18"/>
                <w:szCs w:val="18"/>
              </w:rPr>
            </w:pPr>
            <w:r>
              <w:rPr>
                <w:rFonts w:eastAsia="仿宋_GB2312"/>
                <w:sz w:val="18"/>
                <w:szCs w:val="18"/>
              </w:rPr>
              <w:t>全年预算数</w:t>
            </w:r>
          </w:p>
        </w:tc>
        <w:tc>
          <w:tcPr>
            <w:tcW w:w="1267" w:type="dxa"/>
            <w:tcBorders>
              <w:top w:val="nil"/>
              <w:left w:val="nil"/>
              <w:bottom w:val="single" w:color="auto" w:sz="4" w:space="0"/>
              <w:right w:val="single" w:color="auto" w:sz="4" w:space="0"/>
            </w:tcBorders>
            <w:vAlign w:val="center"/>
          </w:tcPr>
          <w:p w14:paraId="444D4F03">
            <w:pPr>
              <w:spacing w:line="240" w:lineRule="exact"/>
              <w:ind w:firstLine="0" w:firstLineChars="0"/>
              <w:rPr>
                <w:rFonts w:eastAsia="仿宋_GB2312"/>
                <w:sz w:val="18"/>
                <w:szCs w:val="18"/>
              </w:rPr>
            </w:pPr>
            <w:r>
              <w:rPr>
                <w:rFonts w:eastAsia="仿宋_GB2312"/>
                <w:sz w:val="18"/>
                <w:szCs w:val="18"/>
              </w:rPr>
              <w:t>全年执行数</w:t>
            </w:r>
          </w:p>
        </w:tc>
        <w:tc>
          <w:tcPr>
            <w:tcW w:w="614" w:type="dxa"/>
            <w:tcBorders>
              <w:top w:val="nil"/>
              <w:left w:val="nil"/>
              <w:bottom w:val="single" w:color="auto" w:sz="4" w:space="0"/>
              <w:right w:val="single" w:color="auto" w:sz="4" w:space="0"/>
            </w:tcBorders>
            <w:vAlign w:val="center"/>
          </w:tcPr>
          <w:p w14:paraId="2B99DC2E">
            <w:pPr>
              <w:spacing w:line="240" w:lineRule="exact"/>
              <w:ind w:firstLine="0" w:firstLineChars="0"/>
              <w:rPr>
                <w:rFonts w:eastAsia="仿宋_GB2312"/>
                <w:sz w:val="18"/>
                <w:szCs w:val="18"/>
              </w:rPr>
            </w:pPr>
            <w:r>
              <w:rPr>
                <w:rFonts w:eastAsia="仿宋_GB2312"/>
                <w:sz w:val="18"/>
                <w:szCs w:val="18"/>
              </w:rPr>
              <w:t>分值</w:t>
            </w:r>
          </w:p>
        </w:tc>
        <w:tc>
          <w:tcPr>
            <w:tcW w:w="791" w:type="dxa"/>
            <w:tcBorders>
              <w:top w:val="nil"/>
              <w:left w:val="nil"/>
              <w:bottom w:val="single" w:color="auto" w:sz="4" w:space="0"/>
              <w:right w:val="single" w:color="auto" w:sz="4" w:space="0"/>
            </w:tcBorders>
            <w:vAlign w:val="center"/>
          </w:tcPr>
          <w:p w14:paraId="04A44234">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vAlign w:val="center"/>
          </w:tcPr>
          <w:p w14:paraId="3BE0E885">
            <w:pPr>
              <w:spacing w:line="240" w:lineRule="exact"/>
              <w:ind w:firstLine="0" w:firstLineChars="0"/>
              <w:rPr>
                <w:rFonts w:eastAsia="仿宋_GB2312"/>
                <w:sz w:val="18"/>
                <w:szCs w:val="18"/>
              </w:rPr>
            </w:pPr>
            <w:r>
              <w:rPr>
                <w:rFonts w:eastAsia="仿宋_GB2312"/>
                <w:sz w:val="18"/>
                <w:szCs w:val="18"/>
              </w:rPr>
              <w:t>得分</w:t>
            </w:r>
          </w:p>
        </w:tc>
      </w:tr>
      <w:tr w14:paraId="6F98BAF5">
        <w:tblPrEx>
          <w:tblCellMar>
            <w:top w:w="0" w:type="dxa"/>
            <w:left w:w="108" w:type="dxa"/>
            <w:bottom w:w="0" w:type="dxa"/>
            <w:right w:w="108" w:type="dxa"/>
          </w:tblCellMar>
        </w:tblPrEx>
        <w:trPr>
          <w:trHeight w:val="464" w:hRule="atLeast"/>
          <w:jc w:val="center"/>
        </w:trPr>
        <w:tc>
          <w:tcPr>
            <w:tcW w:w="969" w:type="dxa"/>
            <w:vMerge w:val="continue"/>
            <w:tcBorders>
              <w:top w:val="nil"/>
              <w:left w:val="single" w:color="auto" w:sz="4" w:space="0"/>
              <w:right w:val="single" w:color="auto" w:sz="4" w:space="0"/>
            </w:tcBorders>
            <w:vAlign w:val="center"/>
          </w:tcPr>
          <w:p w14:paraId="27479188">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vAlign w:val="center"/>
          </w:tcPr>
          <w:p w14:paraId="1643DD98">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vAlign w:val="center"/>
          </w:tcPr>
          <w:p w14:paraId="324B21FD">
            <w:pPr>
              <w:spacing w:line="240" w:lineRule="exact"/>
              <w:jc w:val="center"/>
              <w:rPr>
                <w:rFonts w:hint="default" w:eastAsia="仿宋_GB2312"/>
                <w:sz w:val="18"/>
                <w:szCs w:val="18"/>
                <w:lang w:val="en-US" w:eastAsia="zh-CN"/>
              </w:rPr>
            </w:pPr>
            <w:r>
              <w:rPr>
                <w:rFonts w:hint="eastAsia" w:eastAsia="仿宋_GB2312"/>
                <w:sz w:val="18"/>
                <w:szCs w:val="18"/>
                <w:lang w:val="en-US" w:eastAsia="zh-CN"/>
              </w:rPr>
              <w:t>4660.37</w:t>
            </w:r>
          </w:p>
        </w:tc>
        <w:tc>
          <w:tcPr>
            <w:tcW w:w="1161" w:type="dxa"/>
            <w:gridSpan w:val="2"/>
            <w:tcBorders>
              <w:top w:val="nil"/>
              <w:left w:val="nil"/>
              <w:bottom w:val="single" w:color="auto" w:sz="4" w:space="0"/>
              <w:right w:val="single" w:color="auto" w:sz="4" w:space="0"/>
            </w:tcBorders>
            <w:vAlign w:val="center"/>
          </w:tcPr>
          <w:p w14:paraId="079DAF16">
            <w:pPr>
              <w:spacing w:line="240" w:lineRule="exact"/>
              <w:jc w:val="both"/>
              <w:rPr>
                <w:rFonts w:hint="default" w:eastAsia="仿宋_GB2312"/>
                <w:sz w:val="18"/>
                <w:szCs w:val="18"/>
                <w:lang w:val="en-US" w:eastAsia="zh-CN"/>
              </w:rPr>
            </w:pPr>
            <w:r>
              <w:rPr>
                <w:rFonts w:hint="eastAsia" w:eastAsia="仿宋_GB2312"/>
                <w:sz w:val="18"/>
                <w:szCs w:val="18"/>
                <w:lang w:val="en-US" w:eastAsia="zh-CN"/>
              </w:rPr>
              <w:t>4660.37</w:t>
            </w:r>
          </w:p>
        </w:tc>
        <w:tc>
          <w:tcPr>
            <w:tcW w:w="1267" w:type="dxa"/>
            <w:tcBorders>
              <w:top w:val="nil"/>
              <w:left w:val="nil"/>
              <w:bottom w:val="single" w:color="auto" w:sz="4" w:space="0"/>
              <w:right w:val="single" w:color="auto" w:sz="4" w:space="0"/>
            </w:tcBorders>
            <w:vAlign w:val="center"/>
          </w:tcPr>
          <w:p w14:paraId="29365FEE">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4989.47</w:t>
            </w:r>
          </w:p>
        </w:tc>
        <w:tc>
          <w:tcPr>
            <w:tcW w:w="614" w:type="dxa"/>
            <w:tcBorders>
              <w:top w:val="nil"/>
              <w:left w:val="nil"/>
              <w:bottom w:val="single" w:color="auto" w:sz="4" w:space="0"/>
              <w:right w:val="single" w:color="auto" w:sz="4" w:space="0"/>
            </w:tcBorders>
            <w:vAlign w:val="center"/>
          </w:tcPr>
          <w:p w14:paraId="5884847B">
            <w:pPr>
              <w:spacing w:line="240" w:lineRule="exact"/>
              <w:ind w:firstLine="0" w:firstLineChars="0"/>
              <w:jc w:val="center"/>
              <w:rPr>
                <w:rFonts w:hint="default" w:eastAsia="仿宋_GB2312"/>
                <w:sz w:val="18"/>
                <w:szCs w:val="18"/>
                <w:lang w:val="en-US" w:eastAsia="zh-CN"/>
              </w:rPr>
            </w:pPr>
            <w:r>
              <w:rPr>
                <w:rFonts w:hint="eastAsia" w:eastAsia="仿宋_GB2312"/>
                <w:sz w:val="18"/>
                <w:szCs w:val="18"/>
                <w:lang w:val="en-US" w:eastAsia="zh-CN"/>
              </w:rPr>
              <w:t>10</w:t>
            </w:r>
          </w:p>
        </w:tc>
        <w:tc>
          <w:tcPr>
            <w:tcW w:w="791" w:type="dxa"/>
            <w:tcBorders>
              <w:top w:val="nil"/>
              <w:left w:val="nil"/>
              <w:bottom w:val="single" w:color="auto" w:sz="4" w:space="0"/>
              <w:right w:val="single" w:color="auto" w:sz="4" w:space="0"/>
            </w:tcBorders>
            <w:vAlign w:val="center"/>
          </w:tcPr>
          <w:p w14:paraId="0CC26F28">
            <w:pPr>
              <w:spacing w:line="240" w:lineRule="exact"/>
              <w:jc w:val="both"/>
              <w:rPr>
                <w:rFonts w:hint="default" w:eastAsia="仿宋_GB2312"/>
                <w:sz w:val="18"/>
                <w:szCs w:val="18"/>
                <w:lang w:val="en-US" w:eastAsia="zh-CN"/>
              </w:rPr>
            </w:pPr>
            <w:r>
              <w:rPr>
                <w:rFonts w:hint="eastAsia" w:eastAsia="仿宋_GB2312"/>
                <w:sz w:val="18"/>
                <w:szCs w:val="18"/>
                <w:lang w:val="en-US" w:eastAsia="zh-CN"/>
              </w:rPr>
              <w:t>100%</w:t>
            </w:r>
          </w:p>
        </w:tc>
        <w:tc>
          <w:tcPr>
            <w:tcW w:w="1223" w:type="dxa"/>
            <w:tcBorders>
              <w:top w:val="nil"/>
              <w:left w:val="nil"/>
              <w:bottom w:val="single" w:color="auto" w:sz="4" w:space="0"/>
              <w:right w:val="single" w:color="auto" w:sz="4" w:space="0"/>
            </w:tcBorders>
            <w:vAlign w:val="center"/>
          </w:tcPr>
          <w:p w14:paraId="11DB2825">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10</w:t>
            </w:r>
          </w:p>
        </w:tc>
      </w:tr>
      <w:tr w14:paraId="5F784F25">
        <w:tblPrEx>
          <w:tblCellMar>
            <w:top w:w="0" w:type="dxa"/>
            <w:left w:w="108" w:type="dxa"/>
            <w:bottom w:w="0" w:type="dxa"/>
            <w:right w:w="108" w:type="dxa"/>
          </w:tblCellMar>
        </w:tblPrEx>
        <w:trPr>
          <w:trHeight w:val="401" w:hRule="atLeast"/>
          <w:jc w:val="center"/>
        </w:trPr>
        <w:tc>
          <w:tcPr>
            <w:tcW w:w="969" w:type="dxa"/>
            <w:vMerge w:val="continue"/>
            <w:tcBorders>
              <w:left w:val="single" w:color="auto" w:sz="4" w:space="0"/>
              <w:right w:val="single" w:color="auto" w:sz="4" w:space="0"/>
            </w:tcBorders>
            <w:vAlign w:val="center"/>
          </w:tcPr>
          <w:p w14:paraId="67ED30CE">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vAlign w:val="center"/>
          </w:tcPr>
          <w:p w14:paraId="4FA613FD">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5" w:type="dxa"/>
            <w:gridSpan w:val="4"/>
            <w:tcBorders>
              <w:top w:val="nil"/>
              <w:left w:val="nil"/>
              <w:bottom w:val="single" w:color="auto" w:sz="4" w:space="0"/>
              <w:right w:val="single" w:color="auto" w:sz="4" w:space="0"/>
            </w:tcBorders>
            <w:vAlign w:val="center"/>
          </w:tcPr>
          <w:p w14:paraId="68632D97">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42A8C4F9">
        <w:tblPrEx>
          <w:tblCellMar>
            <w:top w:w="0" w:type="dxa"/>
            <w:left w:w="108" w:type="dxa"/>
            <w:bottom w:w="0" w:type="dxa"/>
            <w:right w:w="108" w:type="dxa"/>
          </w:tblCellMar>
        </w:tblPrEx>
        <w:trPr>
          <w:trHeight w:val="386" w:hRule="atLeast"/>
          <w:jc w:val="center"/>
        </w:trPr>
        <w:tc>
          <w:tcPr>
            <w:tcW w:w="969" w:type="dxa"/>
            <w:vMerge w:val="continue"/>
            <w:tcBorders>
              <w:left w:val="single" w:color="auto" w:sz="4" w:space="0"/>
              <w:right w:val="single" w:color="auto" w:sz="4" w:space="0"/>
            </w:tcBorders>
            <w:vAlign w:val="center"/>
          </w:tcPr>
          <w:p w14:paraId="5FA1DED8">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vAlign w:val="center"/>
          </w:tcPr>
          <w:p w14:paraId="48FA90AB">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4715.46</w:t>
            </w:r>
          </w:p>
        </w:tc>
        <w:tc>
          <w:tcPr>
            <w:tcW w:w="3895" w:type="dxa"/>
            <w:gridSpan w:val="4"/>
            <w:tcBorders>
              <w:top w:val="nil"/>
              <w:left w:val="nil"/>
              <w:bottom w:val="single" w:color="auto" w:sz="4" w:space="0"/>
              <w:right w:val="single" w:color="auto" w:sz="4" w:space="0"/>
            </w:tcBorders>
            <w:vAlign w:val="center"/>
          </w:tcPr>
          <w:p w14:paraId="60650B36">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4890.94</w:t>
            </w:r>
          </w:p>
        </w:tc>
      </w:tr>
      <w:tr w14:paraId="28FA9AC9">
        <w:tblPrEx>
          <w:tblCellMar>
            <w:top w:w="0" w:type="dxa"/>
            <w:left w:w="108" w:type="dxa"/>
            <w:bottom w:w="0" w:type="dxa"/>
            <w:right w:w="108" w:type="dxa"/>
          </w:tblCellMar>
        </w:tblPrEx>
        <w:trPr>
          <w:trHeight w:val="401" w:hRule="atLeast"/>
          <w:jc w:val="center"/>
        </w:trPr>
        <w:tc>
          <w:tcPr>
            <w:tcW w:w="969" w:type="dxa"/>
            <w:vMerge w:val="continue"/>
            <w:tcBorders>
              <w:left w:val="single" w:color="auto" w:sz="4" w:space="0"/>
              <w:right w:val="single" w:color="auto" w:sz="4" w:space="0"/>
            </w:tcBorders>
            <w:vAlign w:val="center"/>
          </w:tcPr>
          <w:p w14:paraId="7C7BD136">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vAlign w:val="center"/>
          </w:tcPr>
          <w:p w14:paraId="7515EA07">
            <w:pPr>
              <w:spacing w:line="240" w:lineRule="exact"/>
              <w:ind w:firstLine="720" w:firstLineChars="400"/>
              <w:jc w:val="left"/>
              <w:rPr>
                <w:rFonts w:hint="default" w:eastAsia="仿宋_GB2312"/>
                <w:color w:val="000000"/>
                <w:kern w:val="0"/>
                <w:sz w:val="18"/>
                <w:szCs w:val="18"/>
                <w:lang w:val="en-US" w:eastAsia="zh-CN"/>
              </w:rPr>
            </w:pPr>
            <w:r>
              <w:rPr>
                <w:rFonts w:eastAsia="仿宋_GB2312"/>
                <w:color w:val="000000"/>
                <w:kern w:val="0"/>
                <w:sz w:val="18"/>
                <w:szCs w:val="18"/>
              </w:rPr>
              <w:t>政府性基金拨款：</w:t>
            </w:r>
          </w:p>
        </w:tc>
        <w:tc>
          <w:tcPr>
            <w:tcW w:w="3895" w:type="dxa"/>
            <w:gridSpan w:val="4"/>
            <w:tcBorders>
              <w:top w:val="nil"/>
              <w:left w:val="nil"/>
              <w:bottom w:val="single" w:color="auto" w:sz="4" w:space="0"/>
              <w:right w:val="single" w:color="auto" w:sz="4" w:space="0"/>
            </w:tcBorders>
            <w:vAlign w:val="center"/>
          </w:tcPr>
          <w:p w14:paraId="21178EFB">
            <w:pPr>
              <w:spacing w:line="240" w:lineRule="exact"/>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　　项目支出</w:t>
            </w:r>
            <w:r>
              <w:rPr>
                <w:rFonts w:eastAsia="仿宋_GB2312"/>
                <w:color w:val="000000"/>
                <w:kern w:val="0"/>
                <w:sz w:val="18"/>
                <w:szCs w:val="18"/>
              </w:rPr>
              <w:t>：</w:t>
            </w:r>
            <w:r>
              <w:rPr>
                <w:rFonts w:hint="eastAsia" w:eastAsia="仿宋_GB2312"/>
                <w:color w:val="000000"/>
                <w:kern w:val="0"/>
                <w:sz w:val="18"/>
                <w:szCs w:val="18"/>
                <w:lang w:val="en-US" w:eastAsia="zh-CN"/>
              </w:rPr>
              <w:t>98.53</w:t>
            </w:r>
          </w:p>
        </w:tc>
      </w:tr>
      <w:tr w14:paraId="79688630">
        <w:tblPrEx>
          <w:tblCellMar>
            <w:top w:w="0" w:type="dxa"/>
            <w:left w:w="108" w:type="dxa"/>
            <w:bottom w:w="0" w:type="dxa"/>
            <w:right w:w="108" w:type="dxa"/>
          </w:tblCellMar>
        </w:tblPrEx>
        <w:trPr>
          <w:trHeight w:val="373" w:hRule="atLeast"/>
          <w:jc w:val="center"/>
        </w:trPr>
        <w:tc>
          <w:tcPr>
            <w:tcW w:w="969" w:type="dxa"/>
            <w:vMerge w:val="continue"/>
            <w:tcBorders>
              <w:left w:val="single" w:color="auto" w:sz="4" w:space="0"/>
              <w:right w:val="single" w:color="auto" w:sz="4" w:space="0"/>
            </w:tcBorders>
            <w:vAlign w:val="center"/>
          </w:tcPr>
          <w:p w14:paraId="46D2A8C9">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vAlign w:val="center"/>
          </w:tcPr>
          <w:p w14:paraId="330F34EF">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纳入专户管理的非税收入拨款：</w:t>
            </w:r>
            <w:r>
              <w:rPr>
                <w:rFonts w:hint="eastAsia" w:eastAsia="仿宋_GB2312"/>
                <w:color w:val="000000"/>
                <w:kern w:val="0"/>
                <w:sz w:val="18"/>
                <w:szCs w:val="18"/>
                <w:lang w:val="en-US" w:eastAsia="zh-CN"/>
              </w:rPr>
              <w:t>274.01</w:t>
            </w:r>
          </w:p>
        </w:tc>
        <w:tc>
          <w:tcPr>
            <w:tcW w:w="3895" w:type="dxa"/>
            <w:gridSpan w:val="4"/>
            <w:tcBorders>
              <w:top w:val="nil"/>
              <w:left w:val="nil"/>
              <w:bottom w:val="single" w:color="auto" w:sz="4" w:space="0"/>
              <w:right w:val="single" w:color="auto" w:sz="4" w:space="0"/>
            </w:tcBorders>
            <w:vAlign w:val="center"/>
          </w:tcPr>
          <w:p w14:paraId="30E9BD6D">
            <w:pPr>
              <w:spacing w:line="240" w:lineRule="exact"/>
              <w:ind w:firstLine="360"/>
              <w:jc w:val="left"/>
              <w:rPr>
                <w:rFonts w:eastAsia="仿宋_GB2312"/>
                <w:color w:val="000000"/>
                <w:kern w:val="0"/>
                <w:sz w:val="18"/>
                <w:szCs w:val="18"/>
              </w:rPr>
            </w:pPr>
          </w:p>
        </w:tc>
      </w:tr>
      <w:tr w14:paraId="2C3713BB">
        <w:tblPrEx>
          <w:tblCellMar>
            <w:top w:w="0" w:type="dxa"/>
            <w:left w:w="108" w:type="dxa"/>
            <w:bottom w:w="0" w:type="dxa"/>
            <w:right w:w="108" w:type="dxa"/>
          </w:tblCellMar>
        </w:tblPrEx>
        <w:trPr>
          <w:trHeight w:val="459" w:hRule="atLeast"/>
          <w:jc w:val="center"/>
        </w:trPr>
        <w:tc>
          <w:tcPr>
            <w:tcW w:w="969" w:type="dxa"/>
            <w:vMerge w:val="continue"/>
            <w:tcBorders>
              <w:left w:val="single" w:color="auto" w:sz="4" w:space="0"/>
              <w:bottom w:val="single" w:color="000000" w:sz="4" w:space="0"/>
              <w:right w:val="single" w:color="auto" w:sz="4" w:space="0"/>
            </w:tcBorders>
            <w:vAlign w:val="center"/>
          </w:tcPr>
          <w:p w14:paraId="0A3B0D5B">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vAlign w:val="center"/>
          </w:tcPr>
          <w:p w14:paraId="510A7C00">
            <w:pPr>
              <w:spacing w:line="240" w:lineRule="exact"/>
              <w:ind w:firstLine="1260" w:firstLineChars="700"/>
              <w:jc w:val="left"/>
              <w:rPr>
                <w:rFonts w:hint="default" w:eastAsia="仿宋_GB2312"/>
                <w:color w:val="000000"/>
                <w:kern w:val="0"/>
                <w:sz w:val="18"/>
                <w:szCs w:val="18"/>
                <w:lang w:val="en-US" w:eastAsia="zh-CN"/>
              </w:rPr>
            </w:pPr>
            <w:r>
              <w:rPr>
                <w:rFonts w:eastAsia="仿宋_GB2312"/>
                <w:color w:val="000000"/>
                <w:kern w:val="0"/>
                <w:sz w:val="18"/>
                <w:szCs w:val="18"/>
              </w:rPr>
              <w:t>其他资金：</w:t>
            </w:r>
          </w:p>
        </w:tc>
        <w:tc>
          <w:tcPr>
            <w:tcW w:w="3895" w:type="dxa"/>
            <w:gridSpan w:val="4"/>
            <w:tcBorders>
              <w:top w:val="nil"/>
              <w:left w:val="nil"/>
              <w:bottom w:val="single" w:color="auto" w:sz="4" w:space="0"/>
              <w:right w:val="single" w:color="auto" w:sz="4" w:space="0"/>
            </w:tcBorders>
            <w:vAlign w:val="center"/>
          </w:tcPr>
          <w:p w14:paraId="328C2FE9">
            <w:pPr>
              <w:spacing w:line="240" w:lineRule="exact"/>
              <w:ind w:firstLine="360"/>
              <w:jc w:val="left"/>
              <w:rPr>
                <w:rFonts w:eastAsia="仿宋_GB2312"/>
                <w:color w:val="000000"/>
                <w:kern w:val="0"/>
                <w:sz w:val="18"/>
                <w:szCs w:val="18"/>
              </w:rPr>
            </w:pPr>
          </w:p>
        </w:tc>
      </w:tr>
      <w:tr w14:paraId="63863E56">
        <w:tblPrEx>
          <w:tblCellMar>
            <w:top w:w="0" w:type="dxa"/>
            <w:left w:w="108" w:type="dxa"/>
            <w:bottom w:w="0" w:type="dxa"/>
            <w:right w:w="108" w:type="dxa"/>
          </w:tblCellMar>
        </w:tblPrEx>
        <w:trPr>
          <w:trHeight w:val="418" w:hRule="atLeast"/>
          <w:jc w:val="center"/>
        </w:trPr>
        <w:tc>
          <w:tcPr>
            <w:tcW w:w="969" w:type="dxa"/>
            <w:vMerge w:val="restart"/>
            <w:tcBorders>
              <w:top w:val="nil"/>
              <w:left w:val="single" w:color="auto" w:sz="4" w:space="0"/>
              <w:bottom w:val="single" w:color="000000" w:sz="4" w:space="0"/>
              <w:right w:val="single" w:color="auto" w:sz="4" w:space="0"/>
            </w:tcBorders>
            <w:vAlign w:val="center"/>
          </w:tcPr>
          <w:p w14:paraId="5AA7CA89">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vAlign w:val="center"/>
          </w:tcPr>
          <w:p w14:paraId="53C717B5">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vAlign w:val="center"/>
          </w:tcPr>
          <w:p w14:paraId="560D4C63">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526F4865">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vAlign w:val="center"/>
          </w:tcPr>
          <w:p w14:paraId="29AB85FE">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vAlign w:val="center"/>
          </w:tcPr>
          <w:p w14:paraId="1A56BB51">
            <w:pPr>
              <w:widowControl/>
              <w:jc w:val="left"/>
              <w:rPr>
                <w:rFonts w:eastAsia="仿宋_GB2312"/>
                <w:color w:val="000000"/>
                <w:kern w:val="0"/>
                <w:sz w:val="18"/>
                <w:szCs w:val="18"/>
              </w:rPr>
            </w:pPr>
            <w:r>
              <w:rPr>
                <w:rFonts w:hint="eastAsia" w:ascii="仿宋" w:hAnsi="仿宋" w:eastAsia="仿宋" w:cs="仿宋"/>
                <w:sz w:val="18"/>
                <w:szCs w:val="18"/>
              </w:rPr>
              <w:t>1、在各级部门领导下，承担中小学教育、学前教育教学工作及教育行政管理事务,为中小学提供管理保障；2、按时完成教育教学任务；3、义务教育稳步、健康运行。</w:t>
            </w:r>
            <w:r>
              <w:rPr>
                <w:rFonts w:eastAsia="仿宋_GB2312"/>
                <w:color w:val="000000"/>
                <w:kern w:val="0"/>
                <w:sz w:val="18"/>
                <w:szCs w:val="18"/>
              </w:rPr>
              <w:t>　　</w:t>
            </w:r>
          </w:p>
        </w:tc>
        <w:tc>
          <w:tcPr>
            <w:tcW w:w="3895" w:type="dxa"/>
            <w:gridSpan w:val="4"/>
            <w:tcBorders>
              <w:top w:val="single" w:color="auto" w:sz="4" w:space="0"/>
              <w:left w:val="nil"/>
              <w:bottom w:val="single" w:color="auto" w:sz="4" w:space="0"/>
              <w:right w:val="single" w:color="auto" w:sz="4" w:space="0"/>
            </w:tcBorders>
            <w:vAlign w:val="center"/>
          </w:tcPr>
          <w:p w14:paraId="70CCF000">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按既定目标完成各项工作。</w:t>
            </w:r>
          </w:p>
        </w:tc>
      </w:tr>
      <w:tr w14:paraId="254D55E5">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vAlign w:val="center"/>
          </w:tcPr>
          <w:p w14:paraId="64FA2B88">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2DEB1F7F">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4903B858">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6516FCAB">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vAlign w:val="center"/>
          </w:tcPr>
          <w:p w14:paraId="6057261C">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tcMar>
              <w:top w:w="0" w:type="dxa"/>
              <w:left w:w="0" w:type="dxa"/>
              <w:bottom w:w="0" w:type="dxa"/>
              <w:right w:w="0" w:type="dxa"/>
            </w:tcMar>
            <w:vAlign w:val="center"/>
          </w:tcPr>
          <w:p w14:paraId="3F4408F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vAlign w:val="center"/>
          </w:tcPr>
          <w:p w14:paraId="265481A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vAlign w:val="center"/>
          </w:tcPr>
          <w:p w14:paraId="1EAEC133">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267" w:type="dxa"/>
            <w:tcBorders>
              <w:top w:val="nil"/>
              <w:left w:val="nil"/>
              <w:bottom w:val="single" w:color="auto" w:sz="4" w:space="0"/>
              <w:right w:val="single" w:color="auto" w:sz="4" w:space="0"/>
            </w:tcBorders>
            <w:vAlign w:val="center"/>
          </w:tcPr>
          <w:p w14:paraId="70284C7F">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14" w:type="dxa"/>
            <w:tcBorders>
              <w:top w:val="nil"/>
              <w:left w:val="nil"/>
              <w:bottom w:val="single" w:color="auto" w:sz="4" w:space="0"/>
              <w:right w:val="single" w:color="auto" w:sz="4" w:space="0"/>
            </w:tcBorders>
            <w:vAlign w:val="center"/>
          </w:tcPr>
          <w:p w14:paraId="07420096">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791" w:type="dxa"/>
            <w:tcBorders>
              <w:top w:val="nil"/>
              <w:left w:val="nil"/>
              <w:bottom w:val="single" w:color="auto" w:sz="4" w:space="0"/>
              <w:right w:val="single" w:color="auto" w:sz="4" w:space="0"/>
            </w:tcBorders>
            <w:vAlign w:val="center"/>
          </w:tcPr>
          <w:p w14:paraId="50FADD3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vAlign w:val="center"/>
          </w:tcPr>
          <w:p w14:paraId="081F2CEE">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7A05D59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20A30B75">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vAlign w:val="center"/>
          </w:tcPr>
          <w:p w14:paraId="48AA476A">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2D73BF64">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nil"/>
              <w:right w:val="single" w:color="auto" w:sz="4" w:space="0"/>
            </w:tcBorders>
            <w:tcMar>
              <w:top w:w="0" w:type="dxa"/>
              <w:left w:w="0" w:type="dxa"/>
              <w:bottom w:w="0" w:type="dxa"/>
              <w:right w:w="0" w:type="dxa"/>
            </w:tcMar>
            <w:vAlign w:val="center"/>
          </w:tcPr>
          <w:p w14:paraId="1E0B16A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vAlign w:val="center"/>
          </w:tcPr>
          <w:p w14:paraId="7441D978">
            <w:pPr>
              <w:spacing w:line="240" w:lineRule="exact"/>
              <w:jc w:val="left"/>
              <w:rPr>
                <w:rFonts w:eastAsia="仿宋_GB2312"/>
                <w:color w:val="000000"/>
                <w:kern w:val="0"/>
                <w:sz w:val="18"/>
                <w:szCs w:val="18"/>
              </w:rPr>
            </w:pPr>
            <w:r>
              <w:rPr>
                <w:rFonts w:hint="eastAsia" w:eastAsia="仿宋_GB2312"/>
                <w:color w:val="000000"/>
                <w:kern w:val="0"/>
                <w:sz w:val="18"/>
                <w:szCs w:val="18"/>
              </w:rPr>
              <w:t>教育教学活动开展次数</w:t>
            </w:r>
          </w:p>
        </w:tc>
        <w:tc>
          <w:tcPr>
            <w:tcW w:w="1077" w:type="dxa"/>
            <w:tcBorders>
              <w:top w:val="nil"/>
              <w:left w:val="nil"/>
              <w:bottom w:val="single" w:color="auto" w:sz="4" w:space="0"/>
              <w:right w:val="single" w:color="auto" w:sz="4" w:space="0"/>
            </w:tcBorders>
            <w:vAlign w:val="center"/>
          </w:tcPr>
          <w:p w14:paraId="278DFF02">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120次</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vAlign w:val="center"/>
          </w:tcPr>
          <w:p w14:paraId="5BC723DE">
            <w:pPr>
              <w:spacing w:line="240" w:lineRule="exact"/>
              <w:jc w:val="left"/>
              <w:rPr>
                <w:rFonts w:eastAsia="仿宋_GB2312"/>
                <w:color w:val="000000"/>
                <w:kern w:val="0"/>
                <w:sz w:val="18"/>
                <w:szCs w:val="18"/>
              </w:rPr>
            </w:pPr>
            <w:r>
              <w:rPr>
                <w:rFonts w:hint="eastAsia" w:eastAsia="仿宋_GB2312"/>
                <w:color w:val="000000"/>
                <w:kern w:val="0"/>
                <w:sz w:val="18"/>
                <w:szCs w:val="18"/>
              </w:rPr>
              <w:t>教育教学活动开展</w:t>
            </w:r>
            <w:r>
              <w:rPr>
                <w:rFonts w:hint="eastAsia" w:eastAsia="仿宋_GB2312"/>
                <w:color w:val="000000"/>
                <w:kern w:val="0"/>
                <w:sz w:val="18"/>
                <w:szCs w:val="18"/>
                <w:lang w:val="en-US" w:eastAsia="zh-CN"/>
              </w:rPr>
              <w:t>137</w:t>
            </w:r>
            <w:r>
              <w:rPr>
                <w:rFonts w:hint="eastAsia" w:eastAsia="仿宋_GB2312"/>
                <w:color w:val="000000"/>
                <w:kern w:val="0"/>
                <w:sz w:val="18"/>
                <w:szCs w:val="18"/>
              </w:rPr>
              <w:t>次</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vAlign w:val="center"/>
          </w:tcPr>
          <w:p w14:paraId="761B2E74">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7</w:t>
            </w:r>
          </w:p>
        </w:tc>
        <w:tc>
          <w:tcPr>
            <w:tcW w:w="791" w:type="dxa"/>
            <w:tcBorders>
              <w:top w:val="nil"/>
              <w:left w:val="nil"/>
              <w:bottom w:val="single" w:color="auto" w:sz="4" w:space="0"/>
              <w:right w:val="single" w:color="auto" w:sz="4" w:space="0"/>
            </w:tcBorders>
            <w:vAlign w:val="center"/>
          </w:tcPr>
          <w:p w14:paraId="3995EFC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7B432FA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BEF5290">
        <w:tblPrEx>
          <w:tblCellMar>
            <w:top w:w="0" w:type="dxa"/>
            <w:left w:w="108" w:type="dxa"/>
            <w:bottom w:w="0" w:type="dxa"/>
            <w:right w:w="108" w:type="dxa"/>
          </w:tblCellMar>
        </w:tblPrEx>
        <w:trPr>
          <w:trHeight w:val="504" w:hRule="atLeast"/>
          <w:jc w:val="center"/>
        </w:trPr>
        <w:tc>
          <w:tcPr>
            <w:tcW w:w="969" w:type="dxa"/>
            <w:vMerge w:val="continue"/>
            <w:tcBorders>
              <w:left w:val="single" w:color="auto" w:sz="4" w:space="0"/>
              <w:right w:val="single" w:color="auto" w:sz="4" w:space="0"/>
            </w:tcBorders>
            <w:vAlign w:val="center"/>
          </w:tcPr>
          <w:p w14:paraId="2C6DE857">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0FBEDE76">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tcMar>
              <w:top w:w="0" w:type="dxa"/>
              <w:left w:w="0" w:type="dxa"/>
              <w:bottom w:w="0" w:type="dxa"/>
              <w:right w:w="0" w:type="dxa"/>
            </w:tcMar>
            <w:vAlign w:val="center"/>
          </w:tcPr>
          <w:p w14:paraId="0AA87D1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62F641B6">
            <w:pPr>
              <w:spacing w:line="240" w:lineRule="exact"/>
              <w:jc w:val="left"/>
              <w:rPr>
                <w:rFonts w:eastAsia="仿宋_GB2312"/>
                <w:color w:val="000000"/>
                <w:kern w:val="0"/>
                <w:sz w:val="18"/>
                <w:szCs w:val="18"/>
              </w:rPr>
            </w:pPr>
            <w:r>
              <w:rPr>
                <w:rFonts w:hint="eastAsia" w:eastAsia="仿宋_GB2312"/>
                <w:color w:val="000000"/>
                <w:kern w:val="0"/>
                <w:sz w:val="18"/>
                <w:szCs w:val="18"/>
              </w:rPr>
              <w:t>师生竞赛获奖同比增长</w:t>
            </w:r>
          </w:p>
        </w:tc>
        <w:tc>
          <w:tcPr>
            <w:tcW w:w="1077" w:type="dxa"/>
            <w:tcBorders>
              <w:top w:val="nil"/>
              <w:left w:val="nil"/>
              <w:bottom w:val="single" w:color="auto" w:sz="4" w:space="0"/>
              <w:right w:val="single" w:color="auto" w:sz="4" w:space="0"/>
            </w:tcBorders>
            <w:vAlign w:val="center"/>
          </w:tcPr>
          <w:p w14:paraId="521B76B7">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p>
        </w:tc>
        <w:tc>
          <w:tcPr>
            <w:tcW w:w="1267" w:type="dxa"/>
            <w:tcBorders>
              <w:top w:val="nil"/>
              <w:left w:val="nil"/>
              <w:bottom w:val="single" w:color="auto" w:sz="4" w:space="0"/>
              <w:right w:val="single" w:color="auto" w:sz="4" w:space="0"/>
            </w:tcBorders>
            <w:vAlign w:val="center"/>
          </w:tcPr>
          <w:p w14:paraId="40EB4390">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vAlign w:val="center"/>
          </w:tcPr>
          <w:p w14:paraId="2C7B50CC">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7</w:t>
            </w:r>
          </w:p>
        </w:tc>
        <w:tc>
          <w:tcPr>
            <w:tcW w:w="791" w:type="dxa"/>
            <w:tcBorders>
              <w:top w:val="nil"/>
              <w:left w:val="nil"/>
              <w:bottom w:val="single" w:color="auto" w:sz="4" w:space="0"/>
              <w:right w:val="single" w:color="auto" w:sz="4" w:space="0"/>
            </w:tcBorders>
            <w:vAlign w:val="center"/>
          </w:tcPr>
          <w:p w14:paraId="3D7A4E4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5262069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B8EC64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05EA03E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40B91B5C">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tcMar>
              <w:top w:w="0" w:type="dxa"/>
              <w:left w:w="0" w:type="dxa"/>
              <w:bottom w:w="0" w:type="dxa"/>
              <w:right w:w="0" w:type="dxa"/>
            </w:tcMar>
            <w:vAlign w:val="center"/>
          </w:tcPr>
          <w:p w14:paraId="43D31099">
            <w:pPr>
              <w:spacing w:line="240" w:lineRule="exact"/>
              <w:ind w:firstLine="0" w:firstLineChars="0"/>
              <w:jc w:val="center"/>
              <w:rPr>
                <w:rFonts w:eastAsia="仿宋_GB2312"/>
                <w:color w:val="000000"/>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0</wp:posOffset>
                      </wp:positionV>
                      <wp:extent cx="485140" cy="0"/>
                      <wp:effectExtent l="0" t="6350" r="0" b="6350"/>
                      <wp:wrapNone/>
                      <wp:docPr id="1" name="直接连接符 1"/>
                      <wp:cNvGraphicFramePr/>
                      <a:graphic xmlns:a="http://schemas.openxmlformats.org/drawingml/2006/main">
                        <a:graphicData uri="http://schemas.microsoft.com/office/word/2010/wordprocessingShape">
                          <wps:wsp>
                            <wps:cNvCnPr/>
                            <wps:spPr>
                              <a:xfrm>
                                <a:off x="2165350" y="2008505"/>
                                <a:ext cx="48514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0pt;height:0pt;width:38.2pt;z-index:251659264;mso-width-relative:page;mso-height-relative:page;" filled="f" stroked="t" coordsize="21600,21600" o:gfxdata="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oDG4c4AAAABAQAADwAAAAAAAAABACAAAAAiAAAAZHJzL2Rvd25yZXYueG1sUEsBAhQAFAAAAAgA&#10;h07iQIn0+Jv2AQAAvQMAAA4AAAAAAAAAAQAgAAAAHQEAAGRycy9lMm9Eb2MueG1sUEsFBgAAAAAG&#10;AAYAWQEAAIUFAAAAAA==&#10;">
                      <v:fill on="f" focussize="0,0"/>
                      <v:stroke weight="1pt" color="#5B9BD5 [3204]" miterlimit="8" joinstyle="miter"/>
                      <v:imagedata o:title=""/>
                      <o:lock v:ext="edit" aspectratio="f"/>
                    </v:line>
                  </w:pict>
                </mc:Fallback>
              </mc:AlternateContent>
            </w: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vAlign w:val="center"/>
          </w:tcPr>
          <w:p w14:paraId="048CF1E7">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安全责任事故</w:t>
            </w:r>
          </w:p>
        </w:tc>
        <w:tc>
          <w:tcPr>
            <w:tcW w:w="1077" w:type="dxa"/>
            <w:tcBorders>
              <w:top w:val="nil"/>
              <w:left w:val="nil"/>
              <w:bottom w:val="single" w:color="auto" w:sz="4" w:space="0"/>
              <w:right w:val="single" w:color="auto" w:sz="4" w:space="0"/>
            </w:tcBorders>
            <w:vAlign w:val="center"/>
          </w:tcPr>
          <w:p w14:paraId="219233FC">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vAlign w:val="center"/>
          </w:tcPr>
          <w:p w14:paraId="281A862F">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614" w:type="dxa"/>
            <w:tcBorders>
              <w:top w:val="nil"/>
              <w:left w:val="nil"/>
              <w:bottom w:val="single" w:color="auto" w:sz="4" w:space="0"/>
              <w:right w:val="single" w:color="auto" w:sz="4" w:space="0"/>
            </w:tcBorders>
            <w:vAlign w:val="center"/>
          </w:tcPr>
          <w:p w14:paraId="216E3BD0">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vAlign w:val="center"/>
          </w:tcPr>
          <w:p w14:paraId="701388ED">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7893A52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F4ADC4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47E22C9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73934B7F">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tcMar>
              <w:top w:w="0" w:type="dxa"/>
              <w:left w:w="0" w:type="dxa"/>
              <w:bottom w:w="0" w:type="dxa"/>
              <w:right w:w="0" w:type="dxa"/>
            </w:tcMar>
            <w:vAlign w:val="center"/>
          </w:tcPr>
          <w:p w14:paraId="6686D40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5F4A46B3">
            <w:pPr>
              <w:spacing w:line="240" w:lineRule="exact"/>
              <w:jc w:val="left"/>
              <w:rPr>
                <w:rFonts w:eastAsia="仿宋_GB2312"/>
                <w:color w:val="000000"/>
                <w:kern w:val="0"/>
                <w:sz w:val="18"/>
                <w:szCs w:val="18"/>
              </w:rPr>
            </w:pPr>
            <w:r>
              <w:rPr>
                <w:rFonts w:hint="eastAsia" w:eastAsia="仿宋_GB2312"/>
                <w:color w:val="000000"/>
                <w:kern w:val="0"/>
                <w:sz w:val="18"/>
                <w:szCs w:val="18"/>
              </w:rPr>
              <w:t>建立完善的财务管理制度</w:t>
            </w:r>
          </w:p>
        </w:tc>
        <w:tc>
          <w:tcPr>
            <w:tcW w:w="1077" w:type="dxa"/>
            <w:tcBorders>
              <w:top w:val="nil"/>
              <w:left w:val="nil"/>
              <w:bottom w:val="single" w:color="auto" w:sz="4" w:space="0"/>
              <w:right w:val="single" w:color="auto" w:sz="4" w:space="0"/>
            </w:tcBorders>
            <w:vAlign w:val="center"/>
          </w:tcPr>
          <w:p w14:paraId="409985E0">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val="en-US" w:eastAsia="zh-CN"/>
              </w:rPr>
              <w:t>完善</w:t>
            </w:r>
          </w:p>
        </w:tc>
        <w:tc>
          <w:tcPr>
            <w:tcW w:w="1267" w:type="dxa"/>
            <w:tcBorders>
              <w:top w:val="nil"/>
              <w:left w:val="nil"/>
              <w:bottom w:val="single" w:color="auto" w:sz="4" w:space="0"/>
              <w:right w:val="single" w:color="auto" w:sz="4" w:space="0"/>
            </w:tcBorders>
            <w:vAlign w:val="center"/>
          </w:tcPr>
          <w:p w14:paraId="7046A967">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较完善</w:t>
            </w:r>
          </w:p>
        </w:tc>
        <w:tc>
          <w:tcPr>
            <w:tcW w:w="614" w:type="dxa"/>
            <w:tcBorders>
              <w:top w:val="nil"/>
              <w:left w:val="nil"/>
              <w:bottom w:val="single" w:color="auto" w:sz="4" w:space="0"/>
              <w:right w:val="single" w:color="auto" w:sz="4" w:space="0"/>
            </w:tcBorders>
            <w:vAlign w:val="center"/>
          </w:tcPr>
          <w:p w14:paraId="1B7EE50F">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vAlign w:val="center"/>
          </w:tcPr>
          <w:p w14:paraId="466481B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1F47AD1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DCF8C7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0DAC6CE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575E5EF9">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tcMar>
              <w:top w:w="0" w:type="dxa"/>
              <w:left w:w="0" w:type="dxa"/>
              <w:bottom w:w="0" w:type="dxa"/>
              <w:right w:w="0" w:type="dxa"/>
            </w:tcMar>
            <w:vAlign w:val="center"/>
          </w:tcPr>
          <w:p w14:paraId="0AFE807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vAlign w:val="center"/>
          </w:tcPr>
          <w:p w14:paraId="17572F29">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及时落实上级部门工作任务</w:t>
            </w:r>
          </w:p>
        </w:tc>
        <w:tc>
          <w:tcPr>
            <w:tcW w:w="1077" w:type="dxa"/>
            <w:tcBorders>
              <w:top w:val="nil"/>
              <w:left w:val="nil"/>
              <w:bottom w:val="single" w:color="auto" w:sz="4" w:space="0"/>
              <w:right w:val="single" w:color="auto" w:sz="4" w:space="0"/>
            </w:tcBorders>
            <w:vAlign w:val="center"/>
          </w:tcPr>
          <w:p w14:paraId="2DDEFDE6">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及时</w:t>
            </w:r>
          </w:p>
        </w:tc>
        <w:tc>
          <w:tcPr>
            <w:tcW w:w="1267" w:type="dxa"/>
            <w:tcBorders>
              <w:top w:val="nil"/>
              <w:left w:val="nil"/>
              <w:bottom w:val="single" w:color="auto" w:sz="4" w:space="0"/>
              <w:right w:val="single" w:color="auto" w:sz="4" w:space="0"/>
            </w:tcBorders>
            <w:vAlign w:val="center"/>
          </w:tcPr>
          <w:p w14:paraId="787E409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及时</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vAlign w:val="center"/>
          </w:tcPr>
          <w:p w14:paraId="6E834AFD">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vAlign w:val="center"/>
          </w:tcPr>
          <w:p w14:paraId="34B45E8D">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4ECA9B1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3FDBC8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2960AEA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29A8DA15">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1E8666B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6C786B12">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各项资金到位情况</w:t>
            </w:r>
          </w:p>
        </w:tc>
        <w:tc>
          <w:tcPr>
            <w:tcW w:w="1077" w:type="dxa"/>
            <w:tcBorders>
              <w:top w:val="nil"/>
              <w:left w:val="nil"/>
              <w:bottom w:val="single" w:color="auto" w:sz="4" w:space="0"/>
              <w:right w:val="single" w:color="auto" w:sz="4" w:space="0"/>
            </w:tcBorders>
            <w:vAlign w:val="center"/>
          </w:tcPr>
          <w:p w14:paraId="08F140F7">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及时</w:t>
            </w:r>
          </w:p>
        </w:tc>
        <w:tc>
          <w:tcPr>
            <w:tcW w:w="1267" w:type="dxa"/>
            <w:tcBorders>
              <w:top w:val="nil"/>
              <w:left w:val="nil"/>
              <w:bottom w:val="single" w:color="auto" w:sz="4" w:space="0"/>
              <w:right w:val="single" w:color="auto" w:sz="4" w:space="0"/>
            </w:tcBorders>
            <w:vAlign w:val="center"/>
          </w:tcPr>
          <w:p w14:paraId="34EC7C9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及时</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vAlign w:val="center"/>
          </w:tcPr>
          <w:p w14:paraId="566CD9C9">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vAlign w:val="center"/>
          </w:tcPr>
          <w:p w14:paraId="0DDE77AA">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18DDC87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0CAB07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47B6C915">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01982A77">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tcMar>
              <w:top w:w="0" w:type="dxa"/>
              <w:left w:w="0" w:type="dxa"/>
              <w:bottom w:w="0" w:type="dxa"/>
              <w:right w:w="0" w:type="dxa"/>
            </w:tcMar>
            <w:vAlign w:val="center"/>
          </w:tcPr>
          <w:p w14:paraId="189817B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vAlign w:val="center"/>
          </w:tcPr>
          <w:p w14:paraId="7E2CB46E">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三公经费同比变动率</w:t>
            </w: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vAlign w:val="center"/>
          </w:tcPr>
          <w:p w14:paraId="68C509E5">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下降</w:t>
            </w:r>
          </w:p>
        </w:tc>
        <w:tc>
          <w:tcPr>
            <w:tcW w:w="1267" w:type="dxa"/>
            <w:tcBorders>
              <w:top w:val="nil"/>
              <w:left w:val="nil"/>
              <w:bottom w:val="single" w:color="auto" w:sz="4" w:space="0"/>
              <w:right w:val="single" w:color="auto" w:sz="4" w:space="0"/>
            </w:tcBorders>
            <w:vAlign w:val="center"/>
          </w:tcPr>
          <w:p w14:paraId="73746191">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三公经费为0</w:t>
            </w:r>
          </w:p>
        </w:tc>
        <w:tc>
          <w:tcPr>
            <w:tcW w:w="614" w:type="dxa"/>
            <w:tcBorders>
              <w:top w:val="nil"/>
              <w:left w:val="nil"/>
              <w:bottom w:val="single" w:color="auto" w:sz="4" w:space="0"/>
              <w:right w:val="single" w:color="auto" w:sz="4" w:space="0"/>
            </w:tcBorders>
            <w:vAlign w:val="center"/>
          </w:tcPr>
          <w:p w14:paraId="0BF7A2EB">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vAlign w:val="center"/>
          </w:tcPr>
          <w:p w14:paraId="4FC642E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0D6AEB7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5DEA9F2">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04B13853">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vAlign w:val="center"/>
          </w:tcPr>
          <w:p w14:paraId="28887A63">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57CAED3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43C9C630">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办学条件改善情况</w:t>
            </w:r>
          </w:p>
        </w:tc>
        <w:tc>
          <w:tcPr>
            <w:tcW w:w="1077" w:type="dxa"/>
            <w:tcBorders>
              <w:top w:val="nil"/>
              <w:left w:val="nil"/>
              <w:bottom w:val="single" w:color="auto" w:sz="4" w:space="0"/>
              <w:right w:val="single" w:color="auto" w:sz="4" w:space="0"/>
            </w:tcBorders>
            <w:vAlign w:val="center"/>
          </w:tcPr>
          <w:p w14:paraId="3CB2F0C5">
            <w:pPr>
              <w:spacing w:line="240" w:lineRule="exact"/>
              <w:ind w:firstLine="360" w:firstLineChars="0"/>
              <w:jc w:val="left"/>
              <w:rPr>
                <w:rFonts w:hint="eastAsia"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改善</w:t>
            </w:r>
          </w:p>
        </w:tc>
        <w:tc>
          <w:tcPr>
            <w:tcW w:w="1267" w:type="dxa"/>
            <w:tcBorders>
              <w:top w:val="nil"/>
              <w:left w:val="nil"/>
              <w:bottom w:val="single" w:color="auto" w:sz="4" w:space="0"/>
              <w:right w:val="single" w:color="auto" w:sz="4" w:space="0"/>
            </w:tcBorders>
            <w:vAlign w:val="center"/>
          </w:tcPr>
          <w:p w14:paraId="578C056D">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得到改善</w:t>
            </w:r>
          </w:p>
        </w:tc>
        <w:tc>
          <w:tcPr>
            <w:tcW w:w="614" w:type="dxa"/>
            <w:tcBorders>
              <w:top w:val="nil"/>
              <w:left w:val="nil"/>
              <w:bottom w:val="single" w:color="auto" w:sz="4" w:space="0"/>
              <w:right w:val="single" w:color="auto" w:sz="4" w:space="0"/>
            </w:tcBorders>
            <w:vAlign w:val="center"/>
          </w:tcPr>
          <w:p w14:paraId="05EE5F1E">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vAlign w:val="center"/>
          </w:tcPr>
          <w:p w14:paraId="2401D13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2E194F7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由于资金限制，个别学校还没有得到完全改善，积极向上面争取资金，尽快得到改善</w:t>
            </w:r>
            <w:r>
              <w:rPr>
                <w:rFonts w:eastAsia="仿宋_GB2312"/>
                <w:color w:val="000000"/>
                <w:kern w:val="0"/>
                <w:sz w:val="18"/>
                <w:szCs w:val="18"/>
              </w:rPr>
              <w:t>　</w:t>
            </w:r>
          </w:p>
        </w:tc>
      </w:tr>
      <w:tr w14:paraId="4E9C39A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77DF7557">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vAlign w:val="center"/>
          </w:tcPr>
          <w:p w14:paraId="7F00C70C">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5372B975">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vMerge w:val="restart"/>
            <w:tcBorders>
              <w:top w:val="nil"/>
              <w:left w:val="nil"/>
              <w:right w:val="single" w:color="auto" w:sz="4" w:space="0"/>
            </w:tcBorders>
            <w:tcMar>
              <w:top w:w="0" w:type="dxa"/>
              <w:left w:w="0" w:type="dxa"/>
              <w:bottom w:w="0" w:type="dxa"/>
              <w:right w:w="0" w:type="dxa"/>
            </w:tcMar>
            <w:vAlign w:val="center"/>
          </w:tcPr>
          <w:p w14:paraId="51A3F9C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vAlign w:val="center"/>
          </w:tcPr>
          <w:p w14:paraId="1B9E4A83">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入学巩固率增长情况</w:t>
            </w:r>
          </w:p>
        </w:tc>
        <w:tc>
          <w:tcPr>
            <w:tcW w:w="1077" w:type="dxa"/>
            <w:tcBorders>
              <w:top w:val="nil"/>
              <w:left w:val="nil"/>
              <w:bottom w:val="single" w:color="auto" w:sz="4" w:space="0"/>
              <w:right w:val="single" w:color="auto" w:sz="4" w:space="0"/>
            </w:tcBorders>
            <w:vAlign w:val="center"/>
          </w:tcPr>
          <w:p w14:paraId="1341D032">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vAlign w:val="center"/>
          </w:tcPr>
          <w:p w14:paraId="3C1D4D63">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2</w:t>
            </w:r>
          </w:p>
        </w:tc>
        <w:tc>
          <w:tcPr>
            <w:tcW w:w="614" w:type="dxa"/>
            <w:tcBorders>
              <w:top w:val="nil"/>
              <w:left w:val="nil"/>
              <w:bottom w:val="single" w:color="auto" w:sz="4" w:space="0"/>
              <w:right w:val="single" w:color="auto" w:sz="4" w:space="0"/>
            </w:tcBorders>
            <w:vAlign w:val="center"/>
          </w:tcPr>
          <w:p w14:paraId="4366F2F5">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vAlign w:val="center"/>
          </w:tcPr>
          <w:p w14:paraId="6ACB660D">
            <w:pPr>
              <w:spacing w:line="240" w:lineRule="exact"/>
              <w:ind w:firstLine="360"/>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vAlign w:val="center"/>
          </w:tcPr>
          <w:p w14:paraId="3F77E14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88B8E8E">
        <w:tblPrEx>
          <w:tblCellMar>
            <w:top w:w="0" w:type="dxa"/>
            <w:left w:w="108" w:type="dxa"/>
            <w:bottom w:w="0" w:type="dxa"/>
            <w:right w:w="108" w:type="dxa"/>
          </w:tblCellMar>
        </w:tblPrEx>
        <w:trPr>
          <w:trHeight w:val="455" w:hRule="atLeast"/>
          <w:jc w:val="center"/>
        </w:trPr>
        <w:tc>
          <w:tcPr>
            <w:tcW w:w="969" w:type="dxa"/>
            <w:vMerge w:val="continue"/>
            <w:tcBorders>
              <w:left w:val="single" w:color="auto" w:sz="4" w:space="0"/>
              <w:right w:val="single" w:color="auto" w:sz="4" w:space="0"/>
            </w:tcBorders>
            <w:vAlign w:val="center"/>
          </w:tcPr>
          <w:p w14:paraId="04AC88E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13530582">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2819BEF2">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29BE1C7E">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教学质量同比增长</w:t>
            </w:r>
          </w:p>
        </w:tc>
        <w:tc>
          <w:tcPr>
            <w:tcW w:w="1077" w:type="dxa"/>
            <w:tcBorders>
              <w:top w:val="nil"/>
              <w:left w:val="nil"/>
              <w:bottom w:val="single" w:color="auto" w:sz="4" w:space="0"/>
              <w:right w:val="single" w:color="auto" w:sz="4" w:space="0"/>
            </w:tcBorders>
            <w:vAlign w:val="center"/>
          </w:tcPr>
          <w:p w14:paraId="3D093142">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≥1</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vAlign w:val="center"/>
          </w:tcPr>
          <w:p w14:paraId="476C4A2C">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3</w:t>
            </w:r>
          </w:p>
        </w:tc>
        <w:tc>
          <w:tcPr>
            <w:tcW w:w="614" w:type="dxa"/>
            <w:tcBorders>
              <w:top w:val="nil"/>
              <w:left w:val="nil"/>
              <w:bottom w:val="single" w:color="auto" w:sz="4" w:space="0"/>
              <w:right w:val="single" w:color="auto" w:sz="4" w:space="0"/>
            </w:tcBorders>
            <w:vAlign w:val="center"/>
          </w:tcPr>
          <w:p w14:paraId="488F5E1A">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vAlign w:val="center"/>
          </w:tcPr>
          <w:p w14:paraId="34196480">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7E319DD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9102BD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2427462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5E2A244D">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tcMar>
              <w:top w:w="0" w:type="dxa"/>
              <w:left w:w="0" w:type="dxa"/>
              <w:bottom w:w="0" w:type="dxa"/>
              <w:right w:w="0" w:type="dxa"/>
            </w:tcMar>
            <w:vAlign w:val="center"/>
          </w:tcPr>
          <w:p w14:paraId="0E3B589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37E5EDF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3C17E8F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vAlign w:val="center"/>
          </w:tcPr>
          <w:p w14:paraId="1C6899CD">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由于师德师风因素造成社会不良影响事故</w:t>
            </w:r>
          </w:p>
        </w:tc>
        <w:tc>
          <w:tcPr>
            <w:tcW w:w="1077" w:type="dxa"/>
            <w:tcBorders>
              <w:top w:val="nil"/>
              <w:left w:val="nil"/>
              <w:bottom w:val="single" w:color="auto" w:sz="4" w:space="0"/>
              <w:right w:val="single" w:color="auto" w:sz="4" w:space="0"/>
            </w:tcBorders>
            <w:vAlign w:val="center"/>
          </w:tcPr>
          <w:p w14:paraId="6DDAD28B">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1267" w:type="dxa"/>
            <w:tcBorders>
              <w:top w:val="nil"/>
              <w:left w:val="nil"/>
              <w:bottom w:val="single" w:color="auto" w:sz="4" w:space="0"/>
              <w:right w:val="single" w:color="auto" w:sz="4" w:space="0"/>
            </w:tcBorders>
            <w:vAlign w:val="center"/>
          </w:tcPr>
          <w:p w14:paraId="12F6175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0</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vAlign w:val="center"/>
          </w:tcPr>
          <w:p w14:paraId="7D5E5312">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vAlign w:val="center"/>
          </w:tcPr>
          <w:p w14:paraId="21457EA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2CE5598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228C2A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51B710D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5A2313C2">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203DF297">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0EB623DC">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学生违法犯罪率</w:t>
            </w:r>
          </w:p>
        </w:tc>
        <w:tc>
          <w:tcPr>
            <w:tcW w:w="1077" w:type="dxa"/>
            <w:tcBorders>
              <w:top w:val="nil"/>
              <w:left w:val="nil"/>
              <w:bottom w:val="single" w:color="auto" w:sz="4" w:space="0"/>
              <w:right w:val="single" w:color="auto" w:sz="4" w:space="0"/>
            </w:tcBorders>
            <w:vAlign w:val="center"/>
          </w:tcPr>
          <w:p w14:paraId="4CEDA3B0">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1267" w:type="dxa"/>
            <w:tcBorders>
              <w:top w:val="nil"/>
              <w:left w:val="nil"/>
              <w:bottom w:val="single" w:color="auto" w:sz="4" w:space="0"/>
              <w:right w:val="single" w:color="auto" w:sz="4" w:space="0"/>
            </w:tcBorders>
            <w:vAlign w:val="center"/>
          </w:tcPr>
          <w:p w14:paraId="3CE11DF1">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614" w:type="dxa"/>
            <w:tcBorders>
              <w:top w:val="nil"/>
              <w:left w:val="nil"/>
              <w:bottom w:val="single" w:color="auto" w:sz="4" w:space="0"/>
              <w:right w:val="single" w:color="auto" w:sz="4" w:space="0"/>
            </w:tcBorders>
            <w:vAlign w:val="center"/>
          </w:tcPr>
          <w:p w14:paraId="6EA6F490">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vAlign w:val="center"/>
          </w:tcPr>
          <w:p w14:paraId="423F9C90">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3C6796D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9BFFD88">
        <w:tblPrEx>
          <w:tblCellMar>
            <w:top w:w="0" w:type="dxa"/>
            <w:left w:w="108" w:type="dxa"/>
            <w:bottom w:w="0" w:type="dxa"/>
            <w:right w:w="108" w:type="dxa"/>
          </w:tblCellMar>
        </w:tblPrEx>
        <w:trPr>
          <w:trHeight w:val="90" w:hRule="atLeast"/>
          <w:jc w:val="center"/>
        </w:trPr>
        <w:tc>
          <w:tcPr>
            <w:tcW w:w="969" w:type="dxa"/>
            <w:vMerge w:val="continue"/>
            <w:tcBorders>
              <w:left w:val="single" w:color="auto" w:sz="4" w:space="0"/>
              <w:right w:val="single" w:color="auto" w:sz="4" w:space="0"/>
            </w:tcBorders>
            <w:vAlign w:val="center"/>
          </w:tcPr>
          <w:p w14:paraId="29660F9E">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3357ABEE">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tcMar>
              <w:top w:w="0" w:type="dxa"/>
              <w:left w:w="0" w:type="dxa"/>
              <w:bottom w:w="0" w:type="dxa"/>
              <w:right w:w="0" w:type="dxa"/>
            </w:tcMar>
            <w:vAlign w:val="center"/>
          </w:tcPr>
          <w:p w14:paraId="1FC9F00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vAlign w:val="center"/>
          </w:tcPr>
          <w:p w14:paraId="450EDF8C">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开展垃圾分类成效</w:t>
            </w:r>
          </w:p>
        </w:tc>
        <w:tc>
          <w:tcPr>
            <w:tcW w:w="1077" w:type="dxa"/>
            <w:tcBorders>
              <w:top w:val="nil"/>
              <w:left w:val="nil"/>
              <w:bottom w:val="single" w:color="auto" w:sz="4" w:space="0"/>
              <w:right w:val="single" w:color="auto" w:sz="4" w:space="0"/>
            </w:tcBorders>
            <w:vAlign w:val="center"/>
          </w:tcPr>
          <w:p w14:paraId="3560ACFF">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vAlign w:val="center"/>
          </w:tcPr>
          <w:p w14:paraId="1CDAFCF8">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vAlign w:val="center"/>
          </w:tcPr>
          <w:p w14:paraId="09765DC8">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vAlign w:val="center"/>
          </w:tcPr>
          <w:p w14:paraId="5C72CE9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62A0839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053BC24">
        <w:tblPrEx>
          <w:tblCellMar>
            <w:top w:w="0" w:type="dxa"/>
            <w:left w:w="108" w:type="dxa"/>
            <w:bottom w:w="0" w:type="dxa"/>
            <w:right w:w="108" w:type="dxa"/>
          </w:tblCellMar>
        </w:tblPrEx>
        <w:trPr>
          <w:trHeight w:val="204" w:hRule="atLeast"/>
          <w:jc w:val="center"/>
        </w:trPr>
        <w:tc>
          <w:tcPr>
            <w:tcW w:w="969" w:type="dxa"/>
            <w:vMerge w:val="continue"/>
            <w:tcBorders>
              <w:left w:val="single" w:color="auto" w:sz="4" w:space="0"/>
              <w:bottom w:val="single" w:color="auto" w:sz="4" w:space="0"/>
              <w:right w:val="single" w:color="auto" w:sz="4" w:space="0"/>
            </w:tcBorders>
            <w:vAlign w:val="center"/>
          </w:tcPr>
          <w:p w14:paraId="28016DD3">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vAlign w:val="center"/>
          </w:tcPr>
          <w:p w14:paraId="4E9B4694">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588BF3C0">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single" w:color="auto" w:sz="4" w:space="0"/>
              <w:bottom w:val="single" w:color="auto" w:sz="4" w:space="0"/>
              <w:right w:val="single" w:color="auto" w:sz="4" w:space="0"/>
            </w:tcBorders>
            <w:vAlign w:val="center"/>
          </w:tcPr>
          <w:p w14:paraId="1025CA03">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学生养成教育</w:t>
            </w:r>
          </w:p>
        </w:tc>
        <w:tc>
          <w:tcPr>
            <w:tcW w:w="1077" w:type="dxa"/>
            <w:tcBorders>
              <w:top w:val="single" w:color="auto" w:sz="4" w:space="0"/>
              <w:left w:val="single" w:color="auto" w:sz="4" w:space="0"/>
              <w:bottom w:val="single" w:color="auto" w:sz="4" w:space="0"/>
              <w:right w:val="single" w:color="auto" w:sz="4" w:space="0"/>
            </w:tcBorders>
            <w:vAlign w:val="center"/>
          </w:tcPr>
          <w:p w14:paraId="48B06F03">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p>
        </w:tc>
        <w:tc>
          <w:tcPr>
            <w:tcW w:w="1267" w:type="dxa"/>
            <w:tcBorders>
              <w:top w:val="single" w:color="auto" w:sz="4" w:space="0"/>
              <w:left w:val="single" w:color="auto" w:sz="4" w:space="0"/>
              <w:bottom w:val="single" w:color="auto" w:sz="4" w:space="0"/>
              <w:right w:val="single" w:color="auto" w:sz="4" w:space="0"/>
            </w:tcBorders>
            <w:vAlign w:val="center"/>
          </w:tcPr>
          <w:p w14:paraId="66753561">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614" w:type="dxa"/>
            <w:tcBorders>
              <w:top w:val="single" w:color="auto" w:sz="4" w:space="0"/>
              <w:left w:val="single" w:color="auto" w:sz="4" w:space="0"/>
              <w:bottom w:val="single" w:color="auto" w:sz="4" w:space="0"/>
              <w:right w:val="single" w:color="auto" w:sz="4" w:space="0"/>
            </w:tcBorders>
            <w:vAlign w:val="center"/>
          </w:tcPr>
          <w:p w14:paraId="0C76F651">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single" w:color="auto" w:sz="4" w:space="0"/>
              <w:left w:val="single" w:color="auto" w:sz="4" w:space="0"/>
              <w:bottom w:val="single" w:color="auto" w:sz="4" w:space="0"/>
              <w:right w:val="single" w:color="auto" w:sz="4" w:space="0"/>
            </w:tcBorders>
            <w:vAlign w:val="center"/>
          </w:tcPr>
          <w:p w14:paraId="768347E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4</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vAlign w:val="center"/>
          </w:tcPr>
          <w:p w14:paraId="7601C29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个别学生养成教育还没到位，学校加强养成教育</w:t>
            </w:r>
            <w:r>
              <w:rPr>
                <w:rFonts w:eastAsia="仿宋_GB2312"/>
                <w:color w:val="000000"/>
                <w:kern w:val="0"/>
                <w:sz w:val="18"/>
                <w:szCs w:val="18"/>
              </w:rPr>
              <w:t>　</w:t>
            </w:r>
          </w:p>
        </w:tc>
      </w:tr>
      <w:tr w14:paraId="6B633E7D">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vAlign w:val="center"/>
          </w:tcPr>
          <w:p w14:paraId="2067AF6D">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209F53F4">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042A1FE0">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411D781D">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right w:val="single" w:color="auto" w:sz="4" w:space="0"/>
            </w:tcBorders>
            <w:vAlign w:val="center"/>
          </w:tcPr>
          <w:p w14:paraId="0EA6A03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1AB8D7A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5CCF8E5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nil"/>
              <w:bottom w:val="single" w:color="auto" w:sz="4" w:space="0"/>
              <w:right w:val="single" w:color="auto" w:sz="4" w:space="0"/>
            </w:tcBorders>
            <w:vAlign w:val="center"/>
          </w:tcPr>
          <w:p w14:paraId="28736E73">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整体支出对绩效目标产生可持续影响效果</w:t>
            </w:r>
          </w:p>
        </w:tc>
        <w:tc>
          <w:tcPr>
            <w:tcW w:w="1077" w:type="dxa"/>
            <w:tcBorders>
              <w:top w:val="single" w:color="auto" w:sz="4" w:space="0"/>
              <w:left w:val="nil"/>
              <w:bottom w:val="single" w:color="auto" w:sz="4" w:space="0"/>
              <w:right w:val="single" w:color="auto" w:sz="4" w:space="0"/>
            </w:tcBorders>
            <w:vAlign w:val="center"/>
          </w:tcPr>
          <w:p w14:paraId="1DA1FF01">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1267" w:type="dxa"/>
            <w:tcBorders>
              <w:top w:val="single" w:color="auto" w:sz="4" w:space="0"/>
              <w:left w:val="nil"/>
              <w:bottom w:val="single" w:color="auto" w:sz="4" w:space="0"/>
              <w:right w:val="single" w:color="auto" w:sz="4" w:space="0"/>
            </w:tcBorders>
            <w:vAlign w:val="center"/>
          </w:tcPr>
          <w:p w14:paraId="081DF071">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614" w:type="dxa"/>
            <w:tcBorders>
              <w:top w:val="single" w:color="auto" w:sz="4" w:space="0"/>
              <w:left w:val="nil"/>
              <w:bottom w:val="single" w:color="auto" w:sz="4" w:space="0"/>
              <w:right w:val="single" w:color="auto" w:sz="4" w:space="0"/>
            </w:tcBorders>
            <w:vAlign w:val="center"/>
          </w:tcPr>
          <w:p w14:paraId="207CA078">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single" w:color="auto" w:sz="4" w:space="0"/>
              <w:left w:val="nil"/>
              <w:bottom w:val="single" w:color="auto" w:sz="4" w:space="0"/>
              <w:right w:val="single" w:color="auto" w:sz="4" w:space="0"/>
            </w:tcBorders>
            <w:vAlign w:val="center"/>
          </w:tcPr>
          <w:p w14:paraId="4A70D29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vAlign w:val="center"/>
          </w:tcPr>
          <w:p w14:paraId="64B4C9D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8BA1A97">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vAlign w:val="center"/>
          </w:tcPr>
          <w:p w14:paraId="1BC73DAA">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4488B688">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bottom w:val="single" w:color="auto" w:sz="4" w:space="0"/>
              <w:right w:val="single" w:color="auto" w:sz="4" w:space="0"/>
            </w:tcBorders>
            <w:tcMar>
              <w:top w:w="0" w:type="dxa"/>
              <w:left w:w="0" w:type="dxa"/>
              <w:bottom w:w="0" w:type="dxa"/>
              <w:right w:w="0" w:type="dxa"/>
            </w:tcMar>
            <w:vAlign w:val="center"/>
          </w:tcPr>
          <w:p w14:paraId="667CEE81">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07A27C08">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升学率同比增长</w:t>
            </w:r>
          </w:p>
        </w:tc>
        <w:tc>
          <w:tcPr>
            <w:tcW w:w="1077" w:type="dxa"/>
            <w:tcBorders>
              <w:top w:val="nil"/>
              <w:left w:val="nil"/>
              <w:bottom w:val="single" w:color="auto" w:sz="4" w:space="0"/>
              <w:right w:val="single" w:color="auto" w:sz="4" w:space="0"/>
            </w:tcBorders>
            <w:vAlign w:val="center"/>
          </w:tcPr>
          <w:p w14:paraId="61DAD75B">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p>
        </w:tc>
        <w:tc>
          <w:tcPr>
            <w:tcW w:w="1267" w:type="dxa"/>
            <w:tcBorders>
              <w:top w:val="nil"/>
              <w:left w:val="nil"/>
              <w:bottom w:val="single" w:color="auto" w:sz="4" w:space="0"/>
              <w:right w:val="single" w:color="auto" w:sz="4" w:space="0"/>
            </w:tcBorders>
            <w:vAlign w:val="center"/>
          </w:tcPr>
          <w:p w14:paraId="58359BF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2</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vAlign w:val="center"/>
          </w:tcPr>
          <w:p w14:paraId="60D674D9">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vAlign w:val="center"/>
          </w:tcPr>
          <w:p w14:paraId="64F7B910">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0AB1D44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9B65C23">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vAlign w:val="center"/>
          </w:tcPr>
          <w:p w14:paraId="61AF0C63">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vAlign w:val="center"/>
          </w:tcPr>
          <w:p w14:paraId="38D647A5">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nil"/>
              <w:left w:val="nil"/>
              <w:right w:val="single" w:color="auto" w:sz="4" w:space="0"/>
            </w:tcBorders>
            <w:tcMar>
              <w:top w:w="0" w:type="dxa"/>
              <w:left w:w="0" w:type="dxa"/>
              <w:bottom w:w="0" w:type="dxa"/>
              <w:right w:w="0" w:type="dxa"/>
            </w:tcMar>
            <w:vAlign w:val="center"/>
          </w:tcPr>
          <w:p w14:paraId="2FD8582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5D3430A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333B383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74C019B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vAlign w:val="center"/>
          </w:tcPr>
          <w:p w14:paraId="097C49B4">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教职工满意度调查分数</w:t>
            </w:r>
          </w:p>
        </w:tc>
        <w:tc>
          <w:tcPr>
            <w:tcW w:w="1077" w:type="dxa"/>
            <w:tcBorders>
              <w:top w:val="nil"/>
              <w:left w:val="nil"/>
              <w:bottom w:val="single" w:color="auto" w:sz="4" w:space="0"/>
              <w:right w:val="single" w:color="auto" w:sz="4" w:space="0"/>
            </w:tcBorders>
            <w:vAlign w:val="center"/>
          </w:tcPr>
          <w:p w14:paraId="235FE216">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 xml:space="preserve">≥90% </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vAlign w:val="center"/>
          </w:tcPr>
          <w:p w14:paraId="264EDF5C">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98%</w:t>
            </w:r>
          </w:p>
        </w:tc>
        <w:tc>
          <w:tcPr>
            <w:tcW w:w="614" w:type="dxa"/>
            <w:tcBorders>
              <w:top w:val="nil"/>
              <w:left w:val="nil"/>
              <w:bottom w:val="single" w:color="auto" w:sz="4" w:space="0"/>
              <w:right w:val="single" w:color="auto" w:sz="4" w:space="0"/>
            </w:tcBorders>
            <w:vAlign w:val="center"/>
          </w:tcPr>
          <w:p w14:paraId="070FD17D">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vAlign w:val="center"/>
          </w:tcPr>
          <w:p w14:paraId="396F9AF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63537E9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A317B37">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bottom w:val="single" w:color="auto" w:sz="4" w:space="0"/>
              <w:right w:val="single" w:color="auto" w:sz="4" w:space="0"/>
            </w:tcBorders>
            <w:vAlign w:val="center"/>
          </w:tcPr>
          <w:p w14:paraId="4CF7145A">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vAlign w:val="center"/>
          </w:tcPr>
          <w:p w14:paraId="537A1898">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vAlign w:val="center"/>
          </w:tcPr>
          <w:p w14:paraId="1B598EE9">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069D4B0B">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学生满意度调查分数</w:t>
            </w:r>
          </w:p>
        </w:tc>
        <w:tc>
          <w:tcPr>
            <w:tcW w:w="1077" w:type="dxa"/>
            <w:tcBorders>
              <w:top w:val="nil"/>
              <w:left w:val="nil"/>
              <w:bottom w:val="single" w:color="auto" w:sz="4" w:space="0"/>
              <w:right w:val="single" w:color="auto" w:sz="4" w:space="0"/>
            </w:tcBorders>
            <w:vAlign w:val="center"/>
          </w:tcPr>
          <w:p w14:paraId="110658B6">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 xml:space="preserve">≥90% </w:t>
            </w:r>
          </w:p>
        </w:tc>
        <w:tc>
          <w:tcPr>
            <w:tcW w:w="1267" w:type="dxa"/>
            <w:tcBorders>
              <w:top w:val="nil"/>
              <w:left w:val="nil"/>
              <w:bottom w:val="single" w:color="auto" w:sz="4" w:space="0"/>
              <w:right w:val="single" w:color="auto" w:sz="4" w:space="0"/>
            </w:tcBorders>
            <w:vAlign w:val="center"/>
          </w:tcPr>
          <w:p w14:paraId="0A32830C">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94%</w:t>
            </w:r>
          </w:p>
        </w:tc>
        <w:tc>
          <w:tcPr>
            <w:tcW w:w="614" w:type="dxa"/>
            <w:tcBorders>
              <w:top w:val="nil"/>
              <w:left w:val="nil"/>
              <w:bottom w:val="single" w:color="auto" w:sz="4" w:space="0"/>
              <w:right w:val="single" w:color="auto" w:sz="4" w:space="0"/>
            </w:tcBorders>
            <w:vAlign w:val="center"/>
          </w:tcPr>
          <w:p w14:paraId="13B303FA">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vAlign w:val="center"/>
          </w:tcPr>
          <w:p w14:paraId="771458C2">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vAlign w:val="center"/>
          </w:tcPr>
          <w:p w14:paraId="4EE4D981">
            <w:pPr>
              <w:spacing w:line="240" w:lineRule="exact"/>
              <w:ind w:firstLine="360"/>
              <w:jc w:val="left"/>
              <w:rPr>
                <w:rFonts w:eastAsia="仿宋_GB2312"/>
                <w:color w:val="000000"/>
                <w:kern w:val="0"/>
                <w:sz w:val="18"/>
                <w:szCs w:val="18"/>
              </w:rPr>
            </w:pPr>
          </w:p>
        </w:tc>
      </w:tr>
      <w:tr w14:paraId="722541BD">
        <w:tblPrEx>
          <w:tblCellMar>
            <w:top w:w="0" w:type="dxa"/>
            <w:left w:w="108" w:type="dxa"/>
            <w:bottom w:w="0" w:type="dxa"/>
            <w:right w:w="108" w:type="dxa"/>
          </w:tblCellMar>
        </w:tblPrEx>
        <w:trPr>
          <w:trHeight w:val="441" w:hRule="atLeast"/>
          <w:jc w:val="center"/>
        </w:trPr>
        <w:tc>
          <w:tcPr>
            <w:tcW w:w="6351" w:type="dxa"/>
            <w:gridSpan w:val="7"/>
            <w:tcBorders>
              <w:top w:val="single" w:color="auto" w:sz="4" w:space="0"/>
              <w:left w:val="single" w:color="auto" w:sz="4" w:space="0"/>
              <w:bottom w:val="single" w:color="auto" w:sz="4" w:space="0"/>
              <w:right w:val="single" w:color="000000" w:sz="4" w:space="0"/>
            </w:tcBorders>
            <w:vAlign w:val="center"/>
          </w:tcPr>
          <w:p w14:paraId="12F94C40">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14" w:type="dxa"/>
            <w:tcBorders>
              <w:top w:val="nil"/>
              <w:left w:val="nil"/>
              <w:bottom w:val="single" w:color="auto" w:sz="4" w:space="0"/>
              <w:right w:val="single" w:color="auto" w:sz="4" w:space="0"/>
            </w:tcBorders>
            <w:vAlign w:val="center"/>
          </w:tcPr>
          <w:p w14:paraId="73EB0DF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791" w:type="dxa"/>
            <w:tcBorders>
              <w:top w:val="nil"/>
              <w:left w:val="nil"/>
              <w:bottom w:val="single" w:color="auto" w:sz="4" w:space="0"/>
              <w:right w:val="single" w:color="auto" w:sz="4" w:space="0"/>
            </w:tcBorders>
            <w:vAlign w:val="center"/>
          </w:tcPr>
          <w:p w14:paraId="6F74CAD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98</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098238EF">
            <w:pPr>
              <w:spacing w:line="240" w:lineRule="exact"/>
              <w:ind w:firstLine="360"/>
              <w:jc w:val="left"/>
              <w:rPr>
                <w:rFonts w:eastAsia="仿宋_GB2312"/>
                <w:color w:val="000000"/>
                <w:kern w:val="0"/>
                <w:sz w:val="18"/>
                <w:szCs w:val="18"/>
              </w:rPr>
            </w:pPr>
          </w:p>
        </w:tc>
      </w:tr>
    </w:tbl>
    <w:p w14:paraId="00B1596B">
      <w:pPr>
        <w:spacing w:line="600" w:lineRule="exact"/>
        <w:jc w:val="left"/>
        <w:rPr>
          <w:rFonts w:hint="eastAsia" w:ascii="仿宋" w:hAnsi="仿宋" w:eastAsia="仿宋" w:cs="仿宋"/>
          <w:b w:val="0"/>
          <w:bCs w:val="0"/>
          <w:kern w:val="0"/>
          <w:sz w:val="24"/>
          <w:szCs w:val="24"/>
          <w:lang w:eastAsia="zh-CN"/>
        </w:rPr>
      </w:pPr>
    </w:p>
    <w:p w14:paraId="6BD9D4AF">
      <w:pPr>
        <w:pStyle w:val="8"/>
        <w:ind w:left="0" w:leftChars="0" w:firstLine="0" w:firstLineChars="0"/>
        <w:jc w:val="both"/>
        <w:rPr>
          <w:rFonts w:hint="default" w:ascii="仿宋" w:hAnsi="仿宋" w:eastAsia="仿宋" w:cs="仿宋"/>
          <w:b/>
          <w:bCs/>
          <w:kern w:val="0"/>
          <w:sz w:val="24"/>
          <w:szCs w:val="24"/>
          <w:lang w:val="en-US" w:eastAsia="zh-CN"/>
        </w:rPr>
      </w:pPr>
      <w:r>
        <w:rPr>
          <w:rFonts w:hint="eastAsia" w:ascii="仿宋" w:hAnsi="仿宋" w:eastAsia="仿宋" w:cs="仿宋"/>
          <w:b w:val="0"/>
          <w:bCs w:val="0"/>
          <w:kern w:val="0"/>
          <w:sz w:val="24"/>
          <w:szCs w:val="24"/>
          <w:lang w:eastAsia="zh-CN"/>
        </w:rPr>
        <w:t>填表人：戴先生</w:t>
      </w:r>
      <w:r>
        <w:rPr>
          <w:rFonts w:hint="eastAsia" w:ascii="仿宋" w:hAnsi="仿宋" w:eastAsia="仿宋" w:cs="仿宋"/>
          <w:b w:val="0"/>
          <w:bCs w:val="0"/>
          <w:kern w:val="0"/>
          <w:sz w:val="24"/>
          <w:szCs w:val="24"/>
          <w:lang w:val="en-US" w:eastAsia="zh-CN"/>
        </w:rPr>
        <w:t>填报日期：20250421 联系电话：183****6216单位负责人：阳先生</w:t>
      </w:r>
    </w:p>
    <w:p w14:paraId="1A4D245B">
      <w:pPr>
        <w:spacing w:line="600" w:lineRule="exact"/>
        <w:jc w:val="left"/>
        <w:rPr>
          <w:rFonts w:hint="eastAsia" w:ascii="仿宋_GB2312" w:hAnsi="仿宋_GB2312" w:eastAsia="仿宋_GB2312" w:cs="仿宋_GB2312"/>
          <w:b w:val="0"/>
          <w:bCs/>
          <w:kern w:val="0"/>
          <w:sz w:val="32"/>
          <w:szCs w:val="32"/>
          <w:lang w:val="en-US" w:eastAsia="zh-CN"/>
        </w:rPr>
      </w:pPr>
    </w:p>
    <w:p w14:paraId="6C441442">
      <w:pPr>
        <w:spacing w:line="600" w:lineRule="exact"/>
        <w:jc w:val="left"/>
        <w:rPr>
          <w:rFonts w:hint="eastAsia" w:ascii="仿宋_GB2312" w:hAnsi="仿宋_GB2312" w:eastAsia="仿宋_GB2312" w:cs="仿宋_GB2312"/>
          <w:b w:val="0"/>
          <w:bCs/>
          <w:kern w:val="0"/>
          <w:sz w:val="32"/>
          <w:szCs w:val="32"/>
          <w:lang w:val="en-US" w:eastAsia="zh-CN"/>
        </w:rPr>
      </w:pPr>
    </w:p>
    <w:p w14:paraId="3B5E9579">
      <w:pPr>
        <w:spacing w:line="600" w:lineRule="exact"/>
        <w:jc w:val="left"/>
        <w:rPr>
          <w:rFonts w:hint="eastAsia" w:ascii="仿宋_GB2312" w:hAnsi="仿宋_GB2312" w:eastAsia="仿宋_GB2312" w:cs="仿宋_GB2312"/>
          <w:b w:val="0"/>
          <w:bCs/>
          <w:kern w:val="0"/>
          <w:sz w:val="32"/>
          <w:szCs w:val="32"/>
          <w:lang w:val="en-US" w:eastAsia="zh-CN"/>
        </w:rPr>
      </w:pPr>
    </w:p>
    <w:p w14:paraId="5AA68449">
      <w:pPr>
        <w:spacing w:line="600" w:lineRule="exact"/>
        <w:jc w:val="left"/>
        <w:rPr>
          <w:rFonts w:hint="eastAsia" w:ascii="仿宋_GB2312" w:hAnsi="仿宋_GB2312" w:eastAsia="仿宋_GB2312" w:cs="仿宋_GB2312"/>
          <w:b w:val="0"/>
          <w:bCs/>
          <w:kern w:val="0"/>
          <w:sz w:val="32"/>
          <w:szCs w:val="32"/>
          <w:lang w:val="en-US" w:eastAsia="zh-CN"/>
        </w:rPr>
      </w:pPr>
    </w:p>
    <w:p w14:paraId="2384873A">
      <w:pPr>
        <w:spacing w:line="600" w:lineRule="exact"/>
        <w:jc w:val="left"/>
        <w:rPr>
          <w:rFonts w:hint="eastAsia" w:ascii="仿宋_GB2312" w:hAnsi="仿宋_GB2312" w:eastAsia="仿宋_GB2312" w:cs="仿宋_GB2312"/>
          <w:b w:val="0"/>
          <w:bCs/>
          <w:kern w:val="0"/>
          <w:sz w:val="32"/>
          <w:szCs w:val="32"/>
          <w:lang w:val="en-US" w:eastAsia="zh-CN"/>
        </w:rPr>
      </w:pPr>
    </w:p>
    <w:p w14:paraId="649C3840">
      <w:pPr>
        <w:spacing w:line="600" w:lineRule="exact"/>
        <w:jc w:val="left"/>
        <w:rPr>
          <w:rFonts w:hint="eastAsia" w:ascii="仿宋_GB2312" w:hAnsi="仿宋_GB2312" w:eastAsia="仿宋_GB2312" w:cs="仿宋_GB2312"/>
          <w:b w:val="0"/>
          <w:bCs/>
          <w:kern w:val="0"/>
          <w:sz w:val="32"/>
          <w:szCs w:val="32"/>
          <w:lang w:val="en-US" w:eastAsia="zh-CN"/>
        </w:rPr>
      </w:pPr>
    </w:p>
    <w:p w14:paraId="023ED8FE">
      <w:pPr>
        <w:spacing w:line="600" w:lineRule="exact"/>
        <w:jc w:val="left"/>
        <w:rPr>
          <w:rFonts w:hint="eastAsia" w:ascii="仿宋_GB2312" w:hAnsi="仿宋_GB2312" w:eastAsia="仿宋_GB2312" w:cs="仿宋_GB2312"/>
          <w:b w:val="0"/>
          <w:bCs/>
          <w:kern w:val="0"/>
          <w:sz w:val="32"/>
          <w:szCs w:val="32"/>
          <w:lang w:val="en-US" w:eastAsia="zh-CN"/>
        </w:rPr>
      </w:pPr>
    </w:p>
    <w:p w14:paraId="6F0E33AA">
      <w:pPr>
        <w:pStyle w:val="3"/>
        <w:rPr>
          <w:rFonts w:hint="eastAsia" w:ascii="WPS灵秀黑" w:hAnsi="WPS灵秀黑" w:eastAsia="WPS灵秀黑" w:cs="WPS灵秀黑"/>
          <w:b/>
          <w:bCs/>
          <w:color w:val="0000FF"/>
          <w:sz w:val="72"/>
          <w:szCs w:val="72"/>
          <w:highlight w:val="cyan"/>
        </w:rPr>
      </w:pPr>
    </w:p>
    <w:sectPr>
      <w:headerReference r:id="rId3" w:type="default"/>
      <w:footerReference r:id="rId4" w:type="default"/>
      <w:footerReference r:id="rId5" w:type="even"/>
      <w:pgSz w:w="11905" w:h="16837"/>
      <w:pgMar w:top="930" w:right="1406" w:bottom="930" w:left="1406"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9AB200-6637-4696-A319-ADCFDE3C51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99641DF5-45A9-4535-AF91-F217F70CBDC2}"/>
  </w:font>
  <w:font w:name="仿宋">
    <w:panose1 w:val="02010609060101010101"/>
    <w:charset w:val="86"/>
    <w:family w:val="auto"/>
    <w:pitch w:val="default"/>
    <w:sig w:usb0="800002BF" w:usb1="38CF7CFA" w:usb2="00000016" w:usb3="00000000" w:csb0="00040001" w:csb1="00000000"/>
    <w:embedRegular r:id="rId3" w:fontKey="{59F7F9F9-968A-48D3-9BCF-CB4CF30EEF3B}"/>
  </w:font>
  <w:font w:name="华文楷体">
    <w:panose1 w:val="02010600040101010101"/>
    <w:charset w:val="86"/>
    <w:family w:val="auto"/>
    <w:pitch w:val="default"/>
    <w:sig w:usb0="00000287" w:usb1="080F0000" w:usb2="00000000" w:usb3="00000000" w:csb0="0004009F" w:csb1="DFD70000"/>
    <w:embedRegular r:id="rId4" w:fontKey="{6DF620F6-E16C-42D0-BB39-2F01F47D7B6E}"/>
  </w:font>
  <w:font w:name="楷体">
    <w:panose1 w:val="02010609060101010101"/>
    <w:charset w:val="86"/>
    <w:family w:val="auto"/>
    <w:pitch w:val="default"/>
    <w:sig w:usb0="800002BF" w:usb1="38CF7CFA" w:usb2="00000016" w:usb3="00000000" w:csb0="00040001" w:csb1="00000000"/>
    <w:embedRegular r:id="rId5" w:fontKey="{8D8C462D-8904-452C-8D94-56F7B053A970}"/>
  </w:font>
  <w:font w:name="华文仿宋">
    <w:panose1 w:val="02010600040101010101"/>
    <w:charset w:val="86"/>
    <w:family w:val="auto"/>
    <w:pitch w:val="default"/>
    <w:sig w:usb0="00000287" w:usb1="080F0000" w:usb2="00000000" w:usb3="00000000" w:csb0="0004009F" w:csb1="DFD70000"/>
    <w:embedRegular r:id="rId6" w:fontKey="{272D2BCC-3B41-4D59-AE8B-2D40383EBFEC}"/>
  </w:font>
  <w:font w:name="微软雅黑">
    <w:panose1 w:val="020B0503020204020204"/>
    <w:charset w:val="86"/>
    <w:family w:val="swiss"/>
    <w:pitch w:val="default"/>
    <w:sig w:usb0="80000287" w:usb1="2ACF3C50" w:usb2="00000016" w:usb3="00000000" w:csb0="0004001F" w:csb1="00000000"/>
    <w:embedRegular r:id="rId7" w:fontKey="{819AC4E1-92E8-41A3-8901-038DB2495DCE}"/>
  </w:font>
  <w:font w:name="WPS灵秀黑">
    <w:panose1 w:val="00000000000000000000"/>
    <w:charset w:val="86"/>
    <w:family w:val="auto"/>
    <w:pitch w:val="default"/>
    <w:sig w:usb0="00000001" w:usb1="08000000" w:usb2="00000000" w:usb3="00000000" w:csb0="00040001" w:csb1="00000000"/>
    <w:embedRegular r:id="rId8" w:fontKey="{8759A4E9-970F-4B69-8A08-C54C6A1D5D4C}"/>
  </w:font>
  <w:font w:name="方正小标宋简体">
    <w:altName w:val="黑体"/>
    <w:panose1 w:val="02010601030101010101"/>
    <w:charset w:val="86"/>
    <w:family w:val="auto"/>
    <w:pitch w:val="default"/>
    <w:sig w:usb0="00000000" w:usb1="00000000" w:usb2="00000000" w:usb3="00000000" w:csb0="00040000" w:csb1="00000000"/>
    <w:embedRegular r:id="rId9" w:fontKey="{346D46CA-CDE6-40DB-9F45-0BD919C7B44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9BF9">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72818">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372818">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F33B">
    <w:pPr>
      <w:pStyle w:val="5"/>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14:paraId="7B37AF0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8AA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YmQyNjJiZjNhYTJhMTQwYWVkZDVhNTM3NmUwMWE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693733"/>
    <w:rsid w:val="026B3007"/>
    <w:rsid w:val="027A76EE"/>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F51A39"/>
    <w:rsid w:val="07155C37"/>
    <w:rsid w:val="071F2B16"/>
    <w:rsid w:val="07287718"/>
    <w:rsid w:val="074D22E3"/>
    <w:rsid w:val="077E558A"/>
    <w:rsid w:val="07D91E52"/>
    <w:rsid w:val="086C1887"/>
    <w:rsid w:val="088E7A4F"/>
    <w:rsid w:val="08BA6A96"/>
    <w:rsid w:val="095A2132"/>
    <w:rsid w:val="095E3180"/>
    <w:rsid w:val="099472E7"/>
    <w:rsid w:val="09972933"/>
    <w:rsid w:val="09D347BB"/>
    <w:rsid w:val="09F2225F"/>
    <w:rsid w:val="0A40746F"/>
    <w:rsid w:val="0A6273E5"/>
    <w:rsid w:val="0A686BF6"/>
    <w:rsid w:val="0AD96F7B"/>
    <w:rsid w:val="0AE24082"/>
    <w:rsid w:val="0B1D155E"/>
    <w:rsid w:val="0B301291"/>
    <w:rsid w:val="0BB96825"/>
    <w:rsid w:val="0BC65752"/>
    <w:rsid w:val="0C5745FC"/>
    <w:rsid w:val="0C6B6720"/>
    <w:rsid w:val="0C760F26"/>
    <w:rsid w:val="0C9E6D20"/>
    <w:rsid w:val="0CBD4DA7"/>
    <w:rsid w:val="0CC779D3"/>
    <w:rsid w:val="0CDD2D53"/>
    <w:rsid w:val="0D766D04"/>
    <w:rsid w:val="0DD74424"/>
    <w:rsid w:val="0E617DEE"/>
    <w:rsid w:val="0E72571D"/>
    <w:rsid w:val="0E8F2773"/>
    <w:rsid w:val="0F31382A"/>
    <w:rsid w:val="0FB51DA9"/>
    <w:rsid w:val="10060813"/>
    <w:rsid w:val="10196798"/>
    <w:rsid w:val="101A42BE"/>
    <w:rsid w:val="10234F21"/>
    <w:rsid w:val="1024256C"/>
    <w:rsid w:val="105B0B5E"/>
    <w:rsid w:val="107F4121"/>
    <w:rsid w:val="10C57C4D"/>
    <w:rsid w:val="112B6C40"/>
    <w:rsid w:val="11456604"/>
    <w:rsid w:val="114948E8"/>
    <w:rsid w:val="11553800"/>
    <w:rsid w:val="115630D4"/>
    <w:rsid w:val="115B4B8E"/>
    <w:rsid w:val="117C2E73"/>
    <w:rsid w:val="11AD363C"/>
    <w:rsid w:val="11E9622E"/>
    <w:rsid w:val="123478B9"/>
    <w:rsid w:val="123B762F"/>
    <w:rsid w:val="12607728"/>
    <w:rsid w:val="126104A5"/>
    <w:rsid w:val="1292638E"/>
    <w:rsid w:val="12A83E03"/>
    <w:rsid w:val="130F3E82"/>
    <w:rsid w:val="13113C31"/>
    <w:rsid w:val="13C57FC2"/>
    <w:rsid w:val="13DD7ADC"/>
    <w:rsid w:val="13E40E6B"/>
    <w:rsid w:val="13EB2DF0"/>
    <w:rsid w:val="144F5156"/>
    <w:rsid w:val="14740441"/>
    <w:rsid w:val="14922675"/>
    <w:rsid w:val="14B52807"/>
    <w:rsid w:val="15916DD0"/>
    <w:rsid w:val="15FB1362"/>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5605E9"/>
    <w:rsid w:val="1B326960"/>
    <w:rsid w:val="1B7C407F"/>
    <w:rsid w:val="1B8B0595"/>
    <w:rsid w:val="1B8B42C2"/>
    <w:rsid w:val="1BCD6688"/>
    <w:rsid w:val="1BD417C5"/>
    <w:rsid w:val="1CB05D8E"/>
    <w:rsid w:val="1CCF110C"/>
    <w:rsid w:val="1D735893"/>
    <w:rsid w:val="1D743260"/>
    <w:rsid w:val="1D9456B0"/>
    <w:rsid w:val="1DEB1048"/>
    <w:rsid w:val="1DF40EEB"/>
    <w:rsid w:val="1E0F4D36"/>
    <w:rsid w:val="1E164317"/>
    <w:rsid w:val="1E6640E9"/>
    <w:rsid w:val="1EDD568A"/>
    <w:rsid w:val="1F3D3B25"/>
    <w:rsid w:val="1FA31533"/>
    <w:rsid w:val="1FDB75C6"/>
    <w:rsid w:val="206A094A"/>
    <w:rsid w:val="20F87D04"/>
    <w:rsid w:val="210C37AF"/>
    <w:rsid w:val="211A411E"/>
    <w:rsid w:val="21260D15"/>
    <w:rsid w:val="21274A8D"/>
    <w:rsid w:val="213827F6"/>
    <w:rsid w:val="215C64E4"/>
    <w:rsid w:val="21771570"/>
    <w:rsid w:val="21796BC2"/>
    <w:rsid w:val="2198776E"/>
    <w:rsid w:val="21B53E47"/>
    <w:rsid w:val="21B552CB"/>
    <w:rsid w:val="220527FD"/>
    <w:rsid w:val="22617B2B"/>
    <w:rsid w:val="22BE0E76"/>
    <w:rsid w:val="22CF718A"/>
    <w:rsid w:val="22DE4C55"/>
    <w:rsid w:val="23250B58"/>
    <w:rsid w:val="23A83C63"/>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514612"/>
    <w:rsid w:val="27873B8F"/>
    <w:rsid w:val="27E9484A"/>
    <w:rsid w:val="281D135F"/>
    <w:rsid w:val="28377363"/>
    <w:rsid w:val="28BF4190"/>
    <w:rsid w:val="28C4406E"/>
    <w:rsid w:val="28C878C3"/>
    <w:rsid w:val="28D842F5"/>
    <w:rsid w:val="29037B8D"/>
    <w:rsid w:val="29D347EE"/>
    <w:rsid w:val="2A5341FD"/>
    <w:rsid w:val="2A706BB3"/>
    <w:rsid w:val="2A7C719C"/>
    <w:rsid w:val="2A974647"/>
    <w:rsid w:val="2B5446D0"/>
    <w:rsid w:val="2B563FA5"/>
    <w:rsid w:val="2B591CE7"/>
    <w:rsid w:val="2B7679E1"/>
    <w:rsid w:val="2B7E52A9"/>
    <w:rsid w:val="2B926A7E"/>
    <w:rsid w:val="2B942D1F"/>
    <w:rsid w:val="2BC2163A"/>
    <w:rsid w:val="2BFF454B"/>
    <w:rsid w:val="2C1125C1"/>
    <w:rsid w:val="2C1E4C24"/>
    <w:rsid w:val="2C2B5641"/>
    <w:rsid w:val="2C8F2F53"/>
    <w:rsid w:val="2CAE79CE"/>
    <w:rsid w:val="2CB6067E"/>
    <w:rsid w:val="2CC66F08"/>
    <w:rsid w:val="2CCA094F"/>
    <w:rsid w:val="2D610085"/>
    <w:rsid w:val="2E1B3283"/>
    <w:rsid w:val="2E2B5E45"/>
    <w:rsid w:val="2E515D05"/>
    <w:rsid w:val="2F283EAA"/>
    <w:rsid w:val="2F9C21A2"/>
    <w:rsid w:val="2FC02FA6"/>
    <w:rsid w:val="2FD22068"/>
    <w:rsid w:val="2FDC6A42"/>
    <w:rsid w:val="2FE57F9B"/>
    <w:rsid w:val="2FF4311D"/>
    <w:rsid w:val="2FF745A3"/>
    <w:rsid w:val="304D7ABC"/>
    <w:rsid w:val="30901D07"/>
    <w:rsid w:val="30B8300C"/>
    <w:rsid w:val="30F878AC"/>
    <w:rsid w:val="315F16D9"/>
    <w:rsid w:val="316450AF"/>
    <w:rsid w:val="317433D6"/>
    <w:rsid w:val="318A0E4C"/>
    <w:rsid w:val="319A0963"/>
    <w:rsid w:val="31BE0AF5"/>
    <w:rsid w:val="31C37EBA"/>
    <w:rsid w:val="31D2634F"/>
    <w:rsid w:val="31D40319"/>
    <w:rsid w:val="31E542D4"/>
    <w:rsid w:val="31F60D54"/>
    <w:rsid w:val="31FE7144"/>
    <w:rsid w:val="325B4596"/>
    <w:rsid w:val="32601BAD"/>
    <w:rsid w:val="3296737C"/>
    <w:rsid w:val="32B55A55"/>
    <w:rsid w:val="333C483E"/>
    <w:rsid w:val="335115F0"/>
    <w:rsid w:val="339A4C4A"/>
    <w:rsid w:val="33A04957"/>
    <w:rsid w:val="33BE302F"/>
    <w:rsid w:val="33D939C5"/>
    <w:rsid w:val="342D3AAD"/>
    <w:rsid w:val="34B8182C"/>
    <w:rsid w:val="3546366F"/>
    <w:rsid w:val="35492DCC"/>
    <w:rsid w:val="357070B5"/>
    <w:rsid w:val="35867B7C"/>
    <w:rsid w:val="372907BF"/>
    <w:rsid w:val="372B5366"/>
    <w:rsid w:val="376A3C4C"/>
    <w:rsid w:val="376E0870"/>
    <w:rsid w:val="377D6D5D"/>
    <w:rsid w:val="37CD55EE"/>
    <w:rsid w:val="37D270A9"/>
    <w:rsid w:val="38761300"/>
    <w:rsid w:val="38D330D8"/>
    <w:rsid w:val="38E452E6"/>
    <w:rsid w:val="38F90665"/>
    <w:rsid w:val="38FC7F68"/>
    <w:rsid w:val="391E32EE"/>
    <w:rsid w:val="39C175C6"/>
    <w:rsid w:val="3A06128C"/>
    <w:rsid w:val="3A754CC9"/>
    <w:rsid w:val="3A771FCA"/>
    <w:rsid w:val="3B082DE1"/>
    <w:rsid w:val="3B4A51A8"/>
    <w:rsid w:val="3B563B4D"/>
    <w:rsid w:val="3BDC6748"/>
    <w:rsid w:val="3BEA370A"/>
    <w:rsid w:val="3C6B3628"/>
    <w:rsid w:val="3C9F32D2"/>
    <w:rsid w:val="3CDC4526"/>
    <w:rsid w:val="3DCE3E6E"/>
    <w:rsid w:val="3DFE0BF8"/>
    <w:rsid w:val="3E030FFE"/>
    <w:rsid w:val="3E3A69A0"/>
    <w:rsid w:val="3E66171A"/>
    <w:rsid w:val="3EAD617A"/>
    <w:rsid w:val="3ECD3124"/>
    <w:rsid w:val="3ED43706"/>
    <w:rsid w:val="3EE61364"/>
    <w:rsid w:val="3EF115E1"/>
    <w:rsid w:val="3EF142B8"/>
    <w:rsid w:val="3F3E3276"/>
    <w:rsid w:val="3F5017C4"/>
    <w:rsid w:val="3F520ACF"/>
    <w:rsid w:val="3F830C89"/>
    <w:rsid w:val="3F966C0E"/>
    <w:rsid w:val="3F9A003D"/>
    <w:rsid w:val="3FEA0343"/>
    <w:rsid w:val="3FFE7684"/>
    <w:rsid w:val="40283F65"/>
    <w:rsid w:val="40363F4D"/>
    <w:rsid w:val="4044666A"/>
    <w:rsid w:val="40550877"/>
    <w:rsid w:val="409A272E"/>
    <w:rsid w:val="413B181B"/>
    <w:rsid w:val="418307B3"/>
    <w:rsid w:val="41A25D3E"/>
    <w:rsid w:val="41CC2DBB"/>
    <w:rsid w:val="42A25018"/>
    <w:rsid w:val="42E80618"/>
    <w:rsid w:val="42E867DB"/>
    <w:rsid w:val="434A21E9"/>
    <w:rsid w:val="435B61A4"/>
    <w:rsid w:val="43925E19"/>
    <w:rsid w:val="44A818BD"/>
    <w:rsid w:val="46222FA9"/>
    <w:rsid w:val="46A2058E"/>
    <w:rsid w:val="46D52711"/>
    <w:rsid w:val="47215957"/>
    <w:rsid w:val="474927B8"/>
    <w:rsid w:val="475F4422"/>
    <w:rsid w:val="47743CD8"/>
    <w:rsid w:val="4786135E"/>
    <w:rsid w:val="47A50D35"/>
    <w:rsid w:val="47F73FF3"/>
    <w:rsid w:val="4874505C"/>
    <w:rsid w:val="488F069E"/>
    <w:rsid w:val="48A56114"/>
    <w:rsid w:val="49136AFE"/>
    <w:rsid w:val="49201968"/>
    <w:rsid w:val="49DB003F"/>
    <w:rsid w:val="49F04DE4"/>
    <w:rsid w:val="49F977A4"/>
    <w:rsid w:val="4A0B1FA6"/>
    <w:rsid w:val="4ADB406F"/>
    <w:rsid w:val="4B2F1898"/>
    <w:rsid w:val="4B6814D6"/>
    <w:rsid w:val="4B75001F"/>
    <w:rsid w:val="4BB905DA"/>
    <w:rsid w:val="4BC468B1"/>
    <w:rsid w:val="4C9E5354"/>
    <w:rsid w:val="4DC36588"/>
    <w:rsid w:val="4DE4323A"/>
    <w:rsid w:val="4E0B709E"/>
    <w:rsid w:val="4E2A5D47"/>
    <w:rsid w:val="4E6C5236"/>
    <w:rsid w:val="4E7E368F"/>
    <w:rsid w:val="4EDF237F"/>
    <w:rsid w:val="4F3B1723"/>
    <w:rsid w:val="4F702FD7"/>
    <w:rsid w:val="4F7A3E56"/>
    <w:rsid w:val="4F8627FB"/>
    <w:rsid w:val="4FA462B3"/>
    <w:rsid w:val="4FB37368"/>
    <w:rsid w:val="4FE6773D"/>
    <w:rsid w:val="50192406"/>
    <w:rsid w:val="5039786D"/>
    <w:rsid w:val="506348EA"/>
    <w:rsid w:val="507028FD"/>
    <w:rsid w:val="507C62DD"/>
    <w:rsid w:val="508D1967"/>
    <w:rsid w:val="50B20CEB"/>
    <w:rsid w:val="50E517A3"/>
    <w:rsid w:val="50F42CE6"/>
    <w:rsid w:val="5167040A"/>
    <w:rsid w:val="521E31BF"/>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211837"/>
    <w:rsid w:val="58C76ABA"/>
    <w:rsid w:val="58E10AA2"/>
    <w:rsid w:val="58E4630B"/>
    <w:rsid w:val="58FD5E96"/>
    <w:rsid w:val="592B7F6F"/>
    <w:rsid w:val="59941FB8"/>
    <w:rsid w:val="59CA59DA"/>
    <w:rsid w:val="59E7033A"/>
    <w:rsid w:val="5A026F22"/>
    <w:rsid w:val="5A696FA1"/>
    <w:rsid w:val="5AC02939"/>
    <w:rsid w:val="5B523ED9"/>
    <w:rsid w:val="5B955B74"/>
    <w:rsid w:val="5BFE196B"/>
    <w:rsid w:val="5C2A09B2"/>
    <w:rsid w:val="5C3F445D"/>
    <w:rsid w:val="5C8400C2"/>
    <w:rsid w:val="5C910A31"/>
    <w:rsid w:val="5C9347A9"/>
    <w:rsid w:val="5D415FB3"/>
    <w:rsid w:val="5D6C7344"/>
    <w:rsid w:val="5E007C1C"/>
    <w:rsid w:val="5E5E5BE2"/>
    <w:rsid w:val="5E6301AB"/>
    <w:rsid w:val="5EA551F5"/>
    <w:rsid w:val="5F41673E"/>
    <w:rsid w:val="5F4D50E3"/>
    <w:rsid w:val="5F773F0E"/>
    <w:rsid w:val="5FB70BF2"/>
    <w:rsid w:val="5FBA3DFB"/>
    <w:rsid w:val="5FF42D06"/>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4D23995"/>
    <w:rsid w:val="6502071E"/>
    <w:rsid w:val="650E0E71"/>
    <w:rsid w:val="65491EA9"/>
    <w:rsid w:val="65A417D5"/>
    <w:rsid w:val="65B57F02"/>
    <w:rsid w:val="65B75B1D"/>
    <w:rsid w:val="65BA2DA7"/>
    <w:rsid w:val="65D06126"/>
    <w:rsid w:val="65ED7F30"/>
    <w:rsid w:val="666A3541"/>
    <w:rsid w:val="670B01C0"/>
    <w:rsid w:val="67614EF2"/>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296590"/>
    <w:rsid w:val="6C3311BD"/>
    <w:rsid w:val="6C3C39CA"/>
    <w:rsid w:val="6C4B4758"/>
    <w:rsid w:val="6C586E75"/>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E81F1F"/>
    <w:rsid w:val="6FF005A6"/>
    <w:rsid w:val="70C60851"/>
    <w:rsid w:val="70C64CF5"/>
    <w:rsid w:val="711F61B4"/>
    <w:rsid w:val="714F6A99"/>
    <w:rsid w:val="719B05DA"/>
    <w:rsid w:val="71DB032D"/>
    <w:rsid w:val="71F0075E"/>
    <w:rsid w:val="723637B5"/>
    <w:rsid w:val="724265FE"/>
    <w:rsid w:val="72D970BE"/>
    <w:rsid w:val="73301622"/>
    <w:rsid w:val="7343262D"/>
    <w:rsid w:val="738B5D82"/>
    <w:rsid w:val="743957DE"/>
    <w:rsid w:val="744523C5"/>
    <w:rsid w:val="745037BC"/>
    <w:rsid w:val="7460720F"/>
    <w:rsid w:val="7463506E"/>
    <w:rsid w:val="74A40EAA"/>
    <w:rsid w:val="751853F4"/>
    <w:rsid w:val="767C2482"/>
    <w:rsid w:val="77F71C38"/>
    <w:rsid w:val="77FA34D6"/>
    <w:rsid w:val="78016613"/>
    <w:rsid w:val="78270946"/>
    <w:rsid w:val="78591FAB"/>
    <w:rsid w:val="786B1CDE"/>
    <w:rsid w:val="78853E63"/>
    <w:rsid w:val="78B27C05"/>
    <w:rsid w:val="78D51699"/>
    <w:rsid w:val="78FD502C"/>
    <w:rsid w:val="790A5798"/>
    <w:rsid w:val="79367029"/>
    <w:rsid w:val="79A96F62"/>
    <w:rsid w:val="79C42DA7"/>
    <w:rsid w:val="79DC699D"/>
    <w:rsid w:val="7A031D57"/>
    <w:rsid w:val="7A3525A4"/>
    <w:rsid w:val="7A3613CA"/>
    <w:rsid w:val="7A392094"/>
    <w:rsid w:val="7AF4420D"/>
    <w:rsid w:val="7AFE508C"/>
    <w:rsid w:val="7B09415C"/>
    <w:rsid w:val="7B3D3D71"/>
    <w:rsid w:val="7B5573A2"/>
    <w:rsid w:val="7B9B10C1"/>
    <w:rsid w:val="7D124E1E"/>
    <w:rsid w:val="7D2A54B9"/>
    <w:rsid w:val="7D817E5A"/>
    <w:rsid w:val="7D871368"/>
    <w:rsid w:val="7D887789"/>
    <w:rsid w:val="7D8C697F"/>
    <w:rsid w:val="7D9B4E14"/>
    <w:rsid w:val="7DBA7990"/>
    <w:rsid w:val="7E647EDA"/>
    <w:rsid w:val="7E745D91"/>
    <w:rsid w:val="7E747B3F"/>
    <w:rsid w:val="7E7E09BD"/>
    <w:rsid w:val="7EAF501B"/>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after="200" w:line="276" w:lineRule="auto"/>
    </w:pPr>
    <w:rPr>
      <w:rFonts w:ascii="Arial" w:hAnsi="Arial" w:eastAsia="宋体"/>
      <w:sz w:val="24"/>
      <w:szCs w:val="24"/>
    </w:rPr>
  </w:style>
  <w:style w:type="paragraph" w:styleId="4">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rgbClr val="FFFFFF"/>
        </a:fillRef>
        <a:effectRef idx="0">
          <a:srgbClr val="FFFFFF"/>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5229</Words>
  <Characters>5542</Characters>
  <Lines>0</Lines>
  <Paragraphs>0</Paragraphs>
  <TotalTime>12</TotalTime>
  <ScaleCrop>false</ScaleCrop>
  <LinksUpToDate>false</LinksUpToDate>
  <CharactersWithSpaces>5687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肖之健</cp:lastModifiedBy>
  <cp:lastPrinted>2024-05-22T05:14:00Z</cp:lastPrinted>
  <dcterms:modified xsi:type="dcterms:W3CDTF">2025-10-13T03:29:52Z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2F9ED8846E644593BA1E05D23C359C1D_13</vt:lpwstr>
  </property>
  <property fmtid="{D5CDD505-2E9C-101B-9397-08002B2CF9AE}" pid="4" name="KSOTemplateDocerSaveRecord">
    <vt:lpwstr>eyJoZGlkIjoiYWU4M2I5MjBkNWJiMDE2ZGEzMzkxNzgyYTg3Y2Q4NmIiLCJ1c2VySWQiOiI0MTEwOTUwNjIifQ==</vt:lpwstr>
  </property>
</Properties>
</file>