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b w:val="0"/>
          <w:bCs/>
          <w:kern w:val="0"/>
          <w:sz w:val="44"/>
          <w:szCs w:val="44"/>
        </w:rPr>
      </w:pPr>
      <w:bookmarkStart w:id="0" w:name="OLE_LINK1"/>
      <w:r>
        <w:rPr>
          <w:rFonts w:hint="eastAsia" w:ascii="方正大标宋简体" w:hAnsi="方正大标宋简体" w:eastAsia="方正大标宋简体" w:cs="方正大标宋简体"/>
          <w:b w:val="0"/>
          <w:bCs/>
          <w:kern w:val="0"/>
          <w:sz w:val="44"/>
          <w:szCs w:val="44"/>
          <w:lang w:eastAsia="zh-CN"/>
        </w:rPr>
        <w:t>隆回县人大机关</w:t>
      </w:r>
      <w:r>
        <w:rPr>
          <w:rFonts w:hint="eastAsia" w:ascii="方正大标宋简体" w:hAnsi="方正大标宋简体" w:eastAsia="方正大标宋简体" w:cs="方正大标宋简体"/>
          <w:b w:val="0"/>
          <w:bCs/>
          <w:kern w:val="0"/>
          <w:sz w:val="44"/>
          <w:szCs w:val="44"/>
        </w:rPr>
        <w:t>部门整体支出</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绩效自评报告</w:t>
      </w:r>
    </w:p>
    <w:bookmarkEnd w:id="0"/>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部门职责概述</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隆回县人民代表大会常务委员会办公室是隆回县人民代表大会常务委员会的办事机构，其主要职责是：</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负责做好县人民代表大会及其常务委员会会议、主任会议及工作人员会议的会前准备、会期服务和会后材料整理等工作。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配合各委共同做好人大代表视察、调查、执法检查、民主评议活动的准备和服务工作。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负责做好县人大及其常委会机关文件、公函、工作计划、总结、报告、公报、简报及其他各种文字材料的起草、文印工作。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负责县人大及其常委会机关值班、宣传、文秘、档案、收发、保密、机要、综治、后勤保障等工作。承担机关和所属单位机构编制、干部人事、教育培训及队伍建设等工作。承担机关离退休人员管理服务工作。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负责县人大及其常委会机关固定资产和经费的管理使用及财务管理、公务接待等工作。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负责办理县人大常委会、县人大常委会主任会议和县人大常委会领导交办的其他事项。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2.部门组织机构及人员情况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县人大机关</w:t>
      </w:r>
      <w:r>
        <w:rPr>
          <w:rFonts w:hint="eastAsia" w:ascii="仿宋_GB2312" w:hAnsi="仿宋_GB2312" w:eastAsia="仿宋_GB2312" w:cs="仿宋_GB2312"/>
          <w:sz w:val="32"/>
          <w:szCs w:val="32"/>
        </w:rPr>
        <w:t>单位内设机构包括：</w:t>
      </w:r>
      <w:r>
        <w:rPr>
          <w:rFonts w:hint="eastAsia" w:ascii="仿宋_GB2312" w:hAnsi="仿宋_GB2312" w:eastAsia="仿宋_GB2312" w:cs="仿宋_GB2312"/>
          <w:sz w:val="32"/>
          <w:szCs w:val="32"/>
          <w:lang w:eastAsia="zh-CN"/>
        </w:rPr>
        <w:t>办公室、选举任免联络工作委员会、教育科学文化卫生委员会、社会建设委员会、监察和司法委员会、环境与资源保护委员会、财政经济委员会（预算工作委员会）、农业与农村委员会。</w:t>
      </w:r>
    </w:p>
    <w:p>
      <w:pPr>
        <w:keepNext w:val="0"/>
        <w:keepLines w:val="0"/>
        <w:pageBreakBefore w:val="0"/>
        <w:widowControl/>
        <w:suppressLineNumbers w:val="0"/>
        <w:kinsoku/>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办公室设1个非独立核算单位即隆回县人大信息中心。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县人大机关单位核定编制数45人，2023年末实有在职人员53人，退休人员</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lang w:val="en-US" w:eastAsia="zh-CN"/>
        </w:rPr>
        <w:t>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3.2023年重点工作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强化理论武装。</w:t>
      </w:r>
      <w:r>
        <w:rPr>
          <w:rFonts w:hint="eastAsia" w:ascii="仿宋_GB2312" w:hAnsi="仿宋_GB2312" w:eastAsia="仿宋_GB2312" w:cs="仿宋_GB2312"/>
          <w:color w:val="auto"/>
          <w:sz w:val="32"/>
          <w:szCs w:val="32"/>
          <w:lang w:val="en-US" w:eastAsia="zh-CN"/>
        </w:rPr>
        <w:t>始终把习近平新时代中国特色社会主义思想作为人大工作的根本遵循，始终坚持把党的政治建设摆在首位，</w:t>
      </w:r>
      <w:r>
        <w:rPr>
          <w:rFonts w:hint="eastAsia" w:ascii="仿宋_GB2312" w:hAnsi="仿宋_GB2312" w:eastAsia="仿宋_GB2312" w:cs="仿宋_GB2312"/>
          <w:color w:val="auto"/>
          <w:sz w:val="32"/>
          <w:szCs w:val="32"/>
          <w:lang w:eastAsia="zh-CN"/>
        </w:rPr>
        <w:t>始终</w:t>
      </w:r>
      <w:r>
        <w:rPr>
          <w:rFonts w:hint="eastAsia" w:ascii="仿宋_GB2312" w:hAnsi="仿宋_GB2312" w:eastAsia="仿宋_GB2312" w:cs="仿宋_GB2312"/>
          <w:color w:val="auto"/>
          <w:sz w:val="32"/>
          <w:szCs w:val="32"/>
          <w:lang w:val="en-US" w:eastAsia="zh-CN"/>
        </w:rPr>
        <w:t>坚持党对人大工作的全面领导，确保县人大常委会、县人大机关全体干部及全体人大代表坚决捍卫“两个确立”、坚决做到“两个维护”，确保人大工作始终沿着正确方向前进。</w:t>
      </w:r>
      <w:r>
        <w:rPr>
          <w:rFonts w:hint="eastAsia" w:ascii="仿宋_GB2312" w:hAnsi="仿宋_GB2312" w:eastAsia="仿宋_GB2312" w:cs="仿宋_GB2312"/>
          <w:sz w:val="32"/>
          <w:szCs w:val="32"/>
          <w:lang w:val="en-US" w:eastAsia="zh-CN"/>
        </w:rPr>
        <w:t>县人大常委会理论学习中心组组织了12次专题学习，不断用马克思主义中国化的最新理论成果武装头脑，谋划工作，服务全局。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sz w:val="32"/>
          <w:szCs w:val="32"/>
          <w:lang w:val="en-US" w:eastAsia="zh-CN"/>
        </w:rPr>
        <w:t>强化监督实效。</w:t>
      </w:r>
      <w:r>
        <w:rPr>
          <w:rFonts w:hint="eastAsia" w:ascii="仿宋_GB2312" w:hAnsi="仿宋_GB2312" w:eastAsia="仿宋_GB2312" w:cs="仿宋_GB2312"/>
          <w:color w:val="auto"/>
          <w:sz w:val="32"/>
          <w:szCs w:val="32"/>
          <w:lang w:val="en-US" w:eastAsia="zh-CN"/>
        </w:rPr>
        <w:t>县人大常委会聚焦民生问题，强化监督措施。听取和审议了县人民政府关于县十七届人大三次会议代表建议批评意见办理工作情况汇报。对职能部门开展工作评议并提出审议意见，督促整改落实。</w:t>
      </w:r>
    </w:p>
    <w:p>
      <w:pPr>
        <w:pStyle w:val="13"/>
        <w:keepNext w:val="0"/>
        <w:keepLines w:val="0"/>
        <w:pageBreakBefore w:val="0"/>
        <w:numPr>
          <w:ilvl w:val="0"/>
          <w:numId w:val="2"/>
        </w:numPr>
        <w:kinsoku/>
        <w:topLinePunct w:val="0"/>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部门整体支出情况</w:t>
      </w:r>
    </w:p>
    <w:p>
      <w:pPr>
        <w:pStyle w:val="13"/>
        <w:keepNext w:val="0"/>
        <w:keepLines w:val="0"/>
        <w:pageBreakBefore w:val="0"/>
        <w:numPr>
          <w:ilvl w:val="0"/>
          <w:numId w:val="0"/>
        </w:numPr>
        <w:kinsoku/>
        <w:topLinePunct w:val="0"/>
        <w:bidi w:val="0"/>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本年支出合计1809万元，其中：基本支出1809万元，占100%。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2023年本单位基本支出  万元，是指为保障单位机构正常运转、完成日常工作任务而发生的各项支出，包括用于基本工资、津贴补贴等人员经费以及办公费、印刷费、水电费及办公设备购置等日常公用经费。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县级专项资金</w:t>
      </w:r>
      <w:r>
        <w:rPr>
          <w:rFonts w:hint="eastAsia" w:ascii="仿宋_GB2312" w:hAnsi="仿宋_GB2312" w:eastAsia="仿宋_GB2312" w:cs="仿宋_GB2312"/>
          <w:sz w:val="32"/>
          <w:szCs w:val="32"/>
        </w:rPr>
        <w:t>情况</w:t>
      </w:r>
    </w:p>
    <w:p>
      <w:pPr>
        <w:pStyle w:val="2"/>
        <w:numPr>
          <w:ilvl w:val="0"/>
          <w:numId w:val="0"/>
        </w:num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2023年本单位无县级专项资金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2023年“三公”经费决算数为4.72万元。其中：因公出国（境）费0万元，因公出国（境）0批次0人次。公务用车购置及运行费决算数为0万元（公务用车购置费0万元，公务用车购置0台。公务用车运行费0万元，公务车辆保有0辆），公务接待费决算数为4.72万元。</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numPr>
          <w:ilvl w:val="0"/>
          <w:numId w:val="0"/>
        </w:numPr>
        <w:ind w:firstLine="64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本单位无政府性基金预算支出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pStyle w:val="2"/>
        <w:numPr>
          <w:ilvl w:val="0"/>
          <w:numId w:val="0"/>
        </w:numPr>
        <w:ind w:leftChars="200"/>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本单位无国有资本经营预算支出</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numPr>
          <w:ilvl w:val="0"/>
          <w:numId w:val="0"/>
        </w:numPr>
        <w:ind w:leftChars="200"/>
        <w:rPr>
          <w:rFonts w:hint="default"/>
          <w:lang w:val="en-US" w:eastAsia="zh-CN"/>
        </w:rPr>
      </w:pPr>
      <w:r>
        <w:rPr>
          <w:rFonts w:hint="eastAsia"/>
          <w:lang w:val="en-US" w:eastAsia="zh-CN"/>
        </w:rPr>
        <w:t xml:space="preserve"> </w:t>
      </w:r>
      <w:r>
        <w:rPr>
          <w:rFonts w:hint="eastAsia"/>
          <w:sz w:val="22"/>
          <w:szCs w:val="28"/>
          <w:lang w:val="en-US" w:eastAsia="zh-CN"/>
        </w:rPr>
        <w:t xml:space="preserve"> </w:t>
      </w:r>
      <w:r>
        <w:rPr>
          <w:rFonts w:hint="eastAsia" w:ascii="仿宋_GB2312" w:hAnsi="仿宋_GB2312" w:eastAsia="仿宋_GB2312" w:cs="仿宋_GB2312"/>
          <w:sz w:val="32"/>
          <w:szCs w:val="32"/>
          <w:lang w:val="en-US" w:eastAsia="zh-CN"/>
        </w:rPr>
        <w:t>本单位无社会保险基金预算支出</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强化理论武装。</w:t>
      </w:r>
      <w:r>
        <w:rPr>
          <w:rFonts w:hint="eastAsia" w:ascii="仿宋_GB2312" w:hAnsi="仿宋_GB2312" w:eastAsia="仿宋_GB2312" w:cs="仿宋_GB2312"/>
          <w:color w:val="auto"/>
          <w:sz w:val="32"/>
          <w:szCs w:val="32"/>
          <w:lang w:val="en-US" w:eastAsia="zh-CN"/>
        </w:rPr>
        <w:t>始终把习近平新时代中国特色社会主义思想作为人大工作的根本遵循，始终坚持把党的政治建设摆在首位，</w:t>
      </w:r>
      <w:r>
        <w:rPr>
          <w:rFonts w:hint="eastAsia" w:ascii="仿宋_GB2312" w:hAnsi="仿宋_GB2312" w:eastAsia="仿宋_GB2312" w:cs="仿宋_GB2312"/>
          <w:color w:val="auto"/>
          <w:sz w:val="32"/>
          <w:szCs w:val="32"/>
          <w:lang w:eastAsia="zh-CN"/>
        </w:rPr>
        <w:t>始终</w:t>
      </w:r>
      <w:r>
        <w:rPr>
          <w:rFonts w:hint="eastAsia" w:ascii="仿宋_GB2312" w:hAnsi="仿宋_GB2312" w:eastAsia="仿宋_GB2312" w:cs="仿宋_GB2312"/>
          <w:color w:val="auto"/>
          <w:sz w:val="32"/>
          <w:szCs w:val="32"/>
          <w:lang w:val="en-US" w:eastAsia="zh-CN"/>
        </w:rPr>
        <w:t>坚持党对人大工作的全面领导，确保县人大常委会、县人大机关全体干部及全体人大代表坚决捍卫“两个确立”、坚决做到“两个维护”，确保人大工作始终沿着正确方向前进。</w:t>
      </w:r>
      <w:r>
        <w:rPr>
          <w:rFonts w:hint="eastAsia" w:ascii="仿宋_GB2312" w:hAnsi="仿宋_GB2312" w:eastAsia="仿宋_GB2312" w:cs="仿宋_GB2312"/>
          <w:sz w:val="32"/>
          <w:szCs w:val="32"/>
          <w:lang w:val="en-US" w:eastAsia="zh-CN"/>
        </w:rPr>
        <w:t>县人大常委会理论学习中心组组织了12次专题学习，不断用马克思主义中国化的最新理论成果武装头脑，谋划工作，服务全局。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sz w:val="32"/>
          <w:szCs w:val="32"/>
          <w:lang w:val="en-US" w:eastAsia="zh-CN"/>
        </w:rPr>
        <w:t>强化监督实效。</w:t>
      </w:r>
      <w:r>
        <w:rPr>
          <w:rFonts w:hint="eastAsia" w:ascii="仿宋_GB2312" w:hAnsi="仿宋_GB2312" w:eastAsia="仿宋_GB2312" w:cs="仿宋_GB2312"/>
          <w:color w:val="auto"/>
          <w:sz w:val="32"/>
          <w:szCs w:val="32"/>
          <w:lang w:val="en-US" w:eastAsia="zh-CN"/>
        </w:rPr>
        <w:t>县人大常委会聚焦民生问题，强化监督措施。听取和审议了县人民政府关于县十七届人大三次会议代表建议批评意见办理工作情况汇报。对职能部门开展工作评议并提出审议意见，督促整改落实。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kern w:val="2"/>
          <w:sz w:val="32"/>
          <w:szCs w:val="32"/>
          <w:lang w:val="en-US" w:eastAsia="zh-CN" w:bidi="ar-SA"/>
        </w:rPr>
        <w:t>强化代表履职。</w:t>
      </w:r>
      <w:r>
        <w:rPr>
          <w:rFonts w:hint="eastAsia" w:ascii="仿宋_GB2312" w:hAnsi="仿宋_GB2312" w:eastAsia="仿宋_GB2312" w:cs="仿宋_GB2312"/>
          <w:color w:val="auto"/>
          <w:sz w:val="32"/>
          <w:szCs w:val="32"/>
          <w:lang w:val="en-US" w:eastAsia="zh-CN"/>
        </w:rPr>
        <w:t>修订完善人大代表小组活动暂行办法、代表建议批评和意见处理、人大代表活动室规范化建设等6项制度。组织各级人大代表履职培训，提高代表履职能力。组织人大代表集中视察、调研等活动，聚焦民生问题，推动全县发展。</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内控制度需进一步完善，随着资金管理改革的进一步推进，我单位内部机构进行了相应的优化，建立健全了财务管理制度、固定资产管理制度，但仍需进一步强化财务约束监督体制。</w:t>
      </w:r>
    </w:p>
    <w:p>
      <w:pPr>
        <w:rPr>
          <w:rFonts w:hint="default" w:eastAsia="宋体"/>
          <w:lang w:val="en-US" w:eastAsia="zh-CN"/>
        </w:rPr>
      </w:pPr>
    </w:p>
    <w:p>
      <w:pPr>
        <w:pStyle w:val="6"/>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textAlignment w:val="auto"/>
        <w:rPr>
          <w:rFonts w:hint="default"/>
          <w:lang w:val="en-US"/>
        </w:rPr>
      </w:pPr>
      <w:r>
        <w:rPr>
          <w:rFonts w:hint="eastAsia" w:ascii="仿宋_GB2312" w:hAnsi="仿宋_GB2312" w:eastAsia="仿宋_GB2312" w:cs="仿宋_GB2312"/>
          <w:color w:val="auto"/>
          <w:kern w:val="2"/>
          <w:sz w:val="32"/>
          <w:szCs w:val="32"/>
          <w:lang w:val="en-US" w:eastAsia="zh-CN" w:bidi="ar-SA"/>
        </w:rPr>
        <w:t>科学合理编制预算，严格执行预算。加强预算支出的审核、跟踪及</w:t>
      </w:r>
      <w:r>
        <w:rPr>
          <w:rFonts w:hint="eastAsia" w:ascii="仿宋_GB2312" w:hAnsi="仿宋_GB2312" w:eastAsia="仿宋_GB2312" w:cs="仿宋_GB2312"/>
          <w:sz w:val="32"/>
          <w:szCs w:val="32"/>
          <w:lang w:val="en-US" w:eastAsia="zh-CN"/>
        </w:rPr>
        <w:t>预算执行情况分析，提高预算编制严谨性和可控性。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w:t>
      </w:r>
      <w:r>
        <w:rPr>
          <w:rFonts w:hint="eastAsia" w:ascii="仿宋_GB2312" w:hAnsi="仿宋_GB2312" w:eastAsia="仿宋_GB2312" w:cs="仿宋_GB2312"/>
          <w:color w:val="auto"/>
          <w:kern w:val="2"/>
          <w:sz w:val="32"/>
          <w:szCs w:val="32"/>
          <w:lang w:val="en-US" w:eastAsia="zh-CN" w:bidi="ar-SA"/>
        </w:rPr>
        <w:t>包括</w:t>
      </w:r>
      <w:r>
        <w:rPr>
          <w:rFonts w:hint="eastAsia" w:ascii="仿宋_GB2312" w:hAnsi="仿宋_GB2312" w:eastAsia="仿宋_GB2312" w:cs="仿宋_GB2312"/>
          <w:sz w:val="32"/>
          <w:szCs w:val="32"/>
          <w:lang w:val="en-US" w:eastAsia="zh-CN"/>
        </w:rPr>
        <w:t>以下附件：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sz w:val="24"/>
                <w:szCs w:val="24"/>
                <w:lang w:val="en-US" w:eastAsia="zh-CN"/>
              </w:rPr>
              <w:t>隆回县人大常委会办公室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45</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53</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6"/>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1.25</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665.56</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134.92</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743.86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49.27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22</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64.04</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143.07</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6.64</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456.54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68.44</w:t>
            </w:r>
          </w:p>
        </w:tc>
        <w:tc>
          <w:tcPr>
            <w:tcW w:w="2099"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556.84</w:t>
            </w:r>
          </w:p>
        </w:tc>
        <w:tc>
          <w:tcPr>
            <w:tcW w:w="2099" w:type="dxa"/>
            <w:gridSpan w:val="2"/>
            <w:vAlign w:val="center"/>
          </w:tcPr>
          <w:p>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2"/>
              <w:jc w:val="center"/>
              <w:rPr>
                <w:rFonts w:hint="eastAsia" w:ascii="仿宋" w:hAnsi="仿宋" w:eastAsia="仿宋" w:cs="仿宋"/>
                <w:b w:val="0"/>
                <w:bCs w:val="0"/>
                <w:kern w:val="0"/>
                <w:sz w:val="18"/>
                <w:szCs w:val="18"/>
                <w:vertAlign w:val="baseline"/>
                <w:lang w:eastAsia="zh-CN"/>
              </w:rPr>
            </w:pPr>
          </w:p>
        </w:tc>
      </w:tr>
    </w:tbl>
    <w:p>
      <w:pPr>
        <w:pStyle w:val="2"/>
        <w:ind w:left="0" w:leftChars="0" w:firstLine="0" w:firstLineChars="0"/>
        <w:jc w:val="both"/>
        <w:rPr>
          <w:rFonts w:hint="eastAsia" w:ascii="仿宋" w:hAnsi="仿宋" w:eastAsia="仿宋" w:cs="仿宋"/>
          <w:b w:val="0"/>
          <w:bCs w:val="0"/>
          <w:kern w:val="0"/>
          <w:sz w:val="30"/>
          <w:szCs w:val="30"/>
          <w:lang w:eastAsia="zh-CN"/>
        </w:rPr>
      </w:pPr>
    </w:p>
    <w:p>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2"/>
        <w:ind w:left="0" w:leftChars="0" w:firstLine="480" w:firstLineChars="200"/>
        <w:jc w:val="both"/>
        <w:rPr>
          <w:rFonts w:hint="eastAsia" w:ascii="仿宋" w:hAnsi="仿宋" w:eastAsia="仿宋" w:cs="仿宋"/>
          <w:b w:val="0"/>
          <w:bCs w:val="0"/>
          <w:kern w:val="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eastAsia="zh-CN"/>
        </w:rPr>
        <w:t>填表人：肖晶</w:t>
      </w:r>
      <w:r>
        <w:rPr>
          <w:rFonts w:hint="eastAsia" w:ascii="仿宋" w:hAnsi="仿宋" w:eastAsia="仿宋" w:cs="仿宋"/>
          <w:b w:val="0"/>
          <w:bCs w:val="0"/>
          <w:kern w:val="0"/>
          <w:sz w:val="24"/>
          <w:szCs w:val="24"/>
          <w:lang w:val="en-US" w:eastAsia="zh-CN"/>
        </w:rPr>
        <w:t xml:space="preserve">           填报日期：2024.5.21        联系电话：18711007909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val="en-US" w:eastAsia="zh-CN"/>
        </w:rPr>
        <w:t>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tblPrEx>
          <w:tblCellMar>
            <w:top w:w="0" w:type="dxa"/>
            <w:left w:w="108" w:type="dxa"/>
            <w:bottom w:w="0" w:type="dxa"/>
            <w:right w:w="108" w:type="dxa"/>
          </w:tblCellMar>
        </w:tblPrEx>
        <w:trPr>
          <w:trHeight w:val="596"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ascii="仿宋" w:hAnsi="仿宋" w:eastAsia="仿宋" w:cs="仿宋"/>
                <w:b w:val="0"/>
                <w:bCs w:val="0"/>
                <w:sz w:val="24"/>
                <w:szCs w:val="24"/>
                <w:lang w:val="en-US" w:eastAsia="zh-CN"/>
              </w:rPr>
              <w:t>隆回县人大常委会办公室</w:t>
            </w:r>
            <w:r>
              <w:rPr>
                <w:rFonts w:eastAsia="仿宋_GB2312"/>
                <w:color w:val="000000"/>
                <w:kern w:val="0"/>
                <w:sz w:val="18"/>
                <w:szCs w:val="18"/>
              </w:rPr>
              <w:t>　</w:t>
            </w:r>
          </w:p>
        </w:tc>
      </w:tr>
      <w:tr>
        <w:tblPrEx>
          <w:tblCellMar>
            <w:top w:w="0" w:type="dxa"/>
            <w:left w:w="108" w:type="dxa"/>
            <w:bottom w:w="0" w:type="dxa"/>
            <w:right w:w="108" w:type="dxa"/>
          </w:tblCellMar>
        </w:tblPrEx>
        <w:trPr>
          <w:trHeight w:val="379"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350"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sz w:val="18"/>
                <w:szCs w:val="18"/>
                <w:lang w:val="en-US" w:eastAsia="zh-CN"/>
              </w:rPr>
            </w:pPr>
            <w:r>
              <w:rPr>
                <w:rFonts w:hint="eastAsia" w:eastAsia="仿宋_GB2312"/>
                <w:sz w:val="18"/>
                <w:szCs w:val="18"/>
                <w:lang w:val="en-US" w:eastAsia="zh-CN"/>
              </w:rPr>
              <w:t>1026.64</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180" w:firstLineChars="100"/>
              <w:jc w:val="both"/>
              <w:rPr>
                <w:rFonts w:hint="default" w:eastAsia="仿宋_GB2312"/>
                <w:sz w:val="18"/>
                <w:szCs w:val="18"/>
                <w:lang w:val="en-US" w:eastAsia="zh-CN"/>
              </w:rPr>
            </w:pPr>
            <w:r>
              <w:rPr>
                <w:rFonts w:hint="eastAsia" w:eastAsia="仿宋_GB2312"/>
                <w:sz w:val="18"/>
                <w:szCs w:val="18"/>
                <w:lang w:val="en-US" w:eastAsia="zh-CN"/>
              </w:rPr>
              <w:t>1751.01</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200"/>
              <w:jc w:val="both"/>
              <w:rPr>
                <w:rFonts w:hint="default" w:eastAsia="仿宋_GB2312"/>
                <w:sz w:val="18"/>
                <w:szCs w:val="18"/>
                <w:lang w:val="en-US" w:eastAsia="zh-CN"/>
              </w:rPr>
            </w:pPr>
            <w:r>
              <w:rPr>
                <w:rFonts w:hint="eastAsia" w:eastAsia="仿宋_GB2312"/>
                <w:sz w:val="18"/>
                <w:szCs w:val="18"/>
                <w:lang w:val="en-US" w:eastAsia="zh-CN"/>
              </w:rPr>
              <w:t>1809</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 w:val="18"/>
                <w:szCs w:val="18"/>
                <w:lang w:val="en-US" w:eastAsia="zh-CN"/>
              </w:rPr>
            </w:pPr>
            <w:r>
              <w:rPr>
                <w:rFonts w:hint="eastAsia" w:eastAsia="仿宋_GB2312"/>
                <w:sz w:val="18"/>
                <w:szCs w:val="18"/>
                <w:lang w:val="en-US" w:eastAsia="zh-CN"/>
              </w:rPr>
              <w:t>103.31</w:t>
            </w:r>
          </w:p>
        </w:tc>
        <w:tc>
          <w:tcPr>
            <w:tcW w:w="1223"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31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31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1751.01</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1809</w:t>
            </w:r>
          </w:p>
        </w:tc>
      </w:tr>
      <w:tr>
        <w:tblPrEx>
          <w:tblCellMar>
            <w:top w:w="0" w:type="dxa"/>
            <w:left w:w="108" w:type="dxa"/>
            <w:bottom w:w="0" w:type="dxa"/>
            <w:right w:w="108" w:type="dxa"/>
          </w:tblCellMar>
        </w:tblPrEx>
        <w:trPr>
          <w:trHeight w:val="31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eastAsia"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eastAsia"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0</w:t>
            </w:r>
          </w:p>
        </w:tc>
      </w:tr>
      <w:tr>
        <w:tblPrEx>
          <w:tblCellMar>
            <w:top w:w="0" w:type="dxa"/>
            <w:left w:w="108" w:type="dxa"/>
            <w:bottom w:w="0" w:type="dxa"/>
            <w:right w:w="108" w:type="dxa"/>
          </w:tblCellMar>
        </w:tblPrEx>
        <w:trPr>
          <w:trHeight w:val="31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31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default"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10.88</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31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31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360"/>
              <w:jc w:val="both"/>
              <w:rPr>
                <w:rFonts w:eastAsia="仿宋_GB2312"/>
                <w:color w:val="000000"/>
                <w:kern w:val="0"/>
                <w:sz w:val="18"/>
                <w:szCs w:val="18"/>
              </w:rPr>
            </w:pPr>
            <w:r>
              <w:rPr>
                <w:rFonts w:hint="eastAsia" w:eastAsia="仿宋_GB2312"/>
                <w:color w:val="000000"/>
                <w:kern w:val="0"/>
                <w:sz w:val="18"/>
                <w:szCs w:val="18"/>
                <w:lang w:eastAsia="zh-CN"/>
              </w:rPr>
              <w:t>重点工作完成且质量达标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顺利完成</w:t>
            </w:r>
          </w:p>
        </w:tc>
      </w:tr>
      <w:tr>
        <w:tblPrEx>
          <w:tblCellMar>
            <w:top w:w="0" w:type="dxa"/>
            <w:left w:w="108" w:type="dxa"/>
            <w:bottom w:w="0" w:type="dxa"/>
            <w:right w:w="108" w:type="dxa"/>
          </w:tblCellMar>
        </w:tblPrEx>
        <w:trPr>
          <w:trHeight w:val="852"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57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常委会会议召开次数</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12次</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12次</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7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重点工作完成率</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7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预算执行率</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90%</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103.31%</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7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完成工作及时率</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eastAsia="zh-CN"/>
              </w:rPr>
              <w:t>本年底完成</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eastAsia="zh-CN"/>
              </w:rPr>
              <w:t>本年底完成</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575"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eastAsia="仿宋_GB2312"/>
                <w:color w:val="000000"/>
                <w:kern w:val="0"/>
                <w:sz w:val="18"/>
                <w:szCs w:val="18"/>
                <w:lang w:eastAsia="zh-CN"/>
              </w:rPr>
            </w:pPr>
            <w:r>
              <w:rPr>
                <w:rFonts w:hint="eastAsia" w:eastAsia="仿宋_GB2312"/>
                <w:color w:val="000000"/>
                <w:kern w:val="0"/>
                <w:sz w:val="18"/>
                <w:szCs w:val="18"/>
                <w:lang w:eastAsia="zh-CN"/>
              </w:rPr>
              <w:t>整体支出额</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eastAsia="zh-CN"/>
              </w:rPr>
              <w:t>≤</w:t>
            </w:r>
            <w:r>
              <w:rPr>
                <w:rFonts w:hint="eastAsia" w:eastAsia="仿宋_GB2312"/>
                <w:color w:val="000000"/>
                <w:kern w:val="0"/>
                <w:sz w:val="18"/>
                <w:szCs w:val="18"/>
                <w:lang w:val="en-US" w:eastAsia="zh-CN"/>
              </w:rPr>
              <w:t>2000万元</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1809万元</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23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rPr>
              <w:t>县域</w:t>
            </w:r>
            <w:r>
              <w:rPr>
                <w:rFonts w:hint="eastAsia" w:eastAsia="仿宋_GB2312"/>
                <w:color w:val="000000"/>
                <w:kern w:val="0"/>
                <w:sz w:val="18"/>
                <w:szCs w:val="18"/>
                <w:lang w:val="en-US" w:eastAsia="zh-CN"/>
              </w:rPr>
              <w:t>GDP增长率</w:t>
            </w:r>
          </w:p>
        </w:tc>
        <w:tc>
          <w:tcPr>
            <w:tcW w:w="1077"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4.9%</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30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28</w:t>
            </w:r>
          </w:p>
        </w:tc>
        <w:tc>
          <w:tcPr>
            <w:tcW w:w="1223" w:type="dxa"/>
            <w:tcBorders>
              <w:top w:val="nil"/>
              <w:left w:val="nil"/>
              <w:bottom w:val="single" w:color="auto" w:sz="4" w:space="0"/>
              <w:right w:val="single" w:color="auto" w:sz="4" w:space="0"/>
            </w:tcBorders>
            <w:noWrap w:val="0"/>
            <w:vAlign w:val="center"/>
          </w:tcPr>
          <w:p>
            <w:pPr>
              <w:spacing w:line="240" w:lineRule="exact"/>
              <w:jc w:val="both"/>
              <w:rPr>
                <w:rFonts w:hint="eastAsia" w:eastAsia="仿宋_GB2312"/>
                <w:color w:val="000000"/>
                <w:kern w:val="0"/>
                <w:sz w:val="18"/>
                <w:szCs w:val="18"/>
                <w:lang w:eastAsia="zh-CN"/>
              </w:rPr>
            </w:pPr>
            <w:r>
              <w:rPr>
                <w:rFonts w:hint="eastAsia" w:ascii="仿宋_GB2312" w:hAnsi="仿宋_GB2312" w:eastAsia="仿宋_GB2312" w:cs="仿宋_GB2312"/>
                <w:color w:val="auto"/>
                <w:sz w:val="18"/>
                <w:szCs w:val="18"/>
                <w:lang w:val="en-US" w:eastAsia="zh-CN"/>
              </w:rPr>
              <w:t>加强计划预算审查监督，</w:t>
            </w:r>
            <w:r>
              <w:rPr>
                <w:rFonts w:hint="eastAsia" w:ascii="仿宋_GB2312" w:hAnsi="仿宋_GB2312" w:eastAsia="仿宋_GB2312" w:cs="仿宋_GB2312"/>
                <w:color w:val="auto"/>
                <w:sz w:val="18"/>
                <w:szCs w:val="18"/>
              </w:rPr>
              <w:t>充分发挥</w:t>
            </w:r>
            <w:r>
              <w:rPr>
                <w:rFonts w:hint="eastAsia" w:ascii="仿宋_GB2312" w:hAnsi="仿宋_GB2312" w:eastAsia="仿宋_GB2312" w:cs="仿宋_GB2312"/>
                <w:color w:val="auto"/>
                <w:sz w:val="18"/>
                <w:szCs w:val="18"/>
                <w:lang w:eastAsia="zh-CN"/>
              </w:rPr>
              <w:t>人大</w:t>
            </w:r>
            <w:r>
              <w:rPr>
                <w:rFonts w:hint="eastAsia" w:ascii="仿宋_GB2312" w:hAnsi="仿宋_GB2312" w:eastAsia="仿宋_GB2312" w:cs="仿宋_GB2312"/>
                <w:color w:val="auto"/>
                <w:sz w:val="18"/>
                <w:szCs w:val="18"/>
              </w:rPr>
              <w:t>预算</w:t>
            </w:r>
            <w:r>
              <w:rPr>
                <w:rFonts w:hint="eastAsia" w:ascii="仿宋_GB2312" w:hAnsi="仿宋_GB2312" w:eastAsia="仿宋_GB2312" w:cs="仿宋_GB2312"/>
                <w:color w:val="auto"/>
                <w:sz w:val="18"/>
                <w:szCs w:val="18"/>
                <w:lang w:eastAsia="zh-CN"/>
              </w:rPr>
              <w:t>联网</w:t>
            </w:r>
            <w:r>
              <w:rPr>
                <w:rFonts w:hint="eastAsia" w:ascii="仿宋_GB2312" w:hAnsi="仿宋_GB2312" w:eastAsia="仿宋_GB2312" w:cs="仿宋_GB2312"/>
                <w:color w:val="auto"/>
                <w:sz w:val="18"/>
                <w:szCs w:val="18"/>
              </w:rPr>
              <w:t>监督</w:t>
            </w:r>
            <w:r>
              <w:rPr>
                <w:rFonts w:hint="eastAsia" w:ascii="仿宋_GB2312" w:hAnsi="仿宋_GB2312" w:eastAsia="仿宋_GB2312" w:cs="仿宋_GB2312"/>
                <w:color w:val="auto"/>
                <w:sz w:val="18"/>
                <w:szCs w:val="18"/>
                <w:lang w:eastAsia="zh-CN"/>
              </w:rPr>
              <w:t>系统</w:t>
            </w:r>
            <w:r>
              <w:rPr>
                <w:rFonts w:hint="eastAsia" w:ascii="仿宋_GB2312" w:hAnsi="仿宋_GB2312" w:eastAsia="仿宋_GB2312" w:cs="仿宋_GB2312"/>
                <w:color w:val="auto"/>
                <w:sz w:val="18"/>
                <w:szCs w:val="18"/>
              </w:rPr>
              <w:t>的作用</w:t>
            </w: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auto"/>
                <w:sz w:val="18"/>
                <w:szCs w:val="18"/>
              </w:rPr>
              <w:t>促进公共财政建设</w:t>
            </w:r>
          </w:p>
        </w:tc>
      </w:tr>
      <w:tr>
        <w:tblPrEx>
          <w:tblCellMar>
            <w:top w:w="0" w:type="dxa"/>
            <w:left w:w="108" w:type="dxa"/>
            <w:bottom w:w="0" w:type="dxa"/>
            <w:right w:w="108" w:type="dxa"/>
          </w:tblCellMar>
        </w:tblPrEx>
        <w:trPr>
          <w:trHeight w:val="1129"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rPr>
              <w:t>群众满意度</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90%</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92%</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83"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98</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keepNext w:val="0"/>
        <w:keepLines w:val="0"/>
        <w:pageBreakBefore w:val="0"/>
        <w:widowControl w:val="0"/>
        <w:kinsoku/>
        <w:wordWrap/>
        <w:overflowPunct/>
        <w:topLinePunct w:val="0"/>
        <w:autoSpaceDE/>
        <w:autoSpaceDN/>
        <w:bidi w:val="0"/>
        <w:adjustRightInd/>
        <w:snapToGrid/>
        <w:spacing w:line="480" w:lineRule="exact"/>
        <w:ind w:left="420" w:leftChars="200" w:firstLine="0" w:firstLineChars="0"/>
        <w:jc w:val="left"/>
        <w:textAlignment w:val="auto"/>
        <w:rPr>
          <w:rFonts w:hint="eastAsia" w:ascii="仿宋" w:hAnsi="仿宋" w:eastAsia="仿宋" w:cs="仿宋"/>
          <w:kern w:val="0"/>
        </w:rPr>
      </w:pPr>
      <w:r>
        <w:rPr>
          <w:rFonts w:eastAsia="仿宋_GB2312"/>
          <w:kern w:val="0"/>
          <w:sz w:val="21"/>
          <w:szCs w:val="21"/>
        </w:rPr>
        <w:t>填表人：</w:t>
      </w:r>
      <w:r>
        <w:rPr>
          <w:rFonts w:hint="eastAsia" w:eastAsia="仿宋_GB2312"/>
          <w:kern w:val="0"/>
          <w:sz w:val="21"/>
          <w:szCs w:val="21"/>
          <w:lang w:eastAsia="zh-CN"/>
        </w:rPr>
        <w:t>肖晶</w:t>
      </w:r>
      <w:r>
        <w:rPr>
          <w:rFonts w:eastAsia="仿宋_GB2312"/>
          <w:kern w:val="0"/>
          <w:sz w:val="21"/>
          <w:szCs w:val="21"/>
        </w:rPr>
        <w:t xml:space="preserve">        填报日期：</w:t>
      </w:r>
      <w:r>
        <w:rPr>
          <w:rFonts w:hint="eastAsia" w:eastAsia="仿宋_GB2312"/>
          <w:kern w:val="0"/>
          <w:sz w:val="21"/>
          <w:szCs w:val="21"/>
          <w:lang w:val="en-US" w:eastAsia="zh-CN"/>
        </w:rPr>
        <w:t>2024.5.21</w:t>
      </w:r>
      <w:r>
        <w:rPr>
          <w:rFonts w:eastAsia="仿宋_GB2312"/>
          <w:kern w:val="0"/>
          <w:sz w:val="21"/>
          <w:szCs w:val="21"/>
        </w:rPr>
        <w:t xml:space="preserve">          联系电话： </w:t>
      </w:r>
      <w:r>
        <w:rPr>
          <w:rFonts w:hint="eastAsia" w:eastAsia="仿宋_GB2312"/>
          <w:kern w:val="0"/>
          <w:sz w:val="21"/>
          <w:szCs w:val="21"/>
          <w:lang w:val="en-US" w:eastAsia="zh-CN"/>
        </w:rPr>
        <w:t>18711007909</w:t>
      </w:r>
      <w:r>
        <w:rPr>
          <w:rFonts w:eastAsia="仿宋_GB2312"/>
          <w:kern w:val="0"/>
          <w:sz w:val="21"/>
          <w:szCs w:val="21"/>
        </w:rPr>
        <w:t xml:space="preserve">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C96A6508"/>
    <w:multiLevelType w:val="singleLevel"/>
    <w:tmpl w:val="C96A6508"/>
    <w:lvl w:ilvl="0" w:tentative="0">
      <w:start w:val="3"/>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FFFF9872"/>
    <w:multiLevelType w:val="singleLevel"/>
    <w:tmpl w:val="FFFF9872"/>
    <w:lvl w:ilvl="0" w:tentative="0">
      <w:start w:val="2"/>
      <w:numFmt w:val="chineseCounting"/>
      <w:suff w:val="nothing"/>
      <w:lvlText w:val="（%1）"/>
      <w:lvlJc w:val="left"/>
      <w:rPr>
        <w:rFonts w:hint="eastAsia"/>
      </w:rPr>
    </w:lvl>
  </w:abstractNum>
  <w:abstractNum w:abstractNumId="4">
    <w:nsid w:val="2EFFD061"/>
    <w:multiLevelType w:val="singleLevel"/>
    <w:tmpl w:val="2EFFD061"/>
    <w:lvl w:ilvl="0" w:tentative="0">
      <w:start w:val="2"/>
      <w:numFmt w:val="chineseCounting"/>
      <w:suff w:val="nothing"/>
      <w:lvlText w:val="（%1）"/>
      <w:lvlJc w:val="left"/>
      <w:rPr>
        <w:rFonts w:hint="eastAsia"/>
      </w:rPr>
    </w:lvl>
  </w:abstractNum>
  <w:abstractNum w:abstractNumId="5">
    <w:nsid w:val="7DB3C3BE"/>
    <w:multiLevelType w:val="singleLevel"/>
    <w:tmpl w:val="7DB3C3BE"/>
    <w:lvl w:ilvl="0" w:tentative="0">
      <w:start w:val="1"/>
      <w:numFmt w:val="decimal"/>
      <w:lvlText w:val="(%1)"/>
      <w:lvlJc w:val="left"/>
      <w:pPr>
        <w:ind w:left="0" w:firstLine="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MDZjOWVkMWFlNjYwOWZiMDkwNTAzZWZhMDNkOTQ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5EEC0BB"/>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25791A"/>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3FF7D98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7EF322"/>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6FF75EEF"/>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3D7C52"/>
    <w:rsid w:val="7E745D91"/>
    <w:rsid w:val="7E747B3F"/>
    <w:rsid w:val="7EB048EF"/>
    <w:rsid w:val="7F930498"/>
    <w:rsid w:val="7FA61257"/>
    <w:rsid w:val="7FBC5A54"/>
    <w:rsid w:val="ABE391FE"/>
    <w:rsid w:val="C6F7D70B"/>
    <w:rsid w:val="EDEB42ED"/>
    <w:rsid w:val="FB3EC331"/>
    <w:rsid w:val="FEFDC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List Paragraph"/>
    <w:basedOn w:val="1"/>
    <w:next w:val="1"/>
    <w:qFormat/>
    <w:uiPriority w:val="34"/>
    <w:pPr>
      <w:ind w:firstLine="420"/>
    </w:pPr>
  </w:style>
  <w:style w:type="paragraph" w:styleId="6">
    <w:name w:val="toa heading"/>
    <w:basedOn w:val="1"/>
    <w:next w:val="1"/>
    <w:qFormat/>
    <w:uiPriority w:val="0"/>
    <w:pPr>
      <w:spacing w:before="120" w:after="200" w:line="276" w:lineRule="auto"/>
    </w:pPr>
    <w:rPr>
      <w:rFonts w:ascii="Arial" w:hAnsi="Arial" w:eastAsia="宋体"/>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autoRedefine/>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4510</Words>
  <Characters>4803</Characters>
  <Lines>0</Lines>
  <Paragraphs>0</Paragraphs>
  <TotalTime>3</TotalTime>
  <ScaleCrop>false</ScaleCrop>
  <LinksUpToDate>false</LinksUpToDate>
  <CharactersWithSpaces>5061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2021-04-19T15:48:00Z</dcterms:created>
  <dc:creator>彭礼孝</dc:creator>
  <cp:lastModifiedBy>旧时光·不见旧人</cp:lastModifiedBy>
  <cp:lastPrinted>2024-04-23T16:44:00Z</cp:lastPrinted>
  <dcterms:modified xsi:type="dcterms:W3CDTF">2024-09-02T08:34:37Z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8D27674D71CE403F8BCA5D714C70987B_13</vt:lpwstr>
  </property>
</Properties>
</file>