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DEDAE">
      <w:pPr>
        <w:spacing w:line="600" w:lineRule="exact"/>
        <w:jc w:val="center"/>
        <w:rPr>
          <w:rFonts w:hint="eastAsia" w:ascii="方正大标宋简体" w:hAnsi="方正大标宋简体" w:eastAsia="方正大标宋简体" w:cs="方正大标宋简体"/>
          <w:b w:val="0"/>
          <w:bCs/>
          <w:kern w:val="0"/>
          <w:sz w:val="44"/>
          <w:szCs w:val="44"/>
          <w:lang w:val="en-US" w:eastAsia="zh-CN"/>
        </w:rPr>
      </w:pPr>
      <w:r>
        <w:rPr>
          <w:rFonts w:hint="eastAsia" w:ascii="方正大标宋简体" w:hAnsi="方正大标宋简体" w:eastAsia="方正大标宋简体" w:cs="方正大标宋简体"/>
          <w:b w:val="0"/>
          <w:bCs/>
          <w:kern w:val="0"/>
          <w:sz w:val="44"/>
          <w:szCs w:val="44"/>
          <w:lang w:val="en-US" w:eastAsia="zh-CN"/>
        </w:rPr>
        <w:t xml:space="preserve">   2024年隆回县人大常委会办公室</w:t>
      </w:r>
    </w:p>
    <w:p w14:paraId="4FD0EC39">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rPr>
        <w:t>部门整体支出绩效自评报告</w:t>
      </w:r>
    </w:p>
    <w:p w14:paraId="569A2F67">
      <w:pPr>
        <w:jc w:val="center"/>
        <w:rPr>
          <w:rFonts w:hint="eastAsia" w:ascii="楷体" w:hAnsi="楷体" w:eastAsia="楷体" w:cs="楷体"/>
          <w:b/>
          <w:bCs/>
          <w:sz w:val="32"/>
          <w:szCs w:val="32"/>
        </w:rPr>
      </w:pPr>
    </w:p>
    <w:p w14:paraId="2A5FEC31">
      <w:pPr>
        <w:ind w:firstLine="420" w:firstLineChars="200"/>
        <w:rPr>
          <w:rFonts w:hint="eastAsia" w:ascii="仿宋" w:hAnsi="仿宋" w:eastAsia="仿宋" w:cs="仿宋"/>
        </w:rPr>
      </w:pPr>
    </w:p>
    <w:p w14:paraId="0879F6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w:t>
      </w:r>
      <w:r>
        <w:rPr>
          <w:rFonts w:hint="eastAsia" w:ascii="黑体" w:hAnsi="黑体" w:eastAsia="黑体" w:cs="黑体"/>
          <w:b w:val="0"/>
          <w:bCs w:val="0"/>
          <w:sz w:val="32"/>
          <w:szCs w:val="32"/>
          <w:lang w:eastAsia="zh-CN"/>
        </w:rPr>
        <w:t>、单位基本情况</w:t>
      </w:r>
    </w:p>
    <w:p w14:paraId="381F07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（一）机构设置情况、人员编制情况、主要职能职责、202</w:t>
      </w:r>
      <w:r>
        <w:rPr>
          <w:rFonts w:hint="eastAsia" w:ascii="仿宋" w:hAnsi="仿宋" w:eastAsia="仿宋" w:cs="仿宋"/>
          <w:sz w:val="32"/>
          <w:szCs w:val="32"/>
          <w:lang w:val="en-US" w:eastAsia="zh-CN"/>
        </w:rPr>
        <w:t>4</w:t>
      </w:r>
      <w:r>
        <w:rPr>
          <w:rFonts w:hint="eastAsia" w:ascii="仿宋" w:hAnsi="仿宋" w:eastAsia="仿宋" w:cs="仿宋"/>
          <w:sz w:val="32"/>
          <w:szCs w:val="32"/>
        </w:rPr>
        <w:t>年的重点工作</w:t>
      </w:r>
      <w:r>
        <w:rPr>
          <w:rFonts w:hint="eastAsia" w:ascii="仿宋" w:hAnsi="仿宋" w:eastAsia="仿宋" w:cs="仿宋"/>
          <w:sz w:val="32"/>
          <w:szCs w:val="32"/>
          <w:lang w:eastAsia="zh-CN"/>
        </w:rPr>
        <w:t>、绩效目标设定情况。</w:t>
      </w:r>
    </w:p>
    <w:p w14:paraId="192E398A">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1.机构设置情况</w:t>
      </w:r>
    </w:p>
    <w:p w14:paraId="3FF307C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县人大机关单位内设机构包括：办公室、选举任免联络工作委员会、教育科学文化卫生委员会、社会建设委员会、监察和司法委员会、环境与资源保护委员会、财政经济委员会（预算工作委员会）、农业与农村委员会。</w:t>
      </w:r>
    </w:p>
    <w:p w14:paraId="386E0AA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2.人员编制情况</w:t>
      </w:r>
    </w:p>
    <w:p w14:paraId="03EAE95E">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2024年末本单位实有在职人员38人，其中：公务员29人，工勤人员7人，事业人员2人。</w:t>
      </w:r>
    </w:p>
    <w:p w14:paraId="2CDE03D2">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3.主要职能职责 </w:t>
      </w:r>
    </w:p>
    <w:p w14:paraId="7F40F3B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县人大常委会是县人民代表大会的常设机关，对县人民代表大会负责并报告工作。</w:t>
      </w:r>
    </w:p>
    <w:p w14:paraId="6927600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县人大常委会行使下列职权：</w:t>
      </w:r>
    </w:p>
    <w:p w14:paraId="01BC72C4">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在本行政区内保证宪法、法律、行政法规和上级人民代表大会及其常委会决议的遵守和执行。</w:t>
      </w:r>
    </w:p>
    <w:p w14:paraId="03F9C377">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领导、主持县人民代表大会代表的选举。</w:t>
      </w:r>
    </w:p>
    <w:p w14:paraId="36447F75">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召集县人民代表大会会议。</w:t>
      </w:r>
    </w:p>
    <w:p w14:paraId="44C1EBCD">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讨论、决定本县内政治、经济、教育、科学、文化、卫生、环境和资源保护、民政、民族等工作的重大事项。</w:t>
      </w:r>
    </w:p>
    <w:p w14:paraId="49651C0F">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根据县人民政府建议，决定对本县内国民经济和社会发展计划预算的部分变更。</w:t>
      </w:r>
    </w:p>
    <w:p w14:paraId="010F3F24">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监督县人民政府、县监察委员会、县人民法院、县人民检察院的工作，联系县人民代表大会代表，受理人民群众对上述机关和国家工作人员的申诉和意见。</w:t>
      </w:r>
    </w:p>
    <w:p w14:paraId="06DF39D1">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撤销乡镇人民代表大会及人大主席团的不适当的决议。</w:t>
      </w:r>
    </w:p>
    <w:p w14:paraId="6DF3B6D8">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撤销县人民政府的不适当的决议和命令。</w:t>
      </w:r>
    </w:p>
    <w:p w14:paraId="25A55237">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在县人民代表大会闭会期间，决定副县长的个别任免。</w:t>
      </w:r>
    </w:p>
    <w:p w14:paraId="44FACE70">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在县长、县监察委员会主任、县人民法院院长、县人民检察院检察长因故不能担任职务的时候，从县人民政府、县人民法院、县人民检察院副职领导人员中决定代理的人选。</w:t>
      </w:r>
    </w:p>
    <w:p w14:paraId="52125B38">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县长的提名，决定县人民政府办公室主任、各局局长的任免根据县监察委员会主任的提名，决定任免县监察委员会副主任、委员。按照人民法院组织法和人民检察院组织法的规定，任免县人民法院副院长、庭长、副庭长、审判委员会委员、审判员，任免县人民检察院副检察长、检察委员会委员、检察员。</w:t>
      </w:r>
    </w:p>
    <w:p w14:paraId="2E4882C5">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在县人民代表大会闭会期间，决定撤销个别副县长。</w:t>
      </w:r>
    </w:p>
    <w:p w14:paraId="46AC7340">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决定撤销由它任命的县人民政府其他组成人员，县监察委员会副主任、委员，县人民法院副院长、庭长、副庭长、审判委员会委员、审判员，县人民检察院副检察长、检察委员会委员、检察员。</w:t>
      </w:r>
    </w:p>
    <w:p w14:paraId="309EF5A7">
      <w:pPr>
        <w:pStyle w:val="5"/>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在县人民代表大会闭会期间，补选县人民代表大会出缺的代表和罢免个别代表。</w:t>
      </w:r>
    </w:p>
    <w:p w14:paraId="042103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4.2024年的重点工作</w:t>
      </w:r>
    </w:p>
    <w:p w14:paraId="7E0E10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始终高举习近平新时代中国特色社会主义思想伟大旗帜，全面贯彻落实党的二十大精神，深入贯彻习近平法治思想、习近平总书记关于坚持和完善人民代表大会制度的重要思想，充分发挥人大代表作用。</w:t>
      </w:r>
    </w:p>
    <w:p w14:paraId="2347B6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增强监督实效。坚持围绕中心、服务大局、突出重点，统筹运用好听取和审议工作报告、专题调研、专题询问、执法检查等监督方式，紧紧围绕人民群众关注的急事难事，开展精准高效监督，助推全县经济社会高质量发展。 </w:t>
      </w:r>
    </w:p>
    <w:p w14:paraId="734679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充分发挥人大代表作用。加强代表工作能力建设，健全代表工作制度，丰富代表工作内容，提升代表工作水平，支持和保障代表依法履职，充分发挥人大代表在践行全过程人民民主中的重要作用。</w:t>
      </w:r>
    </w:p>
    <w:p w14:paraId="054456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lang w:val="en-US" w:eastAsia="zh-CN"/>
        </w:rPr>
      </w:pPr>
      <w:r>
        <w:rPr>
          <w:rFonts w:hint="eastAsia" w:ascii="仿宋" w:hAnsi="仿宋" w:eastAsia="仿宋" w:cs="仿宋"/>
          <w:sz w:val="32"/>
          <w:szCs w:val="32"/>
          <w:lang w:val="en-US" w:eastAsia="zh-CN"/>
        </w:rPr>
        <w:t>进一步加强自身建设。适应新时代人大工作新要求，持续加强常委会及机关自身建设，以政治机关建设为引领，忠诚履行工作机关职责。</w:t>
      </w:r>
      <w:r>
        <w:rPr>
          <w:rFonts w:hint="eastAsia" w:ascii="仿宋" w:hAnsi="仿宋" w:eastAsia="仿宋" w:cs="仿宋"/>
          <w:lang w:val="en-US" w:eastAsia="zh-CN"/>
        </w:rPr>
        <w:t xml:space="preserve">                                                                                                                                                                                                                                                                                               </w:t>
      </w:r>
    </w:p>
    <w:p w14:paraId="53674A2C">
      <w:pPr>
        <w:pStyle w:val="2"/>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绩效目标设定</w:t>
      </w:r>
    </w:p>
    <w:p w14:paraId="611007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总体目标：始终把习近平新时代中国特色社会主义思想作为人大工作的根本遵循，全面贯彻党的二十大精神，坚持把党的政治建设摆在首位确保县人大常委会、县人大机关全体干部及全体人大代表坚决捍卫“两个确立”、坚决</w:t>
      </w:r>
      <w:r>
        <w:rPr>
          <w:rFonts w:hint="eastAsia" w:ascii="仿宋_GB2312" w:hAnsi="仿宋_GB2312" w:eastAsia="仿宋_GB2312" w:cs="仿宋_GB2312"/>
          <w:color w:val="auto"/>
          <w:sz w:val="32"/>
          <w:szCs w:val="32"/>
          <w:lang w:val="en-US" w:eastAsia="zh-CN"/>
        </w:rPr>
        <w:t>做到“两</w:t>
      </w:r>
      <w:r>
        <w:rPr>
          <w:rFonts w:hint="eastAsia" w:ascii="仿宋" w:hAnsi="仿宋" w:eastAsia="仿宋" w:cs="仿宋"/>
          <w:sz w:val="32"/>
          <w:szCs w:val="32"/>
          <w:lang w:val="en-US" w:eastAsia="zh-CN"/>
        </w:rPr>
        <w:t>个维护”，确保人大工作始终沿着正确方向前进。</w:t>
      </w:r>
    </w:p>
    <w:p w14:paraId="671B46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①保工资、保运转。保障部门正常运转，高效完成部门年度各项工作任务。</w:t>
      </w:r>
    </w:p>
    <w:p w14:paraId="1A5CDA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②提高人大代表履职服务保障水平。做好代表培训、联系代表、议案建议办理、</w:t>
      </w:r>
      <w:r>
        <w:rPr>
          <w:rFonts w:hint="eastAsia" w:ascii="仿宋_GB2312" w:hAnsi="仿宋_GB2312" w:eastAsia="仿宋_GB2312" w:cs="仿宋_GB2312"/>
          <w:color w:val="auto"/>
          <w:sz w:val="32"/>
          <w:szCs w:val="32"/>
          <w:lang w:val="en-US" w:eastAsia="zh-CN"/>
        </w:rPr>
        <w:t>人大代表活动室规范化建设</w:t>
      </w:r>
      <w:r>
        <w:rPr>
          <w:rFonts w:hint="eastAsia" w:ascii="仿宋" w:hAnsi="仿宋" w:eastAsia="仿宋" w:cs="仿宋"/>
          <w:sz w:val="32"/>
          <w:szCs w:val="32"/>
          <w:lang w:val="en-US" w:eastAsia="zh-CN"/>
        </w:rPr>
        <w:t>等工作，组织做好代表集中视察、专题调研等工作，做优代表服务工作。</w:t>
      </w:r>
    </w:p>
    <w:p w14:paraId="1C3F16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强化机关建设。深入贯彻落实新时代党的建设总要求，加强人大制度理论研究和宣传舆论工作，坚决守好意识形态阵地。坚持把宣传工作与人大工作有机融合，把人大工作做到人民群众的心坎上，努力打造自觉坚持中国共产党领导的政治机关、保证人民当家作主的国家权力机关、全面担负宪法法律赋予的各项职责的工作机关、始终同人民群众保持密切联系的代表机关。</w:t>
      </w:r>
    </w:p>
    <w:p w14:paraId="57B784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）部门整体支出情况</w:t>
      </w:r>
    </w:p>
    <w:p w14:paraId="2F38C466">
      <w:pPr>
        <w:pStyle w:val="9"/>
        <w:keepNext w:val="0"/>
        <w:keepLines w:val="0"/>
        <w:pageBreakBefore w:val="0"/>
        <w:kinsoku/>
        <w:topLinePunct w:val="0"/>
        <w:bidi w:val="0"/>
        <w:snapToGrid/>
        <w:spacing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本年支出合计1284.38万元，其中：基本支出1284.38万元，占100%。</w:t>
      </w:r>
    </w:p>
    <w:p w14:paraId="27B6A6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二、部门整体支出管理及使用情况</w:t>
      </w:r>
    </w:p>
    <w:p w14:paraId="36EF8E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（一）基本支出情况</w:t>
      </w:r>
    </w:p>
    <w:p w14:paraId="47E09E3F">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2024年本单位基本支出1284.38万元，是指为保障单位机构正常运转、完成日常工作任务而发生的各项支出，包括用于基本工资、津贴补贴等人员经费以及办公费、印刷费、水电费及办公设备购置等日常公用经费。</w:t>
      </w:r>
    </w:p>
    <w:p w14:paraId="40B5669D">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专项资金</w:t>
      </w:r>
      <w:r>
        <w:rPr>
          <w:rFonts w:hint="eastAsia" w:ascii="仿宋" w:hAnsi="仿宋" w:eastAsia="仿宋" w:cs="仿宋"/>
          <w:sz w:val="32"/>
          <w:szCs w:val="32"/>
        </w:rPr>
        <w:t>情况</w:t>
      </w:r>
    </w:p>
    <w:p w14:paraId="54FAADF6">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2024年本单位无专项资金。</w:t>
      </w:r>
    </w:p>
    <w:p w14:paraId="65F67E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（三）“三公”经费情况</w:t>
      </w:r>
    </w:p>
    <w:p w14:paraId="35E509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2024年“三公”经费决算数为2.05万元。其中：因公出国（境）费0万元，因公出国（境）0批次0人次。公务用车购置及运行费决算数为0万元（公务用车购置费0万元，公务用车购置0台。公务用车运行费0万元，公务车辆保有0辆）。公务接待费决算数为2.05万元。</w:t>
      </w:r>
    </w:p>
    <w:p w14:paraId="65946CE1">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三、政府性基金预算支出情况</w:t>
      </w:r>
    </w:p>
    <w:p w14:paraId="389E319C">
      <w:pPr>
        <w:numPr>
          <w:ilvl w:val="0"/>
          <w:numId w:val="0"/>
        </w:numPr>
        <w:ind w:firstLine="640" w:firstLineChars="200"/>
        <w:rPr>
          <w:rFonts w:hint="eastAsia" w:ascii="仿宋_GB2312" w:hAnsi="仿宋_GB2312" w:eastAsia="仿宋_GB2312" w:cs="仿宋_GB2312"/>
          <w:sz w:val="30"/>
          <w:szCs w:val="30"/>
          <w:lang w:val="en-US" w:eastAsia="zh-CN"/>
        </w:rPr>
      </w:pPr>
      <w:r>
        <w:rPr>
          <w:rFonts w:hint="eastAsia" w:ascii="仿宋" w:hAnsi="仿宋" w:eastAsia="仿宋" w:cs="仿宋"/>
          <w:sz w:val="32"/>
          <w:szCs w:val="32"/>
          <w:lang w:val="en-US" w:eastAsia="zh-CN"/>
        </w:rPr>
        <w:t>本单位无政府性基金预算支出</w:t>
      </w:r>
      <w:r>
        <w:rPr>
          <w:rFonts w:hint="eastAsia" w:ascii="仿宋_GB2312" w:hAnsi="仿宋_GB2312" w:eastAsia="仿宋_GB2312" w:cs="仿宋_GB2312"/>
          <w:sz w:val="32"/>
          <w:szCs w:val="32"/>
          <w:lang w:val="en-US" w:eastAsia="zh-CN"/>
        </w:rPr>
        <w:t>。</w:t>
      </w:r>
    </w:p>
    <w:p w14:paraId="52E90C01">
      <w:pPr>
        <w:rPr>
          <w:rFonts w:hint="eastAsia"/>
          <w:lang w:eastAsia="zh-CN"/>
        </w:rPr>
      </w:pPr>
    </w:p>
    <w:p w14:paraId="7E815CDF">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国有资本经营预算支出情况</w:t>
      </w:r>
    </w:p>
    <w:p w14:paraId="0E380F7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kern w:val="2"/>
          <w:sz w:val="32"/>
          <w:szCs w:val="32"/>
          <w:lang w:val="en-US" w:eastAsia="zh-CN" w:bidi="ar-SA"/>
        </w:rPr>
        <w:t>本单位无国有资本经营预算支出。</w:t>
      </w:r>
    </w:p>
    <w:p w14:paraId="0B255445">
      <w:pPr>
        <w:pStyle w:val="5"/>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社会保险基金预算支出情况</w:t>
      </w:r>
    </w:p>
    <w:p w14:paraId="0D740A2C">
      <w:pPr>
        <w:numPr>
          <w:ilvl w:val="0"/>
          <w:numId w:val="0"/>
        </w:numPr>
        <w:ind w:firstLine="640" w:firstLineChars="200"/>
        <w:rPr>
          <w:rFonts w:hint="eastAsia" w:ascii="仿宋" w:hAnsi="仿宋" w:eastAsia="仿宋" w:cs="仿宋"/>
          <w:lang w:eastAsia="zh-CN"/>
        </w:rPr>
      </w:pPr>
      <w:r>
        <w:rPr>
          <w:rFonts w:hint="eastAsia" w:ascii="仿宋" w:hAnsi="仿宋" w:eastAsia="仿宋" w:cs="仿宋"/>
          <w:sz w:val="32"/>
          <w:szCs w:val="32"/>
          <w:lang w:val="en-US" w:eastAsia="zh-CN"/>
        </w:rPr>
        <w:t>本单位无社会保险基金预算支出。</w:t>
      </w:r>
    </w:p>
    <w:p w14:paraId="325FA21E">
      <w:pPr>
        <w:pStyle w:val="5"/>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部门整体支出绩效情况</w:t>
      </w:r>
    </w:p>
    <w:p w14:paraId="4C2BF38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sz w:val="32"/>
          <w:szCs w:val="32"/>
          <w:lang w:val="en-US" w:eastAsia="zh-CN"/>
        </w:rPr>
        <w:t>2024年本单位整体支出绩效较好，紧紧围绕全县经济社会发展大局和中心工作任务，扎实履行法定职责，</w:t>
      </w:r>
      <w:r>
        <w:rPr>
          <w:rFonts w:hint="default" w:ascii="仿宋" w:hAnsi="仿宋" w:eastAsia="仿宋" w:cs="仿宋"/>
          <w:sz w:val="32"/>
          <w:szCs w:val="32"/>
          <w:lang w:val="en-US" w:eastAsia="zh-CN"/>
        </w:rPr>
        <w:t>圆满</w:t>
      </w:r>
      <w:r>
        <w:rPr>
          <w:rFonts w:hint="eastAsia" w:ascii="仿宋" w:hAnsi="仿宋" w:eastAsia="仿宋" w:cs="仿宋"/>
          <w:sz w:val="32"/>
          <w:szCs w:val="32"/>
          <w:lang w:val="en-US" w:eastAsia="zh-CN"/>
        </w:rPr>
        <w:t>完成了各项工作任务。成功召开本年度第十七届人民代表大会第四次会议，每月按时召开人大常委会会议，听取代表建议批评意见办理工作情况汇报，对职能部门开展工作评议，聚焦民生问题，推动全县发展。</w:t>
      </w:r>
    </w:p>
    <w:p w14:paraId="5F2D8A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p>
    <w:p w14:paraId="70F7A9D9">
      <w:pPr>
        <w:pStyle w:val="5"/>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存在的问题</w:t>
      </w:r>
    </w:p>
    <w:p w14:paraId="2FA791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绩效评价体系和评价方法不够完善，缺乏统一、科学的绩效管理指标体系。</w:t>
      </w:r>
    </w:p>
    <w:p w14:paraId="43B57793">
      <w:pPr>
        <w:rPr>
          <w:rFonts w:hint="eastAsia"/>
        </w:rPr>
      </w:pPr>
    </w:p>
    <w:p w14:paraId="1F2F9CBF">
      <w:pPr>
        <w:pStyle w:val="5"/>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改进措施及有关建议</w:t>
      </w:r>
    </w:p>
    <w:p w14:paraId="0F91D5F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1.加强预算绩效目标管理，编制完整、全面、合理的绩效指标，健全绩效评价体系。编制完善的年度绩效目标。年度绩效目标应根据对应的年度重点工作进行设置。</w:t>
      </w:r>
    </w:p>
    <w:p w14:paraId="2DFC4B6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kern w:val="2"/>
          <w:sz w:val="32"/>
          <w:szCs w:val="32"/>
          <w:lang w:val="en-US" w:eastAsia="zh-CN" w:bidi="ar-SA"/>
        </w:rPr>
      </w:pPr>
    </w:p>
    <w:p w14:paraId="0B36BC13">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68E98BA">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1.部门整体支出绩效评价基础数据表</w:t>
      </w:r>
    </w:p>
    <w:p w14:paraId="65AD55E8">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2.部门整体支出绩效自评表</w:t>
      </w:r>
    </w:p>
    <w:p w14:paraId="31AC427E">
      <w:pPr>
        <w:spacing w:line="560" w:lineRule="exact"/>
        <w:rPr>
          <w:rFonts w:hint="eastAsia" w:ascii="仿宋" w:hAnsi="仿宋" w:eastAsia="仿宋" w:cs="仿宋"/>
          <w:kern w:val="0"/>
          <w:sz w:val="24"/>
          <w:szCs w:val="24"/>
        </w:rPr>
      </w:pPr>
    </w:p>
    <w:p w14:paraId="0B9C6B62">
      <w:pPr>
        <w:spacing w:line="560" w:lineRule="exact"/>
        <w:rPr>
          <w:rFonts w:hint="eastAsia" w:ascii="仿宋" w:hAnsi="仿宋" w:eastAsia="仿宋" w:cs="仿宋"/>
          <w:kern w:val="0"/>
          <w:sz w:val="24"/>
          <w:szCs w:val="24"/>
        </w:rPr>
      </w:pPr>
    </w:p>
    <w:p w14:paraId="7DB966D0">
      <w:pPr>
        <w:spacing w:line="560" w:lineRule="exact"/>
        <w:ind w:firstLine="5440" w:firstLineChars="17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****单位（盖公章）</w:t>
      </w:r>
    </w:p>
    <w:p w14:paraId="488ED769">
      <w:pPr>
        <w:pStyle w:val="5"/>
        <w:rPr>
          <w:rFonts w:hint="default"/>
          <w:lang w:val="en-US" w:eastAsia="zh-CN"/>
        </w:rPr>
      </w:pPr>
      <w:r>
        <w:rPr>
          <w:rFonts w:hint="eastAsia" w:ascii="仿宋" w:hAnsi="仿宋" w:eastAsia="仿宋" w:cs="仿宋"/>
          <w:kern w:val="0"/>
          <w:sz w:val="32"/>
          <w:szCs w:val="32"/>
          <w:lang w:val="en-US" w:eastAsia="zh-CN"/>
        </w:rPr>
        <w:t xml:space="preserve">                                       年   月  日</w:t>
      </w:r>
    </w:p>
    <w:p w14:paraId="7FA3F751">
      <w:pPr>
        <w:spacing w:line="560" w:lineRule="exact"/>
        <w:rPr>
          <w:rFonts w:hint="eastAsia" w:ascii="仿宋" w:hAnsi="仿宋" w:eastAsia="仿宋" w:cs="仿宋"/>
          <w:kern w:val="0"/>
          <w:sz w:val="24"/>
          <w:szCs w:val="24"/>
        </w:rPr>
      </w:pPr>
    </w:p>
    <w:p w14:paraId="223EA612">
      <w:pPr>
        <w:spacing w:line="560" w:lineRule="exact"/>
        <w:rPr>
          <w:rFonts w:hint="eastAsia" w:ascii="仿宋" w:hAnsi="仿宋" w:eastAsia="仿宋" w:cs="仿宋"/>
          <w:kern w:val="0"/>
          <w:sz w:val="24"/>
          <w:szCs w:val="24"/>
        </w:rPr>
      </w:pPr>
    </w:p>
    <w:p w14:paraId="59864B48">
      <w:pPr>
        <w:spacing w:line="560" w:lineRule="exact"/>
        <w:rPr>
          <w:rFonts w:hint="eastAsia" w:ascii="仿宋" w:hAnsi="仿宋" w:eastAsia="仿宋" w:cs="仿宋"/>
          <w:kern w:val="0"/>
          <w:sz w:val="24"/>
          <w:szCs w:val="24"/>
        </w:rPr>
      </w:pPr>
    </w:p>
    <w:p w14:paraId="7D36BFC5">
      <w:pPr>
        <w:spacing w:line="560" w:lineRule="exact"/>
        <w:rPr>
          <w:rFonts w:hint="eastAsia" w:ascii="仿宋" w:hAnsi="仿宋" w:eastAsia="仿宋" w:cs="仿宋"/>
          <w:kern w:val="0"/>
          <w:sz w:val="24"/>
          <w:szCs w:val="24"/>
        </w:rPr>
      </w:pPr>
    </w:p>
    <w:p w14:paraId="18AD5864">
      <w:pPr>
        <w:spacing w:line="560" w:lineRule="exact"/>
        <w:rPr>
          <w:rFonts w:hint="eastAsia" w:ascii="仿宋" w:hAnsi="仿宋" w:eastAsia="仿宋" w:cs="仿宋"/>
          <w:kern w:val="0"/>
          <w:sz w:val="32"/>
          <w:szCs w:val="32"/>
        </w:rPr>
        <w:sectPr>
          <w:pgSz w:w="11905" w:h="16837"/>
          <w:pgMar w:top="1440" w:right="1800" w:bottom="1440" w:left="1800" w:header="720" w:footer="992" w:gutter="0"/>
          <w:pgNumType w:fmt="numberInDash"/>
          <w:cols w:space="720" w:num="1"/>
          <w:docGrid w:linePitch="636" w:charSpace="20838"/>
        </w:sectPr>
      </w:pPr>
    </w:p>
    <w:p w14:paraId="0BBD47FA">
      <w:pPr>
        <w:keepNext w:val="0"/>
        <w:keepLines w:val="0"/>
        <w:pageBreakBefore w:val="0"/>
        <w:kinsoku/>
        <w:wordWrap/>
        <w:overflowPunct/>
        <w:topLinePunct w:val="0"/>
        <w:autoSpaceDE/>
        <w:autoSpaceDN/>
        <w:bidi w:val="0"/>
        <w:adjustRightInd/>
        <w:snapToGrid/>
        <w:spacing w:line="600" w:lineRule="exact"/>
        <w:textAlignment w:val="auto"/>
        <w:rPr>
          <w:rFonts w:hint="eastAsia" w:ascii="方正大标宋简体" w:hAnsi="方正大标宋简体" w:eastAsia="方正大标宋简体" w:cs="方正大标宋简体"/>
          <w:b w:val="0"/>
          <w:bCs/>
          <w:kern w:val="0"/>
          <w:sz w:val="44"/>
          <w:szCs w:val="44"/>
          <w:lang w:eastAsia="zh-CN"/>
        </w:rPr>
      </w:pPr>
      <w:r>
        <w:rPr>
          <w:rFonts w:hint="eastAsia" w:ascii="黑体" w:hAnsi="黑体" w:eastAsia="黑体" w:cs="黑体"/>
          <w:b w:val="0"/>
          <w:bCs w:val="0"/>
          <w:kern w:val="0"/>
          <w:sz w:val="32"/>
          <w:szCs w:val="32"/>
        </w:rPr>
        <w:t>附件</w:t>
      </w:r>
      <w:r>
        <w:rPr>
          <w:rFonts w:hint="eastAsia" w:ascii="黑体" w:hAnsi="黑体" w:eastAsia="黑体" w:cs="黑体"/>
          <w:b w:val="0"/>
          <w:bCs w:val="0"/>
          <w:kern w:val="0"/>
          <w:sz w:val="32"/>
          <w:szCs w:val="32"/>
          <w:lang w:val="en-US" w:eastAsia="zh-CN"/>
        </w:rPr>
        <w:t>1</w:t>
      </w:r>
    </w:p>
    <w:p w14:paraId="234E8674">
      <w:pPr>
        <w:spacing w:line="600" w:lineRule="exact"/>
        <w:jc w:val="center"/>
        <w:rPr>
          <w:rFonts w:hint="eastAsia" w:ascii="方正大标宋简体" w:hAnsi="方正大标宋简体" w:eastAsia="方正大标宋简体" w:cs="方正大标宋简体"/>
          <w:b w:val="0"/>
          <w:bCs/>
          <w:kern w:val="0"/>
          <w:sz w:val="44"/>
          <w:szCs w:val="44"/>
          <w:lang w:eastAsia="zh-CN"/>
        </w:rPr>
      </w:pPr>
      <w:r>
        <w:rPr>
          <w:rFonts w:hint="eastAsia" w:ascii="方正大标宋简体" w:hAnsi="方正大标宋简体" w:eastAsia="方正大标宋简体" w:cs="方正大标宋简体"/>
          <w:b w:val="0"/>
          <w:bCs/>
          <w:kern w:val="0"/>
          <w:sz w:val="44"/>
          <w:szCs w:val="44"/>
          <w:lang w:eastAsia="zh-CN"/>
        </w:rPr>
        <w:t>部门整体支出绩效评价基础数据表</w:t>
      </w:r>
    </w:p>
    <w:p w14:paraId="07013C63">
      <w:pPr>
        <w:pStyle w:val="2"/>
        <w:ind w:left="0" w:leftChars="0" w:firstLine="0" w:firstLineChars="0"/>
        <w:jc w:val="both"/>
        <w:rPr>
          <w:rFonts w:hint="eastAsia" w:ascii="仿宋" w:hAnsi="仿宋" w:eastAsia="仿宋" w:cs="仿宋"/>
          <w:b/>
          <w:bCs/>
          <w:kern w:val="0"/>
          <w:sz w:val="24"/>
          <w:szCs w:val="24"/>
          <w:lang w:eastAsia="zh-CN"/>
        </w:rPr>
      </w:pPr>
    </w:p>
    <w:p w14:paraId="3BA6C136">
      <w:pPr>
        <w:pStyle w:val="2"/>
        <w:ind w:left="0" w:leftChars="0" w:firstLine="0" w:firstLineChars="0"/>
        <w:jc w:val="both"/>
        <w:rPr>
          <w:rFonts w:hint="eastAsia" w:ascii="仿宋" w:hAnsi="仿宋" w:eastAsia="仿宋" w:cs="仿宋"/>
          <w:b/>
          <w:bCs/>
          <w:kern w:val="0"/>
          <w:sz w:val="24"/>
          <w:szCs w:val="24"/>
          <w:lang w:eastAsia="zh-CN"/>
        </w:rPr>
      </w:pPr>
    </w:p>
    <w:tbl>
      <w:tblPr>
        <w:tblW w:w="8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988"/>
        <w:gridCol w:w="756"/>
        <w:gridCol w:w="756"/>
        <w:gridCol w:w="1114"/>
        <w:gridCol w:w="766"/>
        <w:gridCol w:w="576"/>
        <w:gridCol w:w="1473"/>
      </w:tblGrid>
      <w:tr w14:paraId="01408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8260"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10C0D51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基础数据表</w:t>
            </w:r>
          </w:p>
        </w:tc>
      </w:tr>
      <w:tr w14:paraId="41A44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6BCD44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财政供养人员情况</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AE1AF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编制数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0B493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2024年实际在职人数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7C5DD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控制率</w:t>
            </w:r>
          </w:p>
        </w:tc>
      </w:tr>
      <w:tr w14:paraId="18774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4DC87F">
            <w:pPr>
              <w:jc w:val="center"/>
              <w:rPr>
                <w:rFonts w:hint="eastAsia" w:ascii="宋体" w:hAnsi="宋体" w:eastAsia="宋体" w:cs="宋体"/>
                <w:b/>
                <w:bCs/>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F15D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E289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D262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108.57%</w:t>
            </w:r>
          </w:p>
        </w:tc>
      </w:tr>
      <w:tr w14:paraId="2112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9915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经费控制情况(万元)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5263E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2023年决算数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40609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2024年预算数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1F795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2024年决算数</w:t>
            </w:r>
          </w:p>
        </w:tc>
      </w:tr>
      <w:tr w14:paraId="41536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2F6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三公经费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AF43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888D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144C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2.05</w:t>
            </w:r>
          </w:p>
        </w:tc>
      </w:tr>
      <w:tr w14:paraId="3F207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4A8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1、公务用车购置和维护经费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821B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01CB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5426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14:paraId="7C755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9F3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其中：公车购置</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273757C">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00E4315">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81853E9">
            <w:pPr>
              <w:jc w:val="center"/>
              <w:rPr>
                <w:rFonts w:hint="eastAsia" w:ascii="宋体" w:hAnsi="宋体" w:eastAsia="宋体" w:cs="宋体"/>
                <w:i w:val="0"/>
                <w:iCs w:val="0"/>
                <w:color w:val="000000"/>
                <w:sz w:val="18"/>
                <w:szCs w:val="18"/>
                <w:u w:val="none"/>
              </w:rPr>
            </w:pPr>
          </w:p>
        </w:tc>
      </w:tr>
      <w:tr w14:paraId="3122B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918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公车运行维护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AD923B9">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80E1716">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B31AA8F">
            <w:pPr>
              <w:jc w:val="center"/>
              <w:rPr>
                <w:rFonts w:hint="eastAsia" w:ascii="宋体" w:hAnsi="宋体" w:eastAsia="宋体" w:cs="宋体"/>
                <w:i w:val="0"/>
                <w:iCs w:val="0"/>
                <w:color w:val="000000"/>
                <w:sz w:val="18"/>
                <w:szCs w:val="18"/>
                <w:u w:val="none"/>
              </w:rPr>
            </w:pPr>
          </w:p>
        </w:tc>
      </w:tr>
      <w:tr w14:paraId="45D3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B6E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2、出国经费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67A9AB0">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3C020D6">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6BBF142">
            <w:pPr>
              <w:jc w:val="center"/>
              <w:rPr>
                <w:rFonts w:hint="eastAsia" w:ascii="宋体" w:hAnsi="宋体" w:eastAsia="宋体" w:cs="宋体"/>
                <w:i w:val="0"/>
                <w:iCs w:val="0"/>
                <w:color w:val="000000"/>
                <w:sz w:val="18"/>
                <w:szCs w:val="18"/>
                <w:u w:val="none"/>
              </w:rPr>
            </w:pPr>
          </w:p>
        </w:tc>
      </w:tr>
      <w:tr w14:paraId="75B3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27E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3、公务接待</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5EA1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9813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7E02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2.05</w:t>
            </w:r>
          </w:p>
        </w:tc>
      </w:tr>
      <w:tr w14:paraId="05E2F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09C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项目支出：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A1F1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3326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95E3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14:paraId="163A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F47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1、业务工作经费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68FF02E">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EF164F9">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1ACCD17">
            <w:pPr>
              <w:jc w:val="center"/>
              <w:rPr>
                <w:rFonts w:hint="eastAsia" w:ascii="宋体" w:hAnsi="宋体" w:eastAsia="宋体" w:cs="宋体"/>
                <w:i w:val="0"/>
                <w:iCs w:val="0"/>
                <w:color w:val="000000"/>
                <w:sz w:val="18"/>
                <w:szCs w:val="18"/>
                <w:u w:val="none"/>
              </w:rPr>
            </w:pPr>
          </w:p>
        </w:tc>
      </w:tr>
      <w:tr w14:paraId="3C06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268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2、运行维护经费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621A5F1">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FD9008C">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30F54A5">
            <w:pPr>
              <w:jc w:val="center"/>
              <w:rPr>
                <w:rFonts w:hint="eastAsia" w:ascii="宋体" w:hAnsi="宋体" w:eastAsia="宋体" w:cs="宋体"/>
                <w:i w:val="0"/>
                <w:iCs w:val="0"/>
                <w:color w:val="000000"/>
                <w:sz w:val="18"/>
                <w:szCs w:val="18"/>
                <w:u w:val="none"/>
              </w:rPr>
            </w:pPr>
          </w:p>
        </w:tc>
      </w:tr>
      <w:tr w14:paraId="2347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F32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3、本级专项资金（一个专项一行）</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27C9C2A">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DFD3083">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BECBE09">
            <w:pPr>
              <w:jc w:val="center"/>
              <w:rPr>
                <w:rFonts w:hint="eastAsia" w:ascii="宋体" w:hAnsi="宋体" w:eastAsia="宋体" w:cs="宋体"/>
                <w:i w:val="0"/>
                <w:iCs w:val="0"/>
                <w:color w:val="000000"/>
                <w:sz w:val="18"/>
                <w:szCs w:val="18"/>
                <w:u w:val="none"/>
              </w:rPr>
            </w:pPr>
          </w:p>
        </w:tc>
      </w:tr>
      <w:tr w14:paraId="2A6B3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C93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公用经费：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03308E5">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0556C2E">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6D8D1AE">
            <w:pPr>
              <w:jc w:val="center"/>
              <w:rPr>
                <w:rFonts w:hint="eastAsia" w:ascii="宋体" w:hAnsi="宋体" w:eastAsia="宋体" w:cs="宋体"/>
                <w:i w:val="0"/>
                <w:iCs w:val="0"/>
                <w:color w:val="000000"/>
                <w:sz w:val="18"/>
                <w:szCs w:val="18"/>
                <w:u w:val="none"/>
              </w:rPr>
            </w:pPr>
          </w:p>
        </w:tc>
      </w:tr>
      <w:tr w14:paraId="4E04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827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其中：办公经费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FAC6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87.53</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BC5A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360E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77.54</w:t>
            </w:r>
          </w:p>
        </w:tc>
      </w:tr>
      <w:tr w14:paraId="2568E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207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水费、电费、差旅费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C5F1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66.43</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04CA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3727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53.83</w:t>
            </w:r>
          </w:p>
        </w:tc>
      </w:tr>
      <w:tr w14:paraId="1C8E3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AAA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会议费、培训费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B973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456.54</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10FF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16.16</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F08E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138.08</w:t>
            </w:r>
          </w:p>
        </w:tc>
      </w:tr>
      <w:tr w14:paraId="0CD0E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728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政府采购金额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0DA3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21.47</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FA04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13DB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0.32</w:t>
            </w:r>
          </w:p>
        </w:tc>
      </w:tr>
      <w:tr w14:paraId="0AA53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062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部门基本支出预算调整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C625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664.61</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4FA030B">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0AF3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531.07</w:t>
            </w:r>
          </w:p>
        </w:tc>
      </w:tr>
      <w:tr w14:paraId="174E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38" w:type="dxa"/>
            <w:vMerge w:val="restart"/>
            <w:tcBorders>
              <w:top w:val="single" w:color="000000" w:sz="4" w:space="0"/>
              <w:left w:val="single" w:color="000000" w:sz="4" w:space="0"/>
              <w:bottom w:val="single" w:color="000000" w:sz="4" w:space="0"/>
              <w:right w:val="single" w:color="000000" w:sz="4" w:space="0"/>
            </w:tcBorders>
            <w:shd w:val="clear"/>
            <w:vAlign w:val="center"/>
          </w:tcPr>
          <w:p w14:paraId="2B9E75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 xml:space="preserve">楼堂馆所控制情况 </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（2024年完工项目）</w:t>
            </w:r>
          </w:p>
        </w:tc>
        <w:tc>
          <w:tcPr>
            <w:tcW w:w="884" w:type="dxa"/>
            <w:tcBorders>
              <w:top w:val="single" w:color="000000" w:sz="4" w:space="0"/>
              <w:left w:val="single" w:color="000000" w:sz="4" w:space="0"/>
              <w:bottom w:val="single" w:color="000000" w:sz="4" w:space="0"/>
              <w:right w:val="single" w:color="000000" w:sz="4" w:space="0"/>
            </w:tcBorders>
            <w:shd w:val="clear"/>
            <w:vAlign w:val="center"/>
          </w:tcPr>
          <w:p w14:paraId="617FE7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 xml:space="preserve">批复规模 </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vAlign w:val="center"/>
          </w:tcPr>
          <w:p w14:paraId="6F41E6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实际规模</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0A3B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规模控制率</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14:paraId="2C4272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预算投资</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vAlign w:val="center"/>
          </w:tcPr>
          <w:p w14:paraId="2020DF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实际投资</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D2D8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投资概算控制率</w:t>
            </w:r>
          </w:p>
        </w:tc>
      </w:tr>
      <w:tr w14:paraId="67BD5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23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4D54AD">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11C1A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356D6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16530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584E8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EA64E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432E2F">
            <w:pPr>
              <w:jc w:val="center"/>
              <w:rPr>
                <w:rFonts w:hint="eastAsia" w:ascii="宋体" w:hAnsi="宋体" w:eastAsia="宋体" w:cs="宋体"/>
                <w:i w:val="0"/>
                <w:iCs w:val="0"/>
                <w:color w:val="000000"/>
                <w:sz w:val="18"/>
                <w:szCs w:val="18"/>
                <w:u w:val="none"/>
              </w:rPr>
            </w:pPr>
          </w:p>
        </w:tc>
      </w:tr>
      <w:tr w14:paraId="5B5D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6B4C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厉行节约保障措施</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218A97F3">
            <w:pPr>
              <w:jc w:val="center"/>
              <w:rPr>
                <w:rFonts w:hint="eastAsia" w:ascii="宋体" w:hAnsi="宋体" w:eastAsia="宋体" w:cs="宋体"/>
                <w:i w:val="0"/>
                <w:iCs w:val="0"/>
                <w:color w:val="000000"/>
                <w:sz w:val="18"/>
                <w:szCs w:val="18"/>
                <w:u w:val="none"/>
              </w:rPr>
            </w:pPr>
          </w:p>
        </w:tc>
      </w:tr>
    </w:tbl>
    <w:p w14:paraId="4B7E011C">
      <w:pPr>
        <w:pStyle w:val="2"/>
        <w:ind w:left="0" w:leftChars="0" w:firstLine="0" w:firstLineChars="0"/>
        <w:jc w:val="both"/>
        <w:rPr>
          <w:rFonts w:hint="eastAsia" w:ascii="仿宋" w:hAnsi="仿宋" w:eastAsia="仿宋" w:cs="仿宋"/>
          <w:b/>
          <w:bCs/>
          <w:kern w:val="0"/>
          <w:sz w:val="24"/>
          <w:szCs w:val="24"/>
          <w:lang w:eastAsia="zh-CN"/>
        </w:rPr>
      </w:pPr>
    </w:p>
    <w:p w14:paraId="0542C333">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kern w:val="0"/>
          <w:sz w:val="32"/>
          <w:szCs w:val="32"/>
        </w:rPr>
      </w:pPr>
    </w:p>
    <w:p w14:paraId="526D3CCA">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kern w:val="0"/>
          <w:sz w:val="32"/>
          <w:szCs w:val="32"/>
        </w:rPr>
      </w:pPr>
    </w:p>
    <w:p w14:paraId="2650B28F">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kern w:val="0"/>
          <w:sz w:val="32"/>
          <w:szCs w:val="32"/>
        </w:rPr>
      </w:pPr>
    </w:p>
    <w:p w14:paraId="0D9AEB3C">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rPr>
        <w:t>附件</w:t>
      </w:r>
      <w:r>
        <w:rPr>
          <w:rFonts w:hint="eastAsia" w:ascii="黑体" w:hAnsi="黑体" w:eastAsia="黑体" w:cs="黑体"/>
          <w:b w:val="0"/>
          <w:bCs w:val="0"/>
          <w:kern w:val="0"/>
          <w:sz w:val="32"/>
          <w:szCs w:val="32"/>
          <w:lang w:val="en-US" w:eastAsia="zh-CN"/>
        </w:rPr>
        <w:t>2</w:t>
      </w:r>
    </w:p>
    <w:p w14:paraId="07BF11C5">
      <w:pPr>
        <w:spacing w:line="640" w:lineRule="exact"/>
        <w:ind w:firstLine="80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部门整体支出绩效自评表</w:t>
      </w:r>
    </w:p>
    <w:tbl>
      <w:tblPr>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98"/>
        <w:gridCol w:w="395"/>
        <w:gridCol w:w="1065"/>
        <w:gridCol w:w="1139"/>
        <w:gridCol w:w="812"/>
        <w:gridCol w:w="812"/>
        <w:gridCol w:w="812"/>
        <w:gridCol w:w="387"/>
        <w:gridCol w:w="426"/>
        <w:gridCol w:w="639"/>
        <w:gridCol w:w="848"/>
        <w:gridCol w:w="696"/>
      </w:tblGrid>
      <w:tr w14:paraId="4E9A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 w:hRule="atLeast"/>
        </w:trPr>
        <w:tc>
          <w:tcPr>
            <w:tcW w:w="1858"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39635FA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预算部门名称</w:t>
            </w:r>
          </w:p>
        </w:tc>
        <w:tc>
          <w:tcPr>
            <w:tcW w:w="6571" w:type="dxa"/>
            <w:gridSpan w:val="9"/>
            <w:tcBorders>
              <w:top w:val="single" w:color="000000" w:sz="4" w:space="0"/>
              <w:left w:val="single" w:color="000000" w:sz="4" w:space="0"/>
              <w:bottom w:val="single" w:color="000000" w:sz="4" w:space="0"/>
              <w:right w:val="single" w:color="000000" w:sz="4" w:space="0"/>
            </w:tcBorders>
            <w:shd w:val="clear"/>
            <w:noWrap/>
            <w:vAlign w:val="center"/>
          </w:tcPr>
          <w:p w14:paraId="400211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隆回县人大常委会办公室</w:t>
            </w:r>
          </w:p>
        </w:tc>
      </w:tr>
      <w:tr w14:paraId="55E5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7" w:hRule="atLeast"/>
        </w:trPr>
        <w:tc>
          <w:tcPr>
            <w:tcW w:w="1858"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4C4760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年度预算申请</w:t>
            </w:r>
            <w:r>
              <w:rPr>
                <w:rFonts w:hint="eastAsia" w:ascii="仿宋" w:hAnsi="仿宋" w:eastAsia="仿宋" w:cs="仿宋"/>
                <w:i w:val="0"/>
                <w:iCs w:val="0"/>
                <w:color w:val="000000"/>
                <w:kern w:val="0"/>
                <w:sz w:val="18"/>
                <w:szCs w:val="18"/>
                <w:u w:val="none"/>
                <w:bdr w:val="none" w:color="auto" w:sz="0" w:space="0"/>
                <w:lang w:val="en-US" w:eastAsia="zh-CN" w:bidi="ar"/>
              </w:rPr>
              <w:br w:type="textWrapping"/>
            </w:r>
            <w:r>
              <w:rPr>
                <w:rFonts w:hint="eastAsia" w:ascii="仿宋" w:hAnsi="仿宋" w:eastAsia="仿宋" w:cs="仿宋"/>
                <w:i w:val="0"/>
                <w:iCs w:val="0"/>
                <w:color w:val="000000"/>
                <w:kern w:val="0"/>
                <w:sz w:val="18"/>
                <w:szCs w:val="18"/>
                <w:u w:val="none"/>
                <w:bdr w:val="none" w:color="auto" w:sz="0" w:space="0"/>
                <w:lang w:val="en-US" w:eastAsia="zh-CN" w:bidi="ar"/>
              </w:rPr>
              <w:t>(万元)</w:t>
            </w:r>
          </w:p>
        </w:tc>
        <w:tc>
          <w:tcPr>
            <w:tcW w:w="1139" w:type="dxa"/>
            <w:tcBorders>
              <w:top w:val="single" w:color="000000" w:sz="4" w:space="0"/>
              <w:left w:val="single" w:color="000000" w:sz="4" w:space="0"/>
              <w:bottom w:val="single" w:color="000000" w:sz="4" w:space="0"/>
              <w:right w:val="single" w:color="000000" w:sz="4" w:space="0"/>
            </w:tcBorders>
            <w:shd w:val="clear"/>
            <w:vAlign w:val="center"/>
          </w:tcPr>
          <w:p w14:paraId="4568CF0D">
            <w:pPr>
              <w:jc w:val="center"/>
              <w:rPr>
                <w:rFonts w:hint="eastAsia" w:ascii="仿宋" w:hAnsi="仿宋" w:eastAsia="仿宋" w:cs="仿宋"/>
                <w:i w:val="0"/>
                <w:iCs w:val="0"/>
                <w:color w:val="000000"/>
                <w:sz w:val="18"/>
                <w:szCs w:val="18"/>
                <w:u w:val="none"/>
              </w:rPr>
            </w:pP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645215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年初预算数</w:t>
            </w:r>
            <w:r>
              <w:rPr>
                <w:rFonts w:hint="eastAsia" w:ascii="仿宋" w:hAnsi="仿宋" w:eastAsia="仿宋" w:cs="仿宋"/>
                <w:b/>
                <w:bCs/>
                <w:i w:val="0"/>
                <w:iCs w:val="0"/>
                <w:color w:val="000000"/>
                <w:kern w:val="0"/>
                <w:sz w:val="18"/>
                <w:szCs w:val="18"/>
                <w:u w:val="none"/>
                <w:bdr w:val="none" w:color="auto" w:sz="0" w:space="0"/>
                <w:lang w:val="en-US" w:eastAsia="zh-CN" w:bidi="ar"/>
              </w:rPr>
              <w:br w:type="textWrapping"/>
            </w:r>
            <w:r>
              <w:rPr>
                <w:rFonts w:hint="eastAsia" w:ascii="仿宋" w:hAnsi="仿宋" w:eastAsia="仿宋" w:cs="仿宋"/>
                <w:b/>
                <w:bCs/>
                <w:i w:val="0"/>
                <w:iCs w:val="0"/>
                <w:color w:val="000000"/>
                <w:kern w:val="0"/>
                <w:sz w:val="18"/>
                <w:szCs w:val="18"/>
                <w:u w:val="none"/>
                <w:bdr w:val="none" w:color="auto" w:sz="0" w:space="0"/>
                <w:lang w:val="en-US" w:eastAsia="zh-CN" w:bidi="ar"/>
              </w:rPr>
              <w:t>(万元)</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733152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全年预算数</w:t>
            </w:r>
            <w:r>
              <w:rPr>
                <w:rFonts w:hint="eastAsia" w:ascii="仿宋" w:hAnsi="仿宋" w:eastAsia="仿宋" w:cs="仿宋"/>
                <w:b/>
                <w:bCs/>
                <w:i w:val="0"/>
                <w:iCs w:val="0"/>
                <w:color w:val="000000"/>
                <w:kern w:val="0"/>
                <w:sz w:val="18"/>
                <w:szCs w:val="18"/>
                <w:u w:val="none"/>
                <w:bdr w:val="none" w:color="auto" w:sz="0" w:space="0"/>
                <w:lang w:val="en-US" w:eastAsia="zh-CN" w:bidi="ar"/>
              </w:rPr>
              <w:br w:type="textWrapping"/>
            </w:r>
            <w:r>
              <w:rPr>
                <w:rFonts w:hint="eastAsia" w:ascii="仿宋" w:hAnsi="仿宋" w:eastAsia="仿宋" w:cs="仿宋"/>
                <w:b/>
                <w:bCs/>
                <w:i w:val="0"/>
                <w:iCs w:val="0"/>
                <w:color w:val="000000"/>
                <w:kern w:val="0"/>
                <w:sz w:val="18"/>
                <w:szCs w:val="18"/>
                <w:u w:val="none"/>
                <w:bdr w:val="none" w:color="auto" w:sz="0" w:space="0"/>
                <w:lang w:val="en-US" w:eastAsia="zh-CN" w:bidi="ar"/>
              </w:rPr>
              <w:t>（万元）</w:t>
            </w:r>
          </w:p>
        </w:tc>
        <w:tc>
          <w:tcPr>
            <w:tcW w:w="1625"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3332AB7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全年执行数</w:t>
            </w:r>
            <w:r>
              <w:rPr>
                <w:rFonts w:hint="eastAsia" w:ascii="仿宋" w:hAnsi="仿宋" w:eastAsia="仿宋" w:cs="仿宋"/>
                <w:b/>
                <w:bCs/>
                <w:i w:val="0"/>
                <w:iCs w:val="0"/>
                <w:color w:val="000000"/>
                <w:kern w:val="0"/>
                <w:sz w:val="18"/>
                <w:szCs w:val="18"/>
                <w:u w:val="none"/>
                <w:bdr w:val="none" w:color="auto" w:sz="0" w:space="0"/>
                <w:lang w:val="en-US" w:eastAsia="zh-CN" w:bidi="ar"/>
              </w:rPr>
              <w:br w:type="textWrapping"/>
            </w:r>
            <w:r>
              <w:rPr>
                <w:rFonts w:hint="eastAsia" w:ascii="仿宋" w:hAnsi="仿宋" w:eastAsia="仿宋" w:cs="仿宋"/>
                <w:b/>
                <w:bCs/>
                <w:i w:val="0"/>
                <w:iCs w:val="0"/>
                <w:color w:val="000000"/>
                <w:kern w:val="0"/>
                <w:sz w:val="18"/>
                <w:szCs w:val="18"/>
                <w:u w:val="none"/>
                <w:bdr w:val="none" w:color="auto" w:sz="0" w:space="0"/>
                <w:lang w:val="en-US" w:eastAsia="zh-CN" w:bidi="ar"/>
              </w:rPr>
              <w:t>（万元）</w:t>
            </w:r>
          </w:p>
        </w:tc>
        <w:tc>
          <w:tcPr>
            <w:tcW w:w="639" w:type="dxa"/>
            <w:tcBorders>
              <w:top w:val="single" w:color="000000" w:sz="4" w:space="0"/>
              <w:left w:val="single" w:color="000000" w:sz="4" w:space="0"/>
              <w:bottom w:val="single" w:color="000000" w:sz="4" w:space="0"/>
              <w:right w:val="single" w:color="000000" w:sz="4" w:space="0"/>
            </w:tcBorders>
            <w:shd w:val="clear"/>
            <w:vAlign w:val="center"/>
          </w:tcPr>
          <w:p w14:paraId="72E95BC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分值</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AC4BCE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执行率</w:t>
            </w:r>
          </w:p>
        </w:tc>
        <w:tc>
          <w:tcPr>
            <w:tcW w:w="696" w:type="dxa"/>
            <w:tcBorders>
              <w:top w:val="single" w:color="000000" w:sz="4" w:space="0"/>
              <w:left w:val="single" w:color="000000" w:sz="4" w:space="0"/>
              <w:bottom w:val="single" w:color="000000" w:sz="4" w:space="0"/>
              <w:right w:val="single" w:color="000000" w:sz="4" w:space="0"/>
            </w:tcBorders>
            <w:shd w:val="clear"/>
            <w:vAlign w:val="center"/>
          </w:tcPr>
          <w:p w14:paraId="5B76AF5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得分</w:t>
            </w:r>
          </w:p>
        </w:tc>
      </w:tr>
      <w:tr w14:paraId="4FCE0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2" w:hRule="atLeast"/>
        </w:trPr>
        <w:tc>
          <w:tcPr>
            <w:tcW w:w="1858"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3F2C2F1">
            <w:pPr>
              <w:jc w:val="center"/>
              <w:rPr>
                <w:rFonts w:hint="eastAsia" w:ascii="仿宋" w:hAnsi="仿宋" w:eastAsia="仿宋" w:cs="仿宋"/>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vAlign w:val="center"/>
          </w:tcPr>
          <w:p w14:paraId="05191E4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年度资金总额：</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4E2F3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884.31</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3348A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1440.45</w:t>
            </w:r>
          </w:p>
        </w:tc>
        <w:tc>
          <w:tcPr>
            <w:tcW w:w="1625" w:type="dxa"/>
            <w:gridSpan w:val="3"/>
            <w:tcBorders>
              <w:top w:val="single" w:color="000000" w:sz="4" w:space="0"/>
              <w:left w:val="single" w:color="000000" w:sz="4" w:space="0"/>
              <w:bottom w:val="single" w:color="000000" w:sz="4" w:space="0"/>
              <w:right w:val="single" w:color="000000" w:sz="4" w:space="0"/>
            </w:tcBorders>
            <w:shd w:val="clear"/>
            <w:vAlign w:val="center"/>
          </w:tcPr>
          <w:p w14:paraId="0F0BAB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1296.38</w:t>
            </w:r>
          </w:p>
        </w:tc>
        <w:tc>
          <w:tcPr>
            <w:tcW w:w="639" w:type="dxa"/>
            <w:tcBorders>
              <w:top w:val="single" w:color="000000" w:sz="4" w:space="0"/>
              <w:left w:val="single" w:color="000000" w:sz="4" w:space="0"/>
              <w:bottom w:val="single" w:color="000000" w:sz="4" w:space="0"/>
              <w:right w:val="single" w:color="000000" w:sz="4" w:space="0"/>
            </w:tcBorders>
            <w:shd w:val="clear"/>
            <w:vAlign w:val="center"/>
          </w:tcPr>
          <w:p w14:paraId="42FF17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FCBE8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89.99%</w:t>
            </w:r>
          </w:p>
        </w:tc>
        <w:tc>
          <w:tcPr>
            <w:tcW w:w="696" w:type="dxa"/>
            <w:tcBorders>
              <w:top w:val="single" w:color="000000" w:sz="4" w:space="0"/>
              <w:left w:val="single" w:color="000000" w:sz="4" w:space="0"/>
              <w:bottom w:val="single" w:color="000000" w:sz="4" w:space="0"/>
              <w:right w:val="single" w:color="000000" w:sz="4" w:space="0"/>
            </w:tcBorders>
            <w:shd w:val="clear"/>
            <w:vAlign w:val="center"/>
          </w:tcPr>
          <w:p w14:paraId="5A7F59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9.00</w:t>
            </w:r>
          </w:p>
        </w:tc>
      </w:tr>
      <w:tr w14:paraId="615A2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 w:hRule="atLeast"/>
        </w:trPr>
        <w:tc>
          <w:tcPr>
            <w:tcW w:w="1858"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2F20FD79">
            <w:pPr>
              <w:jc w:val="center"/>
              <w:rPr>
                <w:rFonts w:hint="eastAsia" w:ascii="仿宋" w:hAnsi="仿宋" w:eastAsia="仿宋" w:cs="仿宋"/>
                <w:i w:val="0"/>
                <w:iCs w:val="0"/>
                <w:color w:val="000000"/>
                <w:sz w:val="18"/>
                <w:szCs w:val="18"/>
                <w:u w:val="none"/>
              </w:rPr>
            </w:pPr>
          </w:p>
        </w:tc>
        <w:tc>
          <w:tcPr>
            <w:tcW w:w="4388" w:type="dxa"/>
            <w:gridSpan w:val="6"/>
            <w:tcBorders>
              <w:top w:val="single" w:color="000000" w:sz="4" w:space="0"/>
              <w:left w:val="single" w:color="000000" w:sz="4" w:space="0"/>
              <w:bottom w:val="single" w:color="000000" w:sz="4" w:space="0"/>
              <w:right w:val="single" w:color="000000" w:sz="4" w:space="0"/>
            </w:tcBorders>
            <w:shd w:val="clear"/>
            <w:vAlign w:val="center"/>
          </w:tcPr>
          <w:p w14:paraId="5417CE3A">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按收入性质分：</w:t>
            </w:r>
          </w:p>
        </w:tc>
        <w:tc>
          <w:tcPr>
            <w:tcW w:w="2183" w:type="dxa"/>
            <w:gridSpan w:val="3"/>
            <w:tcBorders>
              <w:top w:val="single" w:color="000000" w:sz="4" w:space="0"/>
              <w:left w:val="single" w:color="000000" w:sz="4" w:space="0"/>
              <w:bottom w:val="single" w:color="000000" w:sz="4" w:space="0"/>
              <w:right w:val="single" w:color="000000" w:sz="4" w:space="0"/>
            </w:tcBorders>
            <w:shd w:val="clear"/>
            <w:vAlign w:val="center"/>
          </w:tcPr>
          <w:p w14:paraId="6F0200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按支出性质分：</w:t>
            </w:r>
          </w:p>
        </w:tc>
      </w:tr>
      <w:tr w14:paraId="43633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2" w:hRule="atLeast"/>
        </w:trPr>
        <w:tc>
          <w:tcPr>
            <w:tcW w:w="1858"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10C20466">
            <w:pPr>
              <w:jc w:val="center"/>
              <w:rPr>
                <w:rFonts w:hint="eastAsia" w:ascii="仿宋" w:hAnsi="仿宋" w:eastAsia="仿宋" w:cs="仿宋"/>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vAlign w:val="center"/>
          </w:tcPr>
          <w:p w14:paraId="19D172E5">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一般公共预算：</w:t>
            </w:r>
          </w:p>
        </w:tc>
        <w:tc>
          <w:tcPr>
            <w:tcW w:w="3249" w:type="dxa"/>
            <w:gridSpan w:val="5"/>
            <w:tcBorders>
              <w:top w:val="single" w:color="000000" w:sz="4" w:space="0"/>
              <w:left w:val="single" w:color="000000" w:sz="4" w:space="0"/>
              <w:bottom w:val="single" w:color="000000" w:sz="4" w:space="0"/>
              <w:right w:val="single" w:color="000000" w:sz="4" w:space="0"/>
            </w:tcBorders>
            <w:shd w:val="clear"/>
            <w:vAlign w:val="center"/>
          </w:tcPr>
          <w:p w14:paraId="5B4F45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1353.79</w:t>
            </w:r>
          </w:p>
        </w:tc>
        <w:tc>
          <w:tcPr>
            <w:tcW w:w="63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449DF1">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其中:基本支出：</w:t>
            </w:r>
          </w:p>
        </w:tc>
        <w:tc>
          <w:tcPr>
            <w:tcW w:w="1544"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9AA18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1296.38</w:t>
            </w:r>
          </w:p>
        </w:tc>
      </w:tr>
      <w:tr w14:paraId="1E2C3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2" w:hRule="atLeast"/>
        </w:trPr>
        <w:tc>
          <w:tcPr>
            <w:tcW w:w="1858"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632406B8">
            <w:pPr>
              <w:jc w:val="center"/>
              <w:rPr>
                <w:rFonts w:hint="eastAsia" w:ascii="仿宋" w:hAnsi="仿宋" w:eastAsia="仿宋" w:cs="仿宋"/>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vAlign w:val="center"/>
          </w:tcPr>
          <w:p w14:paraId="66D3F7FD">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政府性基金拨款：</w:t>
            </w:r>
          </w:p>
        </w:tc>
        <w:tc>
          <w:tcPr>
            <w:tcW w:w="3249" w:type="dxa"/>
            <w:gridSpan w:val="5"/>
            <w:tcBorders>
              <w:top w:val="single" w:color="000000" w:sz="4" w:space="0"/>
              <w:left w:val="single" w:color="000000" w:sz="4" w:space="0"/>
              <w:bottom w:val="single" w:color="000000" w:sz="4" w:space="0"/>
              <w:right w:val="single" w:color="000000" w:sz="4" w:space="0"/>
            </w:tcBorders>
            <w:shd w:val="clear"/>
            <w:vAlign w:val="center"/>
          </w:tcPr>
          <w:p w14:paraId="28804C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0.00</w:t>
            </w:r>
          </w:p>
        </w:tc>
        <w:tc>
          <w:tcPr>
            <w:tcW w:w="6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489002">
            <w:pPr>
              <w:jc w:val="center"/>
              <w:rPr>
                <w:rFonts w:hint="eastAsia" w:ascii="仿宋" w:hAnsi="仿宋" w:eastAsia="仿宋" w:cs="仿宋"/>
                <w:b/>
                <w:bCs/>
                <w:i w:val="0"/>
                <w:iCs w:val="0"/>
                <w:color w:val="000000"/>
                <w:sz w:val="18"/>
                <w:szCs w:val="18"/>
                <w:u w:val="none"/>
              </w:rPr>
            </w:pPr>
          </w:p>
        </w:tc>
        <w:tc>
          <w:tcPr>
            <w:tcW w:w="1544"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D7FA58D">
            <w:pPr>
              <w:jc w:val="center"/>
              <w:rPr>
                <w:rFonts w:hint="eastAsia" w:ascii="仿宋" w:hAnsi="仿宋" w:eastAsia="仿宋" w:cs="仿宋"/>
                <w:i w:val="0"/>
                <w:iCs w:val="0"/>
                <w:color w:val="000000"/>
                <w:sz w:val="18"/>
                <w:szCs w:val="18"/>
                <w:u w:val="none"/>
              </w:rPr>
            </w:pPr>
          </w:p>
        </w:tc>
      </w:tr>
      <w:tr w14:paraId="707B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1858"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5E966B65">
            <w:pPr>
              <w:jc w:val="center"/>
              <w:rPr>
                <w:rFonts w:hint="eastAsia" w:ascii="仿宋" w:hAnsi="仿宋" w:eastAsia="仿宋" w:cs="仿宋"/>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vAlign w:val="center"/>
          </w:tcPr>
          <w:p w14:paraId="02633ECA">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纳入专户管理的非税收入拨款：</w:t>
            </w:r>
          </w:p>
        </w:tc>
        <w:tc>
          <w:tcPr>
            <w:tcW w:w="3249" w:type="dxa"/>
            <w:gridSpan w:val="5"/>
            <w:tcBorders>
              <w:top w:val="single" w:color="000000" w:sz="4" w:space="0"/>
              <w:left w:val="single" w:color="000000" w:sz="4" w:space="0"/>
              <w:bottom w:val="single" w:color="000000" w:sz="4" w:space="0"/>
              <w:right w:val="single" w:color="000000" w:sz="4" w:space="0"/>
            </w:tcBorders>
            <w:shd w:val="clear"/>
            <w:vAlign w:val="center"/>
          </w:tcPr>
          <w:p w14:paraId="287C0E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0.00</w:t>
            </w:r>
          </w:p>
        </w:tc>
        <w:tc>
          <w:tcPr>
            <w:tcW w:w="63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B490E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项目支出：</w:t>
            </w:r>
          </w:p>
        </w:tc>
        <w:tc>
          <w:tcPr>
            <w:tcW w:w="1544"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061D2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0.00</w:t>
            </w:r>
          </w:p>
        </w:tc>
      </w:tr>
      <w:tr w14:paraId="31685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0" w:hRule="atLeast"/>
        </w:trPr>
        <w:tc>
          <w:tcPr>
            <w:tcW w:w="1858"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AF04223">
            <w:pPr>
              <w:jc w:val="center"/>
              <w:rPr>
                <w:rFonts w:hint="eastAsia" w:ascii="仿宋" w:hAnsi="仿宋" w:eastAsia="仿宋" w:cs="仿宋"/>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vAlign w:val="center"/>
          </w:tcPr>
          <w:p w14:paraId="0EA17C8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其他资金</w:t>
            </w:r>
          </w:p>
        </w:tc>
        <w:tc>
          <w:tcPr>
            <w:tcW w:w="3249" w:type="dxa"/>
            <w:gridSpan w:val="5"/>
            <w:tcBorders>
              <w:top w:val="single" w:color="000000" w:sz="4" w:space="0"/>
              <w:left w:val="single" w:color="000000" w:sz="4" w:space="0"/>
              <w:bottom w:val="single" w:color="000000" w:sz="4" w:space="0"/>
              <w:right w:val="single" w:color="000000" w:sz="4" w:space="0"/>
            </w:tcBorders>
            <w:shd w:val="clear"/>
            <w:vAlign w:val="center"/>
          </w:tcPr>
          <w:p w14:paraId="732D48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86.66</w:t>
            </w:r>
          </w:p>
        </w:tc>
        <w:tc>
          <w:tcPr>
            <w:tcW w:w="6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CC9719">
            <w:pPr>
              <w:jc w:val="center"/>
              <w:rPr>
                <w:rFonts w:hint="eastAsia" w:ascii="仿宋" w:hAnsi="仿宋" w:eastAsia="仿宋" w:cs="仿宋"/>
                <w:b/>
                <w:bCs/>
                <w:i w:val="0"/>
                <w:iCs w:val="0"/>
                <w:color w:val="000000"/>
                <w:sz w:val="18"/>
                <w:szCs w:val="18"/>
                <w:u w:val="none"/>
              </w:rPr>
            </w:pPr>
          </w:p>
        </w:tc>
        <w:tc>
          <w:tcPr>
            <w:tcW w:w="1544"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E3A7DD1">
            <w:pPr>
              <w:jc w:val="center"/>
              <w:rPr>
                <w:rFonts w:hint="eastAsia" w:ascii="仿宋" w:hAnsi="仿宋" w:eastAsia="仿宋" w:cs="仿宋"/>
                <w:i w:val="0"/>
                <w:iCs w:val="0"/>
                <w:color w:val="000000"/>
                <w:sz w:val="18"/>
                <w:szCs w:val="18"/>
                <w:u w:val="none"/>
              </w:rPr>
            </w:pPr>
          </w:p>
        </w:tc>
      </w:tr>
      <w:tr w14:paraId="4207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 w:hRule="atLeast"/>
        </w:trPr>
        <w:tc>
          <w:tcPr>
            <w:tcW w:w="1858"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3A48E10E">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年度总体目标</w:t>
            </w:r>
          </w:p>
        </w:tc>
        <w:tc>
          <w:tcPr>
            <w:tcW w:w="4388" w:type="dxa"/>
            <w:gridSpan w:val="6"/>
            <w:tcBorders>
              <w:top w:val="single" w:color="000000" w:sz="4" w:space="0"/>
              <w:left w:val="single" w:color="000000" w:sz="4" w:space="0"/>
              <w:bottom w:val="single" w:color="000000" w:sz="4" w:space="0"/>
              <w:right w:val="single" w:color="000000" w:sz="4" w:space="0"/>
            </w:tcBorders>
            <w:shd w:val="clear"/>
            <w:vAlign w:val="center"/>
          </w:tcPr>
          <w:p w14:paraId="782332A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预期目标</w:t>
            </w:r>
          </w:p>
        </w:tc>
        <w:tc>
          <w:tcPr>
            <w:tcW w:w="2183" w:type="dxa"/>
            <w:gridSpan w:val="3"/>
            <w:tcBorders>
              <w:top w:val="single" w:color="000000" w:sz="4" w:space="0"/>
              <w:left w:val="single" w:color="000000" w:sz="4" w:space="0"/>
              <w:bottom w:val="single" w:color="000000" w:sz="4" w:space="0"/>
              <w:right w:val="single" w:color="000000" w:sz="4" w:space="0"/>
            </w:tcBorders>
            <w:shd w:val="clear"/>
            <w:vAlign w:val="center"/>
          </w:tcPr>
          <w:p w14:paraId="2F92A97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实际完成情况</w:t>
            </w:r>
          </w:p>
        </w:tc>
      </w:tr>
      <w:tr w14:paraId="13B64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35" w:hRule="atLeast"/>
        </w:trPr>
        <w:tc>
          <w:tcPr>
            <w:tcW w:w="1858"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24F611BA">
            <w:pPr>
              <w:jc w:val="center"/>
              <w:rPr>
                <w:rFonts w:hint="eastAsia" w:ascii="仿宋" w:hAnsi="仿宋" w:eastAsia="仿宋" w:cs="仿宋"/>
                <w:b/>
                <w:bCs/>
                <w:i w:val="0"/>
                <w:iCs w:val="0"/>
                <w:color w:val="000000"/>
                <w:sz w:val="18"/>
                <w:szCs w:val="18"/>
                <w:u w:val="none"/>
              </w:rPr>
            </w:pPr>
          </w:p>
        </w:tc>
        <w:tc>
          <w:tcPr>
            <w:tcW w:w="4388" w:type="dxa"/>
            <w:gridSpan w:val="6"/>
            <w:tcBorders>
              <w:top w:val="single" w:color="000000" w:sz="4" w:space="0"/>
              <w:left w:val="single" w:color="000000" w:sz="4" w:space="0"/>
              <w:bottom w:val="single" w:color="000000" w:sz="4" w:space="0"/>
              <w:right w:val="single" w:color="000000" w:sz="4" w:space="0"/>
            </w:tcBorders>
            <w:shd w:val="clear"/>
            <w:vAlign w:val="center"/>
          </w:tcPr>
          <w:p w14:paraId="729A8203">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 xml:space="preserve">1.做好县十七届人大四次会议的会务筹备工作和会务服务工作。协助常委会领导召开筹备协调小组工作会议、大会秘书处工作会议，对会务筹备工作和会议期间服务工作作出部署安排，抓好统筹协调和调查落实。 </w:t>
            </w:r>
            <w:r>
              <w:rPr>
                <w:rFonts w:hint="eastAsia" w:ascii="仿宋" w:hAnsi="仿宋" w:eastAsia="仿宋" w:cs="仿宋"/>
                <w:i w:val="0"/>
                <w:iCs w:val="0"/>
                <w:color w:val="000000"/>
                <w:kern w:val="0"/>
                <w:sz w:val="18"/>
                <w:szCs w:val="18"/>
                <w:u w:val="none"/>
                <w:bdr w:val="none" w:color="auto" w:sz="0" w:space="0"/>
                <w:lang w:val="en-US" w:eastAsia="zh-CN" w:bidi="ar"/>
              </w:rPr>
              <w:br w:type="textWrapping"/>
            </w:r>
            <w:r>
              <w:rPr>
                <w:rFonts w:hint="eastAsia" w:ascii="仿宋" w:hAnsi="仿宋" w:eastAsia="仿宋" w:cs="仿宋"/>
                <w:i w:val="0"/>
                <w:iCs w:val="0"/>
                <w:color w:val="000000"/>
                <w:kern w:val="0"/>
                <w:sz w:val="18"/>
                <w:szCs w:val="18"/>
                <w:u w:val="none"/>
                <w:bdr w:val="none" w:color="auto" w:sz="0" w:space="0"/>
                <w:lang w:val="en-US" w:eastAsia="zh-CN" w:bidi="ar"/>
              </w:rPr>
              <w:t xml:space="preserve">2.做好县人大常委会会议会务服务保障工作。及时印发会议通知，提出建议议程，精心编排会议日程，有序组织会议期间的报告和审议工作。 </w:t>
            </w:r>
            <w:r>
              <w:rPr>
                <w:rFonts w:hint="eastAsia" w:ascii="仿宋" w:hAnsi="仿宋" w:eastAsia="仿宋" w:cs="仿宋"/>
                <w:i w:val="0"/>
                <w:iCs w:val="0"/>
                <w:color w:val="000000"/>
                <w:kern w:val="0"/>
                <w:sz w:val="18"/>
                <w:szCs w:val="18"/>
                <w:u w:val="none"/>
                <w:bdr w:val="none" w:color="auto" w:sz="0" w:space="0"/>
                <w:lang w:val="en-US" w:eastAsia="zh-CN" w:bidi="ar"/>
              </w:rPr>
              <w:br w:type="textWrapping"/>
            </w:r>
            <w:r>
              <w:rPr>
                <w:rFonts w:hint="eastAsia" w:ascii="仿宋" w:hAnsi="仿宋" w:eastAsia="仿宋" w:cs="仿宋"/>
                <w:i w:val="0"/>
                <w:iCs w:val="0"/>
                <w:color w:val="000000"/>
                <w:kern w:val="0"/>
                <w:sz w:val="18"/>
                <w:szCs w:val="18"/>
                <w:u w:val="none"/>
                <w:bdr w:val="none" w:color="auto" w:sz="0" w:space="0"/>
                <w:lang w:val="en-US" w:eastAsia="zh-CN" w:bidi="ar"/>
              </w:rPr>
              <w:t>3.协助县人大常委会监督县人民政府、县人民法院、县人民检察院的工作，联系县人民代表大会代表，受理人民群众对上述机关和国家工作人员的申诉和意见。</w:t>
            </w:r>
          </w:p>
        </w:tc>
        <w:tc>
          <w:tcPr>
            <w:tcW w:w="2183" w:type="dxa"/>
            <w:gridSpan w:val="3"/>
            <w:tcBorders>
              <w:top w:val="single" w:color="000000" w:sz="4" w:space="0"/>
              <w:left w:val="single" w:color="000000" w:sz="4" w:space="0"/>
              <w:bottom w:val="single" w:color="000000" w:sz="4" w:space="0"/>
              <w:right w:val="single" w:color="000000" w:sz="4" w:space="0"/>
            </w:tcBorders>
            <w:shd w:val="clear"/>
            <w:vAlign w:val="center"/>
          </w:tcPr>
          <w:p w14:paraId="5522F9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圆满完成各项工作任务</w:t>
            </w:r>
          </w:p>
        </w:tc>
      </w:tr>
      <w:tr w14:paraId="68B0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3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32493D">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绩效指标</w:t>
            </w:r>
          </w:p>
        </w:tc>
        <w:tc>
          <w:tcPr>
            <w:tcW w:w="3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9DF16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一级指标</w:t>
            </w:r>
          </w:p>
        </w:tc>
        <w:tc>
          <w:tcPr>
            <w:tcW w:w="1065"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48BCC0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二级指标</w:t>
            </w:r>
          </w:p>
        </w:tc>
        <w:tc>
          <w:tcPr>
            <w:tcW w:w="113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439D0CD">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三级指标</w:t>
            </w:r>
          </w:p>
        </w:tc>
        <w:tc>
          <w:tcPr>
            <w:tcW w:w="812" w:type="dxa"/>
            <w:vMerge w:val="restart"/>
            <w:tcBorders>
              <w:top w:val="single" w:color="000000" w:sz="4" w:space="0"/>
              <w:left w:val="single" w:color="000000" w:sz="4" w:space="0"/>
              <w:bottom w:val="single" w:color="000000" w:sz="4" w:space="0"/>
              <w:right w:val="single" w:color="000000" w:sz="4" w:space="0"/>
            </w:tcBorders>
            <w:shd w:val="clear"/>
            <w:vAlign w:val="center"/>
          </w:tcPr>
          <w:p w14:paraId="5F23743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年度指标值</w:t>
            </w:r>
          </w:p>
        </w:tc>
        <w:tc>
          <w:tcPr>
            <w:tcW w:w="812"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04932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实际完成值</w:t>
            </w:r>
          </w:p>
        </w:tc>
        <w:tc>
          <w:tcPr>
            <w:tcW w:w="812"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5C8FD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评扣分标准</w:t>
            </w:r>
          </w:p>
        </w:tc>
        <w:tc>
          <w:tcPr>
            <w:tcW w:w="387"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FAEA2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分值</w:t>
            </w:r>
          </w:p>
        </w:tc>
        <w:tc>
          <w:tcPr>
            <w:tcW w:w="4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354A3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得分</w:t>
            </w:r>
          </w:p>
        </w:tc>
        <w:tc>
          <w:tcPr>
            <w:tcW w:w="2183" w:type="dxa"/>
            <w:gridSpan w:val="3"/>
            <w:vMerge w:val="restart"/>
            <w:tcBorders>
              <w:top w:val="single" w:color="000000" w:sz="4" w:space="0"/>
              <w:left w:val="single" w:color="000000" w:sz="4" w:space="0"/>
              <w:bottom w:val="single" w:color="000000" w:sz="4" w:space="0"/>
              <w:right w:val="single" w:color="000000" w:sz="4" w:space="0"/>
            </w:tcBorders>
            <w:shd w:val="clear"/>
            <w:noWrap/>
            <w:vAlign w:val="center"/>
          </w:tcPr>
          <w:p w14:paraId="00BC7BAF">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偏差原因分析及改进措施</w:t>
            </w:r>
          </w:p>
        </w:tc>
      </w:tr>
      <w:tr w14:paraId="4A7DF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85146A">
            <w:pPr>
              <w:jc w:val="center"/>
              <w:rPr>
                <w:rFonts w:hint="eastAsia" w:ascii="仿宋" w:hAnsi="仿宋" w:eastAsia="仿宋" w:cs="仿宋"/>
                <w:b/>
                <w:bCs/>
                <w:i w:val="0"/>
                <w:iCs w:val="0"/>
                <w:color w:val="000000"/>
                <w:sz w:val="18"/>
                <w:szCs w:val="18"/>
                <w:u w:val="none"/>
              </w:rPr>
            </w:pPr>
          </w:p>
        </w:tc>
        <w:tc>
          <w:tcPr>
            <w:tcW w:w="3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A8F58B">
            <w:pPr>
              <w:jc w:val="center"/>
              <w:rPr>
                <w:rFonts w:hint="eastAsia" w:ascii="仿宋" w:hAnsi="仿宋" w:eastAsia="仿宋" w:cs="仿宋"/>
                <w:b/>
                <w:bCs/>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AF9997">
            <w:pPr>
              <w:jc w:val="center"/>
              <w:rPr>
                <w:rFonts w:hint="eastAsia" w:ascii="仿宋" w:hAnsi="仿宋" w:eastAsia="仿宋" w:cs="仿宋"/>
                <w:b/>
                <w:bCs/>
                <w:i w:val="0"/>
                <w:iCs w:val="0"/>
                <w:color w:val="000000"/>
                <w:sz w:val="18"/>
                <w:szCs w:val="18"/>
                <w:u w:val="none"/>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1ED821">
            <w:pPr>
              <w:jc w:val="center"/>
              <w:rPr>
                <w:rFonts w:hint="eastAsia" w:ascii="仿宋" w:hAnsi="仿宋" w:eastAsia="仿宋" w:cs="仿宋"/>
                <w:b/>
                <w:bCs/>
                <w:i w:val="0"/>
                <w:iCs w:val="0"/>
                <w:color w:val="000000"/>
                <w:sz w:val="18"/>
                <w:szCs w:val="18"/>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66C6C2">
            <w:pPr>
              <w:jc w:val="center"/>
              <w:rPr>
                <w:rFonts w:hint="eastAsia" w:ascii="仿宋" w:hAnsi="仿宋" w:eastAsia="仿宋" w:cs="仿宋"/>
                <w:b/>
                <w:bCs/>
                <w:i w:val="0"/>
                <w:iCs w:val="0"/>
                <w:color w:val="000000"/>
                <w:sz w:val="18"/>
                <w:szCs w:val="18"/>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510D03">
            <w:pPr>
              <w:jc w:val="center"/>
              <w:rPr>
                <w:rFonts w:hint="eastAsia" w:ascii="仿宋" w:hAnsi="仿宋" w:eastAsia="仿宋" w:cs="仿宋"/>
                <w:b/>
                <w:bCs/>
                <w:i w:val="0"/>
                <w:iCs w:val="0"/>
                <w:color w:val="000000"/>
                <w:sz w:val="18"/>
                <w:szCs w:val="18"/>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D10BA1">
            <w:pPr>
              <w:jc w:val="center"/>
              <w:rPr>
                <w:rFonts w:hint="eastAsia" w:ascii="仿宋" w:hAnsi="仿宋" w:eastAsia="仿宋" w:cs="仿宋"/>
                <w:b/>
                <w:bCs/>
                <w:i w:val="0"/>
                <w:iCs w:val="0"/>
                <w:color w:val="000000"/>
                <w:sz w:val="18"/>
                <w:szCs w:val="18"/>
                <w:u w:val="none"/>
              </w:rPr>
            </w:pPr>
          </w:p>
        </w:tc>
        <w:tc>
          <w:tcPr>
            <w:tcW w:w="3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13E238">
            <w:pPr>
              <w:jc w:val="center"/>
              <w:rPr>
                <w:rFonts w:hint="eastAsia" w:ascii="仿宋" w:hAnsi="仿宋" w:eastAsia="仿宋" w:cs="仿宋"/>
                <w:b/>
                <w:bCs/>
                <w:i w:val="0"/>
                <w:iCs w:val="0"/>
                <w:color w:val="000000"/>
                <w:sz w:val="18"/>
                <w:szCs w:val="18"/>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D43655">
            <w:pPr>
              <w:jc w:val="center"/>
              <w:rPr>
                <w:rFonts w:hint="eastAsia" w:ascii="仿宋" w:hAnsi="仿宋" w:eastAsia="仿宋" w:cs="仿宋"/>
                <w:b/>
                <w:bCs/>
                <w:i w:val="0"/>
                <w:iCs w:val="0"/>
                <w:color w:val="000000"/>
                <w:sz w:val="18"/>
                <w:szCs w:val="18"/>
                <w:u w:val="none"/>
              </w:rPr>
            </w:pPr>
          </w:p>
        </w:tc>
        <w:tc>
          <w:tcPr>
            <w:tcW w:w="2183" w:type="dxa"/>
            <w:gridSpan w:val="3"/>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51CAED">
            <w:pPr>
              <w:jc w:val="center"/>
              <w:rPr>
                <w:rFonts w:hint="eastAsia" w:ascii="仿宋" w:hAnsi="仿宋" w:eastAsia="仿宋" w:cs="仿宋"/>
                <w:b/>
                <w:bCs/>
                <w:i w:val="0"/>
                <w:iCs w:val="0"/>
                <w:color w:val="000000"/>
                <w:sz w:val="18"/>
                <w:szCs w:val="18"/>
                <w:u w:val="none"/>
              </w:rPr>
            </w:pPr>
          </w:p>
        </w:tc>
      </w:tr>
      <w:tr w14:paraId="7870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1" w:hRule="atLeast"/>
        </w:trPr>
        <w:tc>
          <w:tcPr>
            <w:tcW w:w="3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F2388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绩效指标</w:t>
            </w:r>
          </w:p>
        </w:tc>
        <w:tc>
          <w:tcPr>
            <w:tcW w:w="3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4B4E5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产出指标</w:t>
            </w:r>
          </w:p>
        </w:tc>
        <w:tc>
          <w:tcPr>
            <w:tcW w:w="1065"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CD3F76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数量指标</w:t>
            </w:r>
          </w:p>
        </w:tc>
        <w:tc>
          <w:tcPr>
            <w:tcW w:w="1139" w:type="dxa"/>
            <w:tcBorders>
              <w:top w:val="single" w:color="000000" w:sz="4" w:space="0"/>
              <w:left w:val="single" w:color="000000" w:sz="4" w:space="0"/>
              <w:bottom w:val="single" w:color="000000" w:sz="4" w:space="0"/>
              <w:right w:val="single" w:color="000000" w:sz="4" w:space="0"/>
            </w:tcBorders>
            <w:shd w:val="clear"/>
            <w:vAlign w:val="center"/>
          </w:tcPr>
          <w:p w14:paraId="368B0B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常委会会议召开次数</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98284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bookmarkStart w:id="0" w:name="_GoBack"/>
            <w:bookmarkEnd w:id="0"/>
            <w:r>
              <w:rPr>
                <w:rFonts w:hint="eastAsia" w:ascii="仿宋" w:hAnsi="仿宋" w:eastAsia="仿宋" w:cs="仿宋"/>
                <w:i w:val="0"/>
                <w:iCs w:val="0"/>
                <w:color w:val="000000"/>
                <w:kern w:val="0"/>
                <w:sz w:val="18"/>
                <w:szCs w:val="18"/>
                <w:u w:val="none"/>
                <w:bdr w:val="none" w:color="auto" w:sz="0" w:space="0"/>
                <w:lang w:val="en-US" w:eastAsia="zh-CN" w:bidi="ar"/>
              </w:rPr>
              <w:t>12</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17B66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12</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E29AE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召开次数达到12次得15分，未达到每少1次扣1分</w:t>
            </w:r>
          </w:p>
        </w:tc>
        <w:tc>
          <w:tcPr>
            <w:tcW w:w="387" w:type="dxa"/>
            <w:tcBorders>
              <w:top w:val="single" w:color="000000" w:sz="4" w:space="0"/>
              <w:left w:val="single" w:color="000000" w:sz="4" w:space="0"/>
              <w:bottom w:val="single" w:color="000000" w:sz="4" w:space="0"/>
              <w:right w:val="single" w:color="000000" w:sz="4" w:space="0"/>
            </w:tcBorders>
            <w:shd w:val="clear"/>
            <w:vAlign w:val="center"/>
          </w:tcPr>
          <w:p w14:paraId="76D8A9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15</w:t>
            </w:r>
          </w:p>
        </w:tc>
        <w:tc>
          <w:tcPr>
            <w:tcW w:w="426" w:type="dxa"/>
            <w:tcBorders>
              <w:top w:val="single" w:color="000000" w:sz="4" w:space="0"/>
              <w:left w:val="single" w:color="000000" w:sz="4" w:space="0"/>
              <w:bottom w:val="single" w:color="000000" w:sz="4" w:space="0"/>
              <w:right w:val="single" w:color="000000" w:sz="4" w:space="0"/>
            </w:tcBorders>
            <w:shd w:val="clear"/>
            <w:vAlign w:val="center"/>
          </w:tcPr>
          <w:p w14:paraId="3DBD56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15</w:t>
            </w:r>
          </w:p>
        </w:tc>
        <w:tc>
          <w:tcPr>
            <w:tcW w:w="2183"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776FC90E">
            <w:pPr>
              <w:jc w:val="center"/>
              <w:rPr>
                <w:rFonts w:hint="eastAsia" w:ascii="仿宋" w:hAnsi="仿宋" w:eastAsia="仿宋" w:cs="仿宋"/>
                <w:i w:val="0"/>
                <w:iCs w:val="0"/>
                <w:color w:val="000000"/>
                <w:sz w:val="18"/>
                <w:szCs w:val="18"/>
                <w:u w:val="none"/>
              </w:rPr>
            </w:pPr>
          </w:p>
        </w:tc>
      </w:tr>
      <w:tr w14:paraId="236FD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117125">
            <w:pPr>
              <w:rPr>
                <w:rFonts w:hint="eastAsia" w:ascii="仿宋" w:hAnsi="仿宋" w:eastAsia="仿宋" w:cs="仿宋"/>
                <w:i w:val="0"/>
                <w:iCs w:val="0"/>
                <w:color w:val="000000"/>
                <w:sz w:val="18"/>
                <w:szCs w:val="18"/>
                <w:u w:val="none"/>
              </w:rPr>
            </w:pPr>
          </w:p>
        </w:tc>
        <w:tc>
          <w:tcPr>
            <w:tcW w:w="3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DC0417">
            <w:pPr>
              <w:rPr>
                <w:rFonts w:hint="eastAsia" w:ascii="仿宋" w:hAnsi="仿宋" w:eastAsia="仿宋" w:cs="仿宋"/>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B7EA16">
            <w:pPr>
              <w:rPr>
                <w:rFonts w:hint="eastAsia" w:ascii="仿宋" w:hAnsi="仿宋" w:eastAsia="仿宋" w:cs="仿宋"/>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vAlign w:val="center"/>
          </w:tcPr>
          <w:p w14:paraId="7CBDC6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重点工作完成率</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98453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ACDBA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D3AD1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重点工作完成率达到100%得15分，未达到100%每少1%扣1分</w:t>
            </w:r>
          </w:p>
        </w:tc>
        <w:tc>
          <w:tcPr>
            <w:tcW w:w="387" w:type="dxa"/>
            <w:tcBorders>
              <w:top w:val="single" w:color="000000" w:sz="4" w:space="0"/>
              <w:left w:val="single" w:color="000000" w:sz="4" w:space="0"/>
              <w:bottom w:val="single" w:color="000000" w:sz="4" w:space="0"/>
              <w:right w:val="single" w:color="000000" w:sz="4" w:space="0"/>
            </w:tcBorders>
            <w:shd w:val="clear"/>
            <w:vAlign w:val="center"/>
          </w:tcPr>
          <w:p w14:paraId="5BA31F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15</w:t>
            </w:r>
          </w:p>
        </w:tc>
        <w:tc>
          <w:tcPr>
            <w:tcW w:w="426" w:type="dxa"/>
            <w:tcBorders>
              <w:top w:val="single" w:color="000000" w:sz="4" w:space="0"/>
              <w:left w:val="single" w:color="000000" w:sz="4" w:space="0"/>
              <w:bottom w:val="single" w:color="000000" w:sz="4" w:space="0"/>
              <w:right w:val="single" w:color="000000" w:sz="4" w:space="0"/>
            </w:tcBorders>
            <w:shd w:val="clear"/>
            <w:vAlign w:val="center"/>
          </w:tcPr>
          <w:p w14:paraId="484591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15</w:t>
            </w:r>
          </w:p>
        </w:tc>
        <w:tc>
          <w:tcPr>
            <w:tcW w:w="2183"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1F695309">
            <w:pPr>
              <w:jc w:val="center"/>
              <w:rPr>
                <w:rFonts w:hint="eastAsia" w:ascii="仿宋" w:hAnsi="仿宋" w:eastAsia="仿宋" w:cs="仿宋"/>
                <w:i w:val="0"/>
                <w:iCs w:val="0"/>
                <w:color w:val="000000"/>
                <w:sz w:val="18"/>
                <w:szCs w:val="18"/>
                <w:u w:val="none"/>
              </w:rPr>
            </w:pPr>
          </w:p>
        </w:tc>
      </w:tr>
      <w:tr w14:paraId="758C0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7"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D7FADC">
            <w:pPr>
              <w:rPr>
                <w:rFonts w:hint="eastAsia" w:ascii="仿宋" w:hAnsi="仿宋" w:eastAsia="仿宋" w:cs="仿宋"/>
                <w:i w:val="0"/>
                <w:iCs w:val="0"/>
                <w:color w:val="000000"/>
                <w:sz w:val="18"/>
                <w:szCs w:val="18"/>
                <w:u w:val="none"/>
              </w:rPr>
            </w:pPr>
          </w:p>
        </w:tc>
        <w:tc>
          <w:tcPr>
            <w:tcW w:w="3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F0FDD6">
            <w:pPr>
              <w:rPr>
                <w:rFonts w:hint="eastAsia" w:ascii="仿宋" w:hAnsi="仿宋" w:eastAsia="仿宋" w:cs="仿宋"/>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215461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质量指标</w:t>
            </w:r>
          </w:p>
        </w:tc>
        <w:tc>
          <w:tcPr>
            <w:tcW w:w="1139" w:type="dxa"/>
            <w:tcBorders>
              <w:top w:val="single" w:color="000000" w:sz="4" w:space="0"/>
              <w:left w:val="single" w:color="000000" w:sz="4" w:space="0"/>
              <w:bottom w:val="single" w:color="000000" w:sz="4" w:space="0"/>
              <w:right w:val="single" w:color="000000" w:sz="4" w:space="0"/>
            </w:tcBorders>
            <w:shd w:val="clear"/>
            <w:vAlign w:val="center"/>
          </w:tcPr>
          <w:p w14:paraId="08413D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预算执行率</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928F6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90</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CD157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90</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3D8B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预算执行率≥90%得10分，未达到每少1%扣1分</w:t>
            </w:r>
          </w:p>
        </w:tc>
        <w:tc>
          <w:tcPr>
            <w:tcW w:w="387" w:type="dxa"/>
            <w:tcBorders>
              <w:top w:val="single" w:color="000000" w:sz="4" w:space="0"/>
              <w:left w:val="single" w:color="000000" w:sz="4" w:space="0"/>
              <w:bottom w:val="single" w:color="000000" w:sz="4" w:space="0"/>
              <w:right w:val="single" w:color="000000" w:sz="4" w:space="0"/>
            </w:tcBorders>
            <w:shd w:val="clear"/>
            <w:vAlign w:val="center"/>
          </w:tcPr>
          <w:p w14:paraId="1B908E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vAlign w:val="center"/>
          </w:tcPr>
          <w:p w14:paraId="173DD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3"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3A59FEE2">
            <w:pPr>
              <w:jc w:val="center"/>
              <w:rPr>
                <w:rFonts w:hint="eastAsia" w:ascii="仿宋" w:hAnsi="仿宋" w:eastAsia="仿宋" w:cs="仿宋"/>
                <w:i w:val="0"/>
                <w:iCs w:val="0"/>
                <w:color w:val="000000"/>
                <w:sz w:val="18"/>
                <w:szCs w:val="18"/>
                <w:u w:val="none"/>
              </w:rPr>
            </w:pPr>
          </w:p>
        </w:tc>
      </w:tr>
      <w:tr w14:paraId="4C2B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1"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9675B5">
            <w:pPr>
              <w:rPr>
                <w:rFonts w:hint="eastAsia" w:ascii="仿宋" w:hAnsi="仿宋" w:eastAsia="仿宋" w:cs="仿宋"/>
                <w:i w:val="0"/>
                <w:iCs w:val="0"/>
                <w:color w:val="000000"/>
                <w:sz w:val="18"/>
                <w:szCs w:val="18"/>
                <w:u w:val="none"/>
              </w:rPr>
            </w:pPr>
          </w:p>
        </w:tc>
        <w:tc>
          <w:tcPr>
            <w:tcW w:w="3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17F60E">
            <w:pPr>
              <w:rPr>
                <w:rFonts w:hint="eastAsia" w:ascii="仿宋" w:hAnsi="仿宋" w:eastAsia="仿宋" w:cs="仿宋"/>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15B648C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时效指标</w:t>
            </w:r>
          </w:p>
        </w:tc>
        <w:tc>
          <w:tcPr>
            <w:tcW w:w="1139" w:type="dxa"/>
            <w:tcBorders>
              <w:top w:val="single" w:color="000000" w:sz="4" w:space="0"/>
              <w:left w:val="single" w:color="000000" w:sz="4" w:space="0"/>
              <w:bottom w:val="single" w:color="000000" w:sz="4" w:space="0"/>
              <w:right w:val="single" w:color="000000" w:sz="4" w:space="0"/>
            </w:tcBorders>
            <w:shd w:val="clear"/>
            <w:vAlign w:val="center"/>
          </w:tcPr>
          <w:p w14:paraId="736AEC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完成工作及时率</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F3D2C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本年底完成</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AD73B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完成</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02CFC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本年底完成重点工作得10分，未完成按进度得分</w:t>
            </w:r>
          </w:p>
        </w:tc>
        <w:tc>
          <w:tcPr>
            <w:tcW w:w="387" w:type="dxa"/>
            <w:tcBorders>
              <w:top w:val="single" w:color="000000" w:sz="4" w:space="0"/>
              <w:left w:val="single" w:color="000000" w:sz="4" w:space="0"/>
              <w:bottom w:val="single" w:color="000000" w:sz="4" w:space="0"/>
              <w:right w:val="single" w:color="000000" w:sz="4" w:space="0"/>
            </w:tcBorders>
            <w:shd w:val="clear"/>
            <w:vAlign w:val="center"/>
          </w:tcPr>
          <w:p w14:paraId="3531C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vAlign w:val="center"/>
          </w:tcPr>
          <w:p w14:paraId="45A2F1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3"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0E1131AC">
            <w:pPr>
              <w:jc w:val="center"/>
              <w:rPr>
                <w:rFonts w:hint="eastAsia" w:ascii="仿宋" w:hAnsi="仿宋" w:eastAsia="仿宋" w:cs="仿宋"/>
                <w:i w:val="0"/>
                <w:iCs w:val="0"/>
                <w:color w:val="000000"/>
                <w:sz w:val="18"/>
                <w:szCs w:val="18"/>
                <w:u w:val="none"/>
              </w:rPr>
            </w:pPr>
          </w:p>
        </w:tc>
      </w:tr>
      <w:tr w14:paraId="7699C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7"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10D2FC">
            <w:pPr>
              <w:rPr>
                <w:rFonts w:hint="eastAsia" w:ascii="仿宋" w:hAnsi="仿宋" w:eastAsia="仿宋" w:cs="仿宋"/>
                <w:i w:val="0"/>
                <w:iCs w:val="0"/>
                <w:color w:val="000000"/>
                <w:sz w:val="18"/>
                <w:szCs w:val="18"/>
                <w:u w:val="none"/>
              </w:rPr>
            </w:pPr>
          </w:p>
        </w:tc>
        <w:tc>
          <w:tcPr>
            <w:tcW w:w="3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7264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效益指标</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710B84D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经济效益指标</w:t>
            </w:r>
          </w:p>
        </w:tc>
        <w:tc>
          <w:tcPr>
            <w:tcW w:w="1139" w:type="dxa"/>
            <w:tcBorders>
              <w:top w:val="single" w:color="000000" w:sz="4" w:space="0"/>
              <w:left w:val="single" w:color="000000" w:sz="4" w:space="0"/>
              <w:bottom w:val="single" w:color="000000" w:sz="4" w:space="0"/>
              <w:right w:val="single" w:color="000000" w:sz="4" w:space="0"/>
            </w:tcBorders>
            <w:shd w:val="clear"/>
            <w:vAlign w:val="center"/>
          </w:tcPr>
          <w:p w14:paraId="354F6B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县域经济增长率</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AB119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F6502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5.7</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43638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达到5%得10分，未达到每少百分之一扣1分</w:t>
            </w:r>
          </w:p>
        </w:tc>
        <w:tc>
          <w:tcPr>
            <w:tcW w:w="387" w:type="dxa"/>
            <w:tcBorders>
              <w:top w:val="single" w:color="000000" w:sz="4" w:space="0"/>
              <w:left w:val="single" w:color="000000" w:sz="4" w:space="0"/>
              <w:bottom w:val="single" w:color="000000" w:sz="4" w:space="0"/>
              <w:right w:val="single" w:color="000000" w:sz="4" w:space="0"/>
            </w:tcBorders>
            <w:shd w:val="clear"/>
            <w:vAlign w:val="center"/>
          </w:tcPr>
          <w:p w14:paraId="5C8BA7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vAlign w:val="center"/>
          </w:tcPr>
          <w:p w14:paraId="71009D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3"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2D5471A0">
            <w:pPr>
              <w:jc w:val="center"/>
              <w:rPr>
                <w:rFonts w:hint="eastAsia" w:ascii="仿宋" w:hAnsi="仿宋" w:eastAsia="仿宋" w:cs="仿宋"/>
                <w:i w:val="0"/>
                <w:iCs w:val="0"/>
                <w:color w:val="000000"/>
                <w:sz w:val="18"/>
                <w:szCs w:val="18"/>
                <w:u w:val="none"/>
              </w:rPr>
            </w:pPr>
          </w:p>
        </w:tc>
      </w:tr>
      <w:tr w14:paraId="2CCA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7"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2E676A">
            <w:pPr>
              <w:rPr>
                <w:rFonts w:hint="eastAsia" w:ascii="仿宋" w:hAnsi="仿宋" w:eastAsia="仿宋" w:cs="仿宋"/>
                <w:i w:val="0"/>
                <w:iCs w:val="0"/>
                <w:color w:val="000000"/>
                <w:sz w:val="18"/>
                <w:szCs w:val="18"/>
                <w:u w:val="none"/>
              </w:rPr>
            </w:pPr>
          </w:p>
        </w:tc>
        <w:tc>
          <w:tcPr>
            <w:tcW w:w="3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1AF89B">
            <w:pPr>
              <w:rPr>
                <w:rFonts w:hint="eastAsia" w:ascii="仿宋" w:hAnsi="仿宋" w:eastAsia="仿宋" w:cs="仿宋"/>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64C1D7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社会效益指标</w:t>
            </w:r>
          </w:p>
        </w:tc>
        <w:tc>
          <w:tcPr>
            <w:tcW w:w="1139" w:type="dxa"/>
            <w:tcBorders>
              <w:top w:val="single" w:color="000000" w:sz="4" w:space="0"/>
              <w:left w:val="single" w:color="000000" w:sz="4" w:space="0"/>
              <w:bottom w:val="single" w:color="000000" w:sz="4" w:space="0"/>
              <w:right w:val="single" w:color="000000" w:sz="4" w:space="0"/>
            </w:tcBorders>
            <w:shd w:val="clear"/>
            <w:vAlign w:val="center"/>
          </w:tcPr>
          <w:p w14:paraId="0E5353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代表履职能力</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E29BE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提高</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B9710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提高代表履职能力</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5A96F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提高代表履职能力得10分，未提高得0分</w:t>
            </w:r>
          </w:p>
        </w:tc>
        <w:tc>
          <w:tcPr>
            <w:tcW w:w="387" w:type="dxa"/>
            <w:tcBorders>
              <w:top w:val="single" w:color="000000" w:sz="4" w:space="0"/>
              <w:left w:val="single" w:color="000000" w:sz="4" w:space="0"/>
              <w:bottom w:val="single" w:color="000000" w:sz="4" w:space="0"/>
              <w:right w:val="single" w:color="000000" w:sz="4" w:space="0"/>
            </w:tcBorders>
            <w:shd w:val="clear"/>
            <w:vAlign w:val="center"/>
          </w:tcPr>
          <w:p w14:paraId="53C3D4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vAlign w:val="center"/>
          </w:tcPr>
          <w:p w14:paraId="06F3FB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3"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61A44962">
            <w:pPr>
              <w:jc w:val="center"/>
              <w:rPr>
                <w:rFonts w:hint="eastAsia" w:ascii="仿宋" w:hAnsi="仿宋" w:eastAsia="仿宋" w:cs="仿宋"/>
                <w:i w:val="0"/>
                <w:iCs w:val="0"/>
                <w:color w:val="000000"/>
                <w:sz w:val="18"/>
                <w:szCs w:val="18"/>
                <w:u w:val="none"/>
              </w:rPr>
            </w:pPr>
          </w:p>
        </w:tc>
      </w:tr>
      <w:tr w14:paraId="2884A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7C749D">
            <w:pPr>
              <w:rPr>
                <w:rFonts w:hint="eastAsia" w:ascii="仿宋" w:hAnsi="仿宋" w:eastAsia="仿宋" w:cs="仿宋"/>
                <w:i w:val="0"/>
                <w:iCs w:val="0"/>
                <w:color w:val="000000"/>
                <w:sz w:val="18"/>
                <w:szCs w:val="18"/>
                <w:u w:val="none"/>
              </w:rPr>
            </w:pPr>
          </w:p>
        </w:tc>
        <w:tc>
          <w:tcPr>
            <w:tcW w:w="3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F20882">
            <w:pPr>
              <w:rPr>
                <w:rFonts w:hint="eastAsia" w:ascii="仿宋" w:hAnsi="仿宋" w:eastAsia="仿宋" w:cs="仿宋"/>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3F74DC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生态效益指标</w:t>
            </w:r>
          </w:p>
        </w:tc>
        <w:tc>
          <w:tcPr>
            <w:tcW w:w="1139" w:type="dxa"/>
            <w:tcBorders>
              <w:top w:val="single" w:color="000000" w:sz="4" w:space="0"/>
              <w:left w:val="single" w:color="000000" w:sz="4" w:space="0"/>
              <w:bottom w:val="single" w:color="000000" w:sz="4" w:space="0"/>
              <w:right w:val="single" w:color="000000" w:sz="4" w:space="0"/>
            </w:tcBorders>
            <w:shd w:val="clear"/>
            <w:vAlign w:val="center"/>
          </w:tcPr>
          <w:p w14:paraId="2474A767">
            <w:pPr>
              <w:jc w:val="center"/>
              <w:rPr>
                <w:rFonts w:hint="eastAsia" w:ascii="仿宋" w:hAnsi="仿宋" w:eastAsia="仿宋" w:cs="仿宋"/>
                <w:i w:val="0"/>
                <w:iCs w:val="0"/>
                <w:color w:val="000000"/>
                <w:sz w:val="18"/>
                <w:szCs w:val="18"/>
                <w:u w:val="none"/>
              </w:rPr>
            </w:pP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5E75E01">
            <w:pPr>
              <w:jc w:val="center"/>
              <w:rPr>
                <w:rFonts w:hint="eastAsia" w:ascii="仿宋" w:hAnsi="仿宋" w:eastAsia="仿宋" w:cs="仿宋"/>
                <w:i w:val="0"/>
                <w:iCs w:val="0"/>
                <w:color w:val="000000"/>
                <w:sz w:val="18"/>
                <w:szCs w:val="18"/>
                <w:u w:val="none"/>
              </w:rPr>
            </w:pP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14E6DC2">
            <w:pPr>
              <w:jc w:val="center"/>
              <w:rPr>
                <w:rFonts w:hint="eastAsia" w:ascii="仿宋" w:hAnsi="仿宋" w:eastAsia="仿宋" w:cs="仿宋"/>
                <w:i w:val="0"/>
                <w:iCs w:val="0"/>
                <w:color w:val="000000"/>
                <w:sz w:val="18"/>
                <w:szCs w:val="18"/>
                <w:u w:val="none"/>
              </w:rPr>
            </w:pP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AA2D92F">
            <w:pPr>
              <w:jc w:val="center"/>
              <w:rPr>
                <w:rFonts w:hint="eastAsia" w:ascii="仿宋" w:hAnsi="仿宋" w:eastAsia="仿宋" w:cs="仿宋"/>
                <w:i w:val="0"/>
                <w:iCs w:val="0"/>
                <w:color w:val="000000"/>
                <w:sz w:val="18"/>
                <w:szCs w:val="18"/>
                <w:u w:val="none"/>
              </w:rPr>
            </w:pPr>
          </w:p>
        </w:tc>
        <w:tc>
          <w:tcPr>
            <w:tcW w:w="387" w:type="dxa"/>
            <w:tcBorders>
              <w:top w:val="single" w:color="000000" w:sz="4" w:space="0"/>
              <w:left w:val="single" w:color="000000" w:sz="4" w:space="0"/>
              <w:bottom w:val="single" w:color="000000" w:sz="4" w:space="0"/>
              <w:right w:val="single" w:color="000000" w:sz="4" w:space="0"/>
            </w:tcBorders>
            <w:shd w:val="clear"/>
            <w:vAlign w:val="center"/>
          </w:tcPr>
          <w:p w14:paraId="4DF83C4A">
            <w:pPr>
              <w:jc w:val="center"/>
              <w:rPr>
                <w:rFonts w:hint="eastAsia" w:ascii="仿宋" w:hAnsi="仿宋" w:eastAsia="仿宋" w:cs="仿宋"/>
                <w:i w:val="0"/>
                <w:iCs w:val="0"/>
                <w:color w:val="000000"/>
                <w:sz w:val="18"/>
                <w:szCs w:val="18"/>
                <w:u w:val="none"/>
              </w:rPr>
            </w:pPr>
          </w:p>
        </w:tc>
        <w:tc>
          <w:tcPr>
            <w:tcW w:w="426" w:type="dxa"/>
            <w:tcBorders>
              <w:top w:val="single" w:color="000000" w:sz="4" w:space="0"/>
              <w:left w:val="single" w:color="000000" w:sz="4" w:space="0"/>
              <w:bottom w:val="single" w:color="000000" w:sz="4" w:space="0"/>
              <w:right w:val="single" w:color="000000" w:sz="4" w:space="0"/>
            </w:tcBorders>
            <w:shd w:val="clear"/>
            <w:vAlign w:val="center"/>
          </w:tcPr>
          <w:p w14:paraId="600D9F86">
            <w:pPr>
              <w:jc w:val="center"/>
              <w:rPr>
                <w:rFonts w:hint="eastAsia" w:ascii="仿宋" w:hAnsi="仿宋" w:eastAsia="仿宋" w:cs="仿宋"/>
                <w:i w:val="0"/>
                <w:iCs w:val="0"/>
                <w:color w:val="000000"/>
                <w:sz w:val="18"/>
                <w:szCs w:val="18"/>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05B448C3">
            <w:pPr>
              <w:jc w:val="center"/>
              <w:rPr>
                <w:rFonts w:hint="eastAsia" w:ascii="仿宋" w:hAnsi="仿宋" w:eastAsia="仿宋" w:cs="仿宋"/>
                <w:i w:val="0"/>
                <w:iCs w:val="0"/>
                <w:color w:val="000000"/>
                <w:sz w:val="18"/>
                <w:szCs w:val="18"/>
                <w:u w:val="none"/>
              </w:rPr>
            </w:pPr>
          </w:p>
        </w:tc>
      </w:tr>
      <w:tr w14:paraId="5B35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833BB8">
            <w:pPr>
              <w:rPr>
                <w:rFonts w:hint="eastAsia" w:ascii="仿宋" w:hAnsi="仿宋" w:eastAsia="仿宋" w:cs="仿宋"/>
                <w:i w:val="0"/>
                <w:iCs w:val="0"/>
                <w:color w:val="000000"/>
                <w:sz w:val="18"/>
                <w:szCs w:val="18"/>
                <w:u w:val="none"/>
              </w:rPr>
            </w:pPr>
          </w:p>
        </w:tc>
        <w:tc>
          <w:tcPr>
            <w:tcW w:w="3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8F940D">
            <w:pPr>
              <w:rPr>
                <w:rFonts w:hint="eastAsia" w:ascii="仿宋" w:hAnsi="仿宋" w:eastAsia="仿宋" w:cs="仿宋"/>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59C07D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可持续影响指标</w:t>
            </w:r>
          </w:p>
        </w:tc>
        <w:tc>
          <w:tcPr>
            <w:tcW w:w="1139" w:type="dxa"/>
            <w:tcBorders>
              <w:top w:val="single" w:color="000000" w:sz="4" w:space="0"/>
              <w:left w:val="single" w:color="000000" w:sz="4" w:space="0"/>
              <w:bottom w:val="single" w:color="000000" w:sz="4" w:space="0"/>
              <w:right w:val="single" w:color="000000" w:sz="4" w:space="0"/>
            </w:tcBorders>
            <w:shd w:val="clear"/>
            <w:vAlign w:val="center"/>
          </w:tcPr>
          <w:p w14:paraId="71A1888F">
            <w:pPr>
              <w:jc w:val="center"/>
              <w:rPr>
                <w:rFonts w:hint="eastAsia" w:ascii="仿宋" w:hAnsi="仿宋" w:eastAsia="仿宋" w:cs="仿宋"/>
                <w:i w:val="0"/>
                <w:iCs w:val="0"/>
                <w:color w:val="000000"/>
                <w:sz w:val="18"/>
                <w:szCs w:val="18"/>
                <w:u w:val="none"/>
              </w:rPr>
            </w:pP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3EAB522">
            <w:pPr>
              <w:jc w:val="center"/>
              <w:rPr>
                <w:rFonts w:hint="eastAsia" w:ascii="仿宋" w:hAnsi="仿宋" w:eastAsia="仿宋" w:cs="仿宋"/>
                <w:i w:val="0"/>
                <w:iCs w:val="0"/>
                <w:color w:val="000000"/>
                <w:sz w:val="18"/>
                <w:szCs w:val="18"/>
                <w:u w:val="none"/>
              </w:rPr>
            </w:pP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D457B2C">
            <w:pPr>
              <w:jc w:val="center"/>
              <w:rPr>
                <w:rFonts w:hint="eastAsia" w:ascii="仿宋" w:hAnsi="仿宋" w:eastAsia="仿宋" w:cs="仿宋"/>
                <w:i w:val="0"/>
                <w:iCs w:val="0"/>
                <w:color w:val="000000"/>
                <w:sz w:val="18"/>
                <w:szCs w:val="18"/>
                <w:u w:val="none"/>
              </w:rPr>
            </w:pP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B076A90">
            <w:pPr>
              <w:jc w:val="center"/>
              <w:rPr>
                <w:rFonts w:hint="eastAsia" w:ascii="仿宋" w:hAnsi="仿宋" w:eastAsia="仿宋" w:cs="仿宋"/>
                <w:i w:val="0"/>
                <w:iCs w:val="0"/>
                <w:color w:val="000000"/>
                <w:sz w:val="18"/>
                <w:szCs w:val="18"/>
                <w:u w:val="none"/>
              </w:rPr>
            </w:pPr>
          </w:p>
        </w:tc>
        <w:tc>
          <w:tcPr>
            <w:tcW w:w="387" w:type="dxa"/>
            <w:tcBorders>
              <w:top w:val="single" w:color="000000" w:sz="4" w:space="0"/>
              <w:left w:val="single" w:color="000000" w:sz="4" w:space="0"/>
              <w:bottom w:val="single" w:color="000000" w:sz="4" w:space="0"/>
              <w:right w:val="single" w:color="000000" w:sz="4" w:space="0"/>
            </w:tcBorders>
            <w:shd w:val="clear"/>
            <w:vAlign w:val="center"/>
          </w:tcPr>
          <w:p w14:paraId="172F631A">
            <w:pPr>
              <w:jc w:val="center"/>
              <w:rPr>
                <w:rFonts w:hint="eastAsia" w:ascii="仿宋" w:hAnsi="仿宋" w:eastAsia="仿宋" w:cs="仿宋"/>
                <w:i w:val="0"/>
                <w:iCs w:val="0"/>
                <w:color w:val="000000"/>
                <w:sz w:val="18"/>
                <w:szCs w:val="18"/>
                <w:u w:val="none"/>
              </w:rPr>
            </w:pPr>
          </w:p>
        </w:tc>
        <w:tc>
          <w:tcPr>
            <w:tcW w:w="426" w:type="dxa"/>
            <w:tcBorders>
              <w:top w:val="single" w:color="000000" w:sz="4" w:space="0"/>
              <w:left w:val="single" w:color="000000" w:sz="4" w:space="0"/>
              <w:bottom w:val="single" w:color="000000" w:sz="4" w:space="0"/>
              <w:right w:val="single" w:color="000000" w:sz="4" w:space="0"/>
            </w:tcBorders>
            <w:shd w:val="clear"/>
            <w:vAlign w:val="center"/>
          </w:tcPr>
          <w:p w14:paraId="5C6AAC90">
            <w:pPr>
              <w:jc w:val="center"/>
              <w:rPr>
                <w:rFonts w:hint="eastAsia" w:ascii="仿宋" w:hAnsi="仿宋" w:eastAsia="仿宋" w:cs="仿宋"/>
                <w:i w:val="0"/>
                <w:iCs w:val="0"/>
                <w:color w:val="000000"/>
                <w:sz w:val="18"/>
                <w:szCs w:val="18"/>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7C25F6A8">
            <w:pPr>
              <w:jc w:val="center"/>
              <w:rPr>
                <w:rFonts w:hint="eastAsia" w:ascii="仿宋" w:hAnsi="仿宋" w:eastAsia="仿宋" w:cs="仿宋"/>
                <w:i w:val="0"/>
                <w:iCs w:val="0"/>
                <w:color w:val="000000"/>
                <w:sz w:val="18"/>
                <w:szCs w:val="18"/>
                <w:u w:val="none"/>
              </w:rPr>
            </w:pPr>
          </w:p>
        </w:tc>
      </w:tr>
      <w:tr w14:paraId="14962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7"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45C03D">
            <w:pPr>
              <w:rPr>
                <w:rFonts w:hint="eastAsia" w:ascii="仿宋" w:hAnsi="仿宋" w:eastAsia="仿宋" w:cs="仿宋"/>
                <w:i w:val="0"/>
                <w:iCs w:val="0"/>
                <w:color w:val="000000"/>
                <w:sz w:val="18"/>
                <w:szCs w:val="18"/>
                <w:u w:val="none"/>
              </w:rPr>
            </w:pPr>
          </w:p>
        </w:tc>
        <w:tc>
          <w:tcPr>
            <w:tcW w:w="395" w:type="dxa"/>
            <w:tcBorders>
              <w:top w:val="single" w:color="000000" w:sz="4" w:space="0"/>
              <w:left w:val="single" w:color="000000" w:sz="4" w:space="0"/>
              <w:bottom w:val="single" w:color="000000" w:sz="4" w:space="0"/>
              <w:right w:val="single" w:color="000000" w:sz="4" w:space="0"/>
            </w:tcBorders>
            <w:shd w:val="clear"/>
            <w:vAlign w:val="center"/>
          </w:tcPr>
          <w:p w14:paraId="7601BD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满意度指标</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717D36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服务对象满意度指标</w:t>
            </w:r>
          </w:p>
        </w:tc>
        <w:tc>
          <w:tcPr>
            <w:tcW w:w="1139" w:type="dxa"/>
            <w:tcBorders>
              <w:top w:val="single" w:color="000000" w:sz="4" w:space="0"/>
              <w:left w:val="single" w:color="000000" w:sz="4" w:space="0"/>
              <w:bottom w:val="single" w:color="000000" w:sz="4" w:space="0"/>
              <w:right w:val="single" w:color="000000" w:sz="4" w:space="0"/>
            </w:tcBorders>
            <w:shd w:val="clear"/>
            <w:vAlign w:val="center"/>
          </w:tcPr>
          <w:p w14:paraId="79DEFE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群众满意度</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971D8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90</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E9AE1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98</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4BA4B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达到90%以上得10分，每少百分之1扣1分</w:t>
            </w:r>
          </w:p>
        </w:tc>
        <w:tc>
          <w:tcPr>
            <w:tcW w:w="387" w:type="dxa"/>
            <w:tcBorders>
              <w:top w:val="single" w:color="000000" w:sz="4" w:space="0"/>
              <w:left w:val="single" w:color="000000" w:sz="4" w:space="0"/>
              <w:bottom w:val="single" w:color="000000" w:sz="4" w:space="0"/>
              <w:right w:val="single" w:color="000000" w:sz="4" w:space="0"/>
            </w:tcBorders>
            <w:shd w:val="clear"/>
            <w:vAlign w:val="center"/>
          </w:tcPr>
          <w:p w14:paraId="6046AF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vAlign w:val="center"/>
          </w:tcPr>
          <w:p w14:paraId="00E54E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3"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073001E4">
            <w:pPr>
              <w:jc w:val="center"/>
              <w:rPr>
                <w:rFonts w:hint="eastAsia" w:ascii="仿宋" w:hAnsi="仿宋" w:eastAsia="仿宋" w:cs="仿宋"/>
                <w:i w:val="0"/>
                <w:iCs w:val="0"/>
                <w:color w:val="000000"/>
                <w:sz w:val="18"/>
                <w:szCs w:val="18"/>
                <w:u w:val="none"/>
              </w:rPr>
            </w:pPr>
          </w:p>
        </w:tc>
      </w:tr>
      <w:tr w14:paraId="0A92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3D699E">
            <w:pPr>
              <w:rPr>
                <w:rFonts w:hint="eastAsia" w:ascii="仿宋" w:hAnsi="仿宋" w:eastAsia="仿宋" w:cs="仿宋"/>
                <w:i w:val="0"/>
                <w:iCs w:val="0"/>
                <w:color w:val="000000"/>
                <w:sz w:val="18"/>
                <w:szCs w:val="18"/>
                <w:u w:val="none"/>
              </w:rPr>
            </w:pPr>
          </w:p>
        </w:tc>
        <w:tc>
          <w:tcPr>
            <w:tcW w:w="3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1DFC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成本指标</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498791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经济成本指标</w:t>
            </w:r>
          </w:p>
        </w:tc>
        <w:tc>
          <w:tcPr>
            <w:tcW w:w="1139" w:type="dxa"/>
            <w:tcBorders>
              <w:top w:val="single" w:color="000000" w:sz="4" w:space="0"/>
              <w:left w:val="single" w:color="000000" w:sz="4" w:space="0"/>
              <w:bottom w:val="single" w:color="000000" w:sz="4" w:space="0"/>
              <w:right w:val="single" w:color="000000" w:sz="4" w:space="0"/>
            </w:tcBorders>
            <w:shd w:val="clear"/>
            <w:vAlign w:val="center"/>
          </w:tcPr>
          <w:p w14:paraId="2EDB43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部门预算金额</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E014D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1440.45</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6F35B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1296.38</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38F69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成本控制在1440.45万元以内得10分，每超出100万元扣1分</w:t>
            </w:r>
          </w:p>
        </w:tc>
        <w:tc>
          <w:tcPr>
            <w:tcW w:w="387" w:type="dxa"/>
            <w:tcBorders>
              <w:top w:val="single" w:color="000000" w:sz="4" w:space="0"/>
              <w:left w:val="single" w:color="000000" w:sz="4" w:space="0"/>
              <w:bottom w:val="single" w:color="000000" w:sz="4" w:space="0"/>
              <w:right w:val="single" w:color="000000" w:sz="4" w:space="0"/>
            </w:tcBorders>
            <w:shd w:val="clear"/>
            <w:vAlign w:val="center"/>
          </w:tcPr>
          <w:p w14:paraId="0BAF0D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vAlign w:val="center"/>
          </w:tcPr>
          <w:p w14:paraId="2ECA8B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3"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0E23585E">
            <w:pPr>
              <w:jc w:val="center"/>
              <w:rPr>
                <w:rFonts w:hint="eastAsia" w:ascii="仿宋" w:hAnsi="仿宋" w:eastAsia="仿宋" w:cs="仿宋"/>
                <w:i w:val="0"/>
                <w:iCs w:val="0"/>
                <w:color w:val="000000"/>
                <w:sz w:val="18"/>
                <w:szCs w:val="18"/>
                <w:u w:val="none"/>
              </w:rPr>
            </w:pPr>
          </w:p>
        </w:tc>
      </w:tr>
      <w:tr w14:paraId="14DB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6CC9DA">
            <w:pPr>
              <w:rPr>
                <w:rFonts w:hint="eastAsia" w:ascii="仿宋" w:hAnsi="仿宋" w:eastAsia="仿宋" w:cs="仿宋"/>
                <w:i w:val="0"/>
                <w:iCs w:val="0"/>
                <w:color w:val="000000"/>
                <w:sz w:val="18"/>
                <w:szCs w:val="18"/>
                <w:u w:val="none"/>
              </w:rPr>
            </w:pPr>
          </w:p>
        </w:tc>
        <w:tc>
          <w:tcPr>
            <w:tcW w:w="3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204C2C">
            <w:pPr>
              <w:rPr>
                <w:rFonts w:hint="eastAsia" w:ascii="仿宋" w:hAnsi="仿宋" w:eastAsia="仿宋" w:cs="仿宋"/>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0FE0B8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社会成本指标</w:t>
            </w:r>
          </w:p>
        </w:tc>
        <w:tc>
          <w:tcPr>
            <w:tcW w:w="1139" w:type="dxa"/>
            <w:tcBorders>
              <w:top w:val="single" w:color="000000" w:sz="4" w:space="0"/>
              <w:left w:val="single" w:color="000000" w:sz="4" w:space="0"/>
              <w:bottom w:val="single" w:color="000000" w:sz="4" w:space="0"/>
              <w:right w:val="single" w:color="000000" w:sz="4" w:space="0"/>
            </w:tcBorders>
            <w:shd w:val="clear"/>
            <w:vAlign w:val="center"/>
          </w:tcPr>
          <w:p w14:paraId="23BB959F">
            <w:pPr>
              <w:jc w:val="center"/>
              <w:rPr>
                <w:rFonts w:hint="eastAsia" w:ascii="仿宋" w:hAnsi="仿宋" w:eastAsia="仿宋" w:cs="仿宋"/>
                <w:i w:val="0"/>
                <w:iCs w:val="0"/>
                <w:color w:val="000000"/>
                <w:sz w:val="18"/>
                <w:szCs w:val="18"/>
                <w:u w:val="none"/>
              </w:rPr>
            </w:pP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ADAF6CB">
            <w:pPr>
              <w:jc w:val="center"/>
              <w:rPr>
                <w:rFonts w:hint="eastAsia" w:ascii="仿宋" w:hAnsi="仿宋" w:eastAsia="仿宋" w:cs="仿宋"/>
                <w:i w:val="0"/>
                <w:iCs w:val="0"/>
                <w:color w:val="000000"/>
                <w:sz w:val="18"/>
                <w:szCs w:val="18"/>
                <w:u w:val="none"/>
              </w:rPr>
            </w:pP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C5287C2">
            <w:pPr>
              <w:jc w:val="center"/>
              <w:rPr>
                <w:rFonts w:hint="eastAsia" w:ascii="仿宋" w:hAnsi="仿宋" w:eastAsia="仿宋" w:cs="仿宋"/>
                <w:i w:val="0"/>
                <w:iCs w:val="0"/>
                <w:color w:val="000000"/>
                <w:sz w:val="18"/>
                <w:szCs w:val="18"/>
                <w:u w:val="none"/>
              </w:rPr>
            </w:pP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9E11BC6">
            <w:pPr>
              <w:jc w:val="center"/>
              <w:rPr>
                <w:rFonts w:hint="eastAsia" w:ascii="仿宋" w:hAnsi="仿宋" w:eastAsia="仿宋" w:cs="仿宋"/>
                <w:i w:val="0"/>
                <w:iCs w:val="0"/>
                <w:color w:val="000000"/>
                <w:sz w:val="18"/>
                <w:szCs w:val="18"/>
                <w:u w:val="none"/>
              </w:rPr>
            </w:pPr>
          </w:p>
        </w:tc>
        <w:tc>
          <w:tcPr>
            <w:tcW w:w="387" w:type="dxa"/>
            <w:tcBorders>
              <w:top w:val="single" w:color="000000" w:sz="4" w:space="0"/>
              <w:left w:val="single" w:color="000000" w:sz="4" w:space="0"/>
              <w:bottom w:val="single" w:color="000000" w:sz="4" w:space="0"/>
              <w:right w:val="single" w:color="000000" w:sz="4" w:space="0"/>
            </w:tcBorders>
            <w:shd w:val="clear"/>
            <w:vAlign w:val="center"/>
          </w:tcPr>
          <w:p w14:paraId="219B5422">
            <w:pPr>
              <w:jc w:val="center"/>
              <w:rPr>
                <w:rFonts w:hint="eastAsia" w:ascii="仿宋" w:hAnsi="仿宋" w:eastAsia="仿宋" w:cs="仿宋"/>
                <w:i w:val="0"/>
                <w:iCs w:val="0"/>
                <w:color w:val="000000"/>
                <w:sz w:val="18"/>
                <w:szCs w:val="18"/>
                <w:u w:val="none"/>
              </w:rPr>
            </w:pPr>
          </w:p>
        </w:tc>
        <w:tc>
          <w:tcPr>
            <w:tcW w:w="426" w:type="dxa"/>
            <w:tcBorders>
              <w:top w:val="single" w:color="000000" w:sz="4" w:space="0"/>
              <w:left w:val="single" w:color="000000" w:sz="4" w:space="0"/>
              <w:bottom w:val="single" w:color="000000" w:sz="4" w:space="0"/>
              <w:right w:val="single" w:color="000000" w:sz="4" w:space="0"/>
            </w:tcBorders>
            <w:shd w:val="clear"/>
            <w:vAlign w:val="center"/>
          </w:tcPr>
          <w:p w14:paraId="54ADA9C2">
            <w:pPr>
              <w:jc w:val="center"/>
              <w:rPr>
                <w:rFonts w:hint="eastAsia" w:ascii="仿宋" w:hAnsi="仿宋" w:eastAsia="仿宋" w:cs="仿宋"/>
                <w:i w:val="0"/>
                <w:iCs w:val="0"/>
                <w:color w:val="000000"/>
                <w:sz w:val="18"/>
                <w:szCs w:val="18"/>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3342523E">
            <w:pPr>
              <w:jc w:val="center"/>
              <w:rPr>
                <w:rFonts w:hint="eastAsia" w:ascii="仿宋" w:hAnsi="仿宋" w:eastAsia="仿宋" w:cs="仿宋"/>
                <w:i w:val="0"/>
                <w:iCs w:val="0"/>
                <w:color w:val="000000"/>
                <w:sz w:val="18"/>
                <w:szCs w:val="18"/>
                <w:u w:val="none"/>
              </w:rPr>
            </w:pPr>
          </w:p>
        </w:tc>
      </w:tr>
      <w:tr w14:paraId="09C8F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 w:hRule="atLeast"/>
        </w:trPr>
        <w:tc>
          <w:tcPr>
            <w:tcW w:w="3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FD2807">
            <w:pPr>
              <w:rPr>
                <w:rFonts w:hint="eastAsia" w:ascii="仿宋" w:hAnsi="仿宋" w:eastAsia="仿宋" w:cs="仿宋"/>
                <w:i w:val="0"/>
                <w:iCs w:val="0"/>
                <w:color w:val="000000"/>
                <w:sz w:val="18"/>
                <w:szCs w:val="18"/>
                <w:u w:val="none"/>
              </w:rPr>
            </w:pPr>
          </w:p>
        </w:tc>
        <w:tc>
          <w:tcPr>
            <w:tcW w:w="3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7B14B9">
            <w:pPr>
              <w:rPr>
                <w:rFonts w:hint="eastAsia" w:ascii="仿宋" w:hAnsi="仿宋" w:eastAsia="仿宋" w:cs="仿宋"/>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05E250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生态环境成本指标</w:t>
            </w:r>
          </w:p>
        </w:tc>
        <w:tc>
          <w:tcPr>
            <w:tcW w:w="1139" w:type="dxa"/>
            <w:tcBorders>
              <w:top w:val="single" w:color="000000" w:sz="4" w:space="0"/>
              <w:left w:val="single" w:color="000000" w:sz="4" w:space="0"/>
              <w:bottom w:val="single" w:color="000000" w:sz="4" w:space="0"/>
              <w:right w:val="single" w:color="000000" w:sz="4" w:space="0"/>
            </w:tcBorders>
            <w:shd w:val="clear"/>
            <w:vAlign w:val="center"/>
          </w:tcPr>
          <w:p w14:paraId="184D39FE">
            <w:pPr>
              <w:jc w:val="center"/>
              <w:rPr>
                <w:rFonts w:hint="eastAsia" w:ascii="仿宋" w:hAnsi="仿宋" w:eastAsia="仿宋" w:cs="仿宋"/>
                <w:i w:val="0"/>
                <w:iCs w:val="0"/>
                <w:color w:val="000000"/>
                <w:sz w:val="18"/>
                <w:szCs w:val="18"/>
                <w:u w:val="none"/>
              </w:rPr>
            </w:pP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555861A">
            <w:pPr>
              <w:jc w:val="center"/>
              <w:rPr>
                <w:rFonts w:hint="eastAsia" w:ascii="仿宋" w:hAnsi="仿宋" w:eastAsia="仿宋" w:cs="仿宋"/>
                <w:i w:val="0"/>
                <w:iCs w:val="0"/>
                <w:color w:val="000000"/>
                <w:sz w:val="18"/>
                <w:szCs w:val="18"/>
                <w:u w:val="none"/>
              </w:rPr>
            </w:pP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C42BF2E">
            <w:pPr>
              <w:jc w:val="center"/>
              <w:rPr>
                <w:rFonts w:hint="eastAsia" w:ascii="仿宋" w:hAnsi="仿宋" w:eastAsia="仿宋" w:cs="仿宋"/>
                <w:i w:val="0"/>
                <w:iCs w:val="0"/>
                <w:color w:val="000000"/>
                <w:sz w:val="18"/>
                <w:szCs w:val="18"/>
                <w:u w:val="none"/>
              </w:rPr>
            </w:pP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9A12EC4">
            <w:pPr>
              <w:jc w:val="center"/>
              <w:rPr>
                <w:rFonts w:hint="eastAsia" w:ascii="仿宋" w:hAnsi="仿宋" w:eastAsia="仿宋" w:cs="仿宋"/>
                <w:i w:val="0"/>
                <w:iCs w:val="0"/>
                <w:color w:val="000000"/>
                <w:sz w:val="18"/>
                <w:szCs w:val="18"/>
                <w:u w:val="none"/>
              </w:rPr>
            </w:pPr>
          </w:p>
        </w:tc>
        <w:tc>
          <w:tcPr>
            <w:tcW w:w="387" w:type="dxa"/>
            <w:tcBorders>
              <w:top w:val="single" w:color="000000" w:sz="4" w:space="0"/>
              <w:left w:val="single" w:color="000000" w:sz="4" w:space="0"/>
              <w:bottom w:val="single" w:color="000000" w:sz="4" w:space="0"/>
              <w:right w:val="single" w:color="000000" w:sz="4" w:space="0"/>
            </w:tcBorders>
            <w:shd w:val="clear"/>
            <w:vAlign w:val="center"/>
          </w:tcPr>
          <w:p w14:paraId="70721D15">
            <w:pPr>
              <w:jc w:val="center"/>
              <w:rPr>
                <w:rFonts w:hint="eastAsia" w:ascii="仿宋" w:hAnsi="仿宋" w:eastAsia="仿宋" w:cs="仿宋"/>
                <w:i w:val="0"/>
                <w:iCs w:val="0"/>
                <w:color w:val="000000"/>
                <w:sz w:val="18"/>
                <w:szCs w:val="18"/>
                <w:u w:val="none"/>
              </w:rPr>
            </w:pPr>
          </w:p>
        </w:tc>
        <w:tc>
          <w:tcPr>
            <w:tcW w:w="426" w:type="dxa"/>
            <w:tcBorders>
              <w:top w:val="single" w:color="000000" w:sz="4" w:space="0"/>
              <w:left w:val="single" w:color="000000" w:sz="4" w:space="0"/>
              <w:bottom w:val="single" w:color="000000" w:sz="4" w:space="0"/>
              <w:right w:val="single" w:color="000000" w:sz="4" w:space="0"/>
            </w:tcBorders>
            <w:shd w:val="clear"/>
            <w:vAlign w:val="center"/>
          </w:tcPr>
          <w:p w14:paraId="14B9907F">
            <w:pPr>
              <w:jc w:val="center"/>
              <w:rPr>
                <w:rFonts w:hint="eastAsia" w:ascii="仿宋" w:hAnsi="仿宋" w:eastAsia="仿宋" w:cs="仿宋"/>
                <w:i w:val="0"/>
                <w:iCs w:val="0"/>
                <w:color w:val="000000"/>
                <w:sz w:val="18"/>
                <w:szCs w:val="18"/>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3A75E9A8">
            <w:pPr>
              <w:jc w:val="center"/>
              <w:rPr>
                <w:rFonts w:hint="eastAsia" w:ascii="仿宋" w:hAnsi="仿宋" w:eastAsia="仿宋" w:cs="仿宋"/>
                <w:i w:val="0"/>
                <w:iCs w:val="0"/>
                <w:color w:val="000000"/>
                <w:sz w:val="18"/>
                <w:szCs w:val="18"/>
                <w:u w:val="none"/>
              </w:rPr>
            </w:pPr>
          </w:p>
        </w:tc>
      </w:tr>
      <w:tr w14:paraId="3C784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7" w:hRule="atLeast"/>
        </w:trPr>
        <w:tc>
          <w:tcPr>
            <w:tcW w:w="1858"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13A105D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总分</w:t>
            </w:r>
          </w:p>
        </w:tc>
        <w:tc>
          <w:tcPr>
            <w:tcW w:w="6571" w:type="dxa"/>
            <w:gridSpan w:val="9"/>
            <w:tcBorders>
              <w:top w:val="single" w:color="000000" w:sz="4" w:space="0"/>
              <w:left w:val="single" w:color="000000" w:sz="4" w:space="0"/>
              <w:bottom w:val="single" w:color="000000" w:sz="4" w:space="0"/>
              <w:right w:val="single" w:color="000000" w:sz="4" w:space="0"/>
            </w:tcBorders>
            <w:shd w:val="clear"/>
            <w:noWrap/>
            <w:vAlign w:val="center"/>
          </w:tcPr>
          <w:p w14:paraId="7BF57B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99.00</w:t>
            </w:r>
          </w:p>
        </w:tc>
      </w:tr>
    </w:tbl>
    <w:p w14:paraId="18F5D93D">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HK">
    <w:panose1 w:val="020B0500000000000000"/>
    <w:charset w:val="88"/>
    <w:family w:val="auto"/>
    <w:pitch w:val="default"/>
    <w:sig w:usb0="30000083" w:usb1="2BDF3C10" w:usb2="00000016" w:usb3="00000000" w:csb0="603A0107" w:csb1="00000000"/>
  </w:font>
  <w:font w:name="方正宋体S-超大字符集(SIP)">
    <w:panose1 w:val="03000509000000000000"/>
    <w:charset w:val="86"/>
    <w:family w:val="auto"/>
    <w:pitch w:val="default"/>
    <w:sig w:usb0="00000003" w:usb1="0A0E0800" w:usb2="00000006" w:usb3="00000000" w:csb0="00040001" w:csb1="00000000"/>
  </w:font>
  <w:font w:name="Microsoft YaHei UI">
    <w:altName w:val="Cloister Black"/>
    <w:panose1 w:val="00000000000000000000"/>
    <w:charset w:val="00"/>
    <w:family w:val="auto"/>
    <w:pitch w:val="default"/>
    <w:sig w:usb0="00000000" w:usb1="00000000" w:usb2="00000000" w:usb3="00000000" w:csb0="00000000" w:csb1="00000000"/>
  </w:font>
  <w:font w:name="Cloister Black">
    <w:panose1 w:val="00000400000000000000"/>
    <w:charset w:val="00"/>
    <w:family w:val="auto"/>
    <w:pitch w:val="default"/>
    <w:sig w:usb0="80000027" w:usb1="00000040"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FBC18"/>
    <w:multiLevelType w:val="singleLevel"/>
    <w:tmpl w:val="BDAFBC18"/>
    <w:lvl w:ilvl="0" w:tentative="0">
      <w:start w:val="1"/>
      <w:numFmt w:val="decimalEnclosedCircleChinese"/>
      <w:suff w:val="nothing"/>
      <w:lvlText w:val="%1　"/>
      <w:lvlJc w:val="left"/>
      <w:pPr>
        <w:ind w:left="0" w:firstLine="400"/>
      </w:pPr>
      <w:rPr>
        <w:rFonts w:hint="eastAsia"/>
      </w:rPr>
    </w:lvl>
  </w:abstractNum>
  <w:abstractNum w:abstractNumId="1">
    <w:nsid w:val="BDF948F8"/>
    <w:multiLevelType w:val="singleLevel"/>
    <w:tmpl w:val="BDF948F8"/>
    <w:lvl w:ilvl="0" w:tentative="0">
      <w:start w:val="7"/>
      <w:numFmt w:val="chineseCounting"/>
      <w:suff w:val="nothing"/>
      <w:lvlText w:val="%1、"/>
      <w:lvlJc w:val="left"/>
      <w:rPr>
        <w:rFonts w:hint="eastAsia"/>
      </w:rPr>
    </w:lvl>
  </w:abstractNum>
  <w:abstractNum w:abstractNumId="2">
    <w:nsid w:val="EBE73683"/>
    <w:multiLevelType w:val="singleLevel"/>
    <w:tmpl w:val="EBE73683"/>
    <w:lvl w:ilvl="0" w:tentative="0">
      <w:start w:val="5"/>
      <w:numFmt w:val="decimal"/>
      <w:lvlText w:val="%1."/>
      <w:lvlJc w:val="left"/>
      <w:pPr>
        <w:tabs>
          <w:tab w:val="left" w:pos="312"/>
        </w:tabs>
      </w:pPr>
    </w:lvl>
  </w:abstractNum>
  <w:abstractNum w:abstractNumId="3">
    <w:nsid w:val="FDAE5256"/>
    <w:multiLevelType w:val="singleLevel"/>
    <w:tmpl w:val="FDAE5256"/>
    <w:lvl w:ilvl="0" w:tentative="0">
      <w:start w:val="2"/>
      <w:numFmt w:val="chineseCounting"/>
      <w:suff w:val="nothing"/>
      <w:lvlText w:val="（%1）"/>
      <w:lvlJc w:val="left"/>
      <w:rPr>
        <w:rFonts w:hint="eastAsia"/>
      </w:rPr>
    </w:lvl>
  </w:abstractNum>
  <w:abstractNum w:abstractNumId="4">
    <w:nsid w:val="FF9FBD9A"/>
    <w:multiLevelType w:val="singleLevel"/>
    <w:tmpl w:val="FF9FBD9A"/>
    <w:lvl w:ilvl="0" w:tentative="0">
      <w:start w:val="4"/>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AFFB44"/>
    <w:rsid w:val="0BDEFBAE"/>
    <w:rsid w:val="1FEF6CBB"/>
    <w:rsid w:val="33EF8E05"/>
    <w:rsid w:val="33EFFAF2"/>
    <w:rsid w:val="36DE8F82"/>
    <w:rsid w:val="37631347"/>
    <w:rsid w:val="37F6B9E3"/>
    <w:rsid w:val="3AAEDC09"/>
    <w:rsid w:val="3FDB1FA5"/>
    <w:rsid w:val="4DF75A00"/>
    <w:rsid w:val="51AFFB44"/>
    <w:rsid w:val="52EBBE97"/>
    <w:rsid w:val="573F7627"/>
    <w:rsid w:val="5BB530BF"/>
    <w:rsid w:val="5F7DCEB8"/>
    <w:rsid w:val="5FF501B1"/>
    <w:rsid w:val="68BF5A4A"/>
    <w:rsid w:val="6FBFFEAA"/>
    <w:rsid w:val="6FEF77D7"/>
    <w:rsid w:val="777EABDF"/>
    <w:rsid w:val="7F4B0C38"/>
    <w:rsid w:val="7F7FF5D2"/>
    <w:rsid w:val="7FDA29C6"/>
    <w:rsid w:val="BFCA2E72"/>
    <w:rsid w:val="BFFA6885"/>
    <w:rsid w:val="C7BB79BC"/>
    <w:rsid w:val="D7E2227A"/>
    <w:rsid w:val="DBF26319"/>
    <w:rsid w:val="DDF7D4CD"/>
    <w:rsid w:val="DF8FA576"/>
    <w:rsid w:val="DFFD023A"/>
    <w:rsid w:val="E76AA8BF"/>
    <w:rsid w:val="EBFBFEFC"/>
    <w:rsid w:val="EDF7DE1F"/>
    <w:rsid w:val="F377065B"/>
    <w:rsid w:val="F3B20085"/>
    <w:rsid w:val="FDBF80B5"/>
    <w:rsid w:val="FDFA7EAF"/>
    <w:rsid w:val="FE9F46AF"/>
    <w:rsid w:val="FEA671D7"/>
    <w:rsid w:val="FF75AB2A"/>
    <w:rsid w:val="FFBF8BAA"/>
    <w:rsid w:val="FFFBF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after="0"/>
      <w:ind w:left="0" w:leftChars="0" w:firstLine="420" w:firstLineChars="200"/>
    </w:pPr>
    <w:rPr>
      <w:sz w:val="32"/>
    </w:rPr>
  </w:style>
  <w:style w:type="paragraph" w:styleId="3">
    <w:name w:val="Body Text Indent"/>
    <w:basedOn w:val="1"/>
    <w:next w:val="4"/>
    <w:unhideWhenUsed/>
    <w:qFormat/>
    <w:uiPriority w:val="99"/>
    <w:pPr>
      <w:spacing w:after="120"/>
      <w:ind w:left="420" w:leftChars="200"/>
    </w:pPr>
  </w:style>
  <w:style w:type="paragraph" w:styleId="4">
    <w:name w:val="List Paragraph"/>
    <w:basedOn w:val="1"/>
    <w:next w:val="1"/>
    <w:qFormat/>
    <w:uiPriority w:val="34"/>
    <w:pPr>
      <w:ind w:firstLine="420"/>
    </w:pPr>
  </w:style>
  <w:style w:type="paragraph" w:styleId="5">
    <w:name w:val="toa heading"/>
    <w:basedOn w:val="1"/>
    <w:next w:val="1"/>
    <w:qFormat/>
    <w:uiPriority w:val="0"/>
    <w:pPr>
      <w:spacing w:before="120" w:after="200" w:line="276" w:lineRule="auto"/>
    </w:pPr>
    <w:rPr>
      <w:rFonts w:ascii="Arial" w:hAnsi="Arial" w:eastAsia="宋体"/>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246</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2025-04-26T01:54:00Z</dcterms:created>
  <dc:creator>时宜</dc:creator>
  <cp:lastModifiedBy>lh001</cp:lastModifiedBy>
  <dcterms:modified xsi:type="dcterms:W3CDTF">2025-10-21T09:49:19Z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BF109A6A234CC1839FE6F6688822740B_42</vt:lpwstr>
  </property>
</Properties>
</file>