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出台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《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隆回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县国有土地上房屋征收与补偿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实施办法》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的解读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根据《国有土地上房屋征收与补偿条例》（国务院令第590号）、《湖南省实施〈国有土地上房屋征收与补偿条例〉办法》（省政府令第268号）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、《</w:t>
      </w:r>
      <w:r>
        <w:rPr>
          <w:rFonts w:hint="eastAsia" w:ascii="华文仿宋" w:hAnsi="华文仿宋" w:eastAsia="华文仿宋"/>
          <w:sz w:val="32"/>
          <w:szCs w:val="32"/>
        </w:rPr>
        <w:t>隆回县人民政府关于进一步加强土地房屋征收工作的意见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》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（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隆政发</w:t>
      </w:r>
      <w:r>
        <w:rPr>
          <w:rFonts w:hint="eastAsia" w:ascii="华文仿宋" w:hAnsi="华文仿宋" w:eastAsia="华文仿宋"/>
          <w:sz w:val="32"/>
          <w:szCs w:val="32"/>
        </w:rPr>
        <w:t>〔20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〕1号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）</w:t>
      </w:r>
      <w:r>
        <w:rPr>
          <w:rFonts w:hint="eastAsia" w:ascii="华文仿宋" w:hAnsi="华文仿宋" w:eastAsia="华文仿宋"/>
          <w:sz w:val="32"/>
          <w:szCs w:val="32"/>
        </w:rPr>
        <w:t>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规定，</w:t>
      </w:r>
      <w:r>
        <w:rPr>
          <w:rFonts w:hint="eastAsia" w:ascii="华文仿宋" w:hAnsi="华文仿宋" w:eastAsia="华文仿宋"/>
          <w:sz w:val="32"/>
          <w:szCs w:val="32"/>
        </w:rPr>
        <w:t>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统一隆回</w:t>
      </w:r>
      <w:r>
        <w:rPr>
          <w:rFonts w:hint="eastAsia" w:ascii="华文仿宋" w:hAnsi="华文仿宋" w:eastAsia="华文仿宋"/>
          <w:sz w:val="32"/>
          <w:szCs w:val="32"/>
        </w:rPr>
        <w:t>县国有土地上房屋征收补偿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标准</w:t>
      </w:r>
      <w:r>
        <w:rPr>
          <w:rFonts w:hint="eastAsia" w:ascii="华文仿宋" w:hAnsi="华文仿宋" w:eastAsia="华文仿宋"/>
          <w:sz w:val="32"/>
          <w:szCs w:val="32"/>
        </w:rPr>
        <w:t>，保证房屋征收补偿工作合法有序进行，经过认真调研和充分准备，结合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隆回</w:t>
      </w:r>
      <w:r>
        <w:rPr>
          <w:rFonts w:hint="eastAsia" w:ascii="华文仿宋" w:hAnsi="华文仿宋" w:eastAsia="华文仿宋"/>
          <w:sz w:val="32"/>
          <w:szCs w:val="32"/>
        </w:rPr>
        <w:t>县国有土地上房屋征收与补偿的实际，起草了该《实施办法》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，已提请县人民政府第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22次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常务会讨论通过，</w:t>
      </w:r>
      <w:r>
        <w:rPr>
          <w:rFonts w:hint="eastAsia" w:ascii="华文仿宋" w:hAnsi="华文仿宋" w:eastAsia="华文仿宋"/>
          <w:sz w:val="32"/>
          <w:szCs w:val="32"/>
        </w:rPr>
        <w:t>现将《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隆回</w:t>
      </w:r>
      <w:r>
        <w:rPr>
          <w:rFonts w:hint="eastAsia" w:ascii="华文仿宋" w:hAnsi="华文仿宋" w:eastAsia="华文仿宋"/>
          <w:sz w:val="32"/>
          <w:szCs w:val="32"/>
        </w:rPr>
        <w:t>县国有土地上房屋征收与补偿实施办法》的起草法律依据和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一、《实施办法》起草出台的背景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（一）上级政策、法规有要求。</w:t>
      </w:r>
      <w:r>
        <w:rPr>
          <w:rFonts w:hint="eastAsia" w:ascii="华文仿宋" w:hAnsi="华文仿宋" w:eastAsia="华文仿宋"/>
          <w:sz w:val="32"/>
          <w:szCs w:val="32"/>
        </w:rPr>
        <w:t>《国有土地上房屋征收与补偿条例》（国务院令第590号）、《湖南省实施〈国有土地上房屋征收与补偿条例〉办法》（省政府令第268号）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等规定要求县级制定《实施办法》。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（二）全县统一标准有需要。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以前我们县没有</w:t>
      </w:r>
      <w:r>
        <w:rPr>
          <w:rFonts w:hint="eastAsia" w:ascii="华文仿宋" w:hAnsi="华文仿宋" w:eastAsia="华文仿宋"/>
          <w:sz w:val="32"/>
          <w:szCs w:val="32"/>
        </w:rPr>
        <w:t>国有土地上房屋征收与补偿实施办法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，各项目指挥部以补偿安置方案代替办法，各个指挥部的补偿标准不统一，出现各自为政的乱象，亟需出台文件，统一标准。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（三）规范拆迁行为有需要。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近年来，国有土地上房屋征收量大，矛盾多，需要统一的管理办法为司法强拆做保障，规范拆迁行为。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《实施办法》起草过程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（一）纳入年度重点工作计划。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年初，我们中心将《隆回县</w:t>
      </w:r>
      <w:r>
        <w:rPr>
          <w:rFonts w:hint="eastAsia" w:ascii="华文仿宋" w:hAnsi="华文仿宋" w:eastAsia="华文仿宋"/>
          <w:sz w:val="32"/>
          <w:szCs w:val="32"/>
        </w:rPr>
        <w:t>国有土地上房屋征收与补偿实施办法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》的出台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纳入年度重点工作计划，报请县分管领导同意后，成立了专门的班子负责《实施办法》起草工作。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（二）深入调研广泛征求意见。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我们中心深入到历年来开展过国有土地上房屋征收的项目指挥部、乡镇（街道）、相关单位、第三方机构进行了调研，到周边各县市区进行交流，形成了《实施办法》讨论稿。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（三）召开了各层次会议。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广泛听取各方面意见，数易其稿。本次提请政府常务会议研究通过后，按程序行文。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《实施办法》的可行性及风险预判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（一）程序规范严谨，侧重操作性。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征收程序符合国务院、省、市相关规定，结合隆回县工作实际，增强了实施办法的操作性。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（二）符合隆回实际，侧重落地性。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实用安置补偿标准，结合历年来国有土地上房屋征收，如：药厂、原二建公司、原经委、目前正在实施的烟厂的标准，参考三区、武冈、新邵等周边县市的标准，符合隆回实际，增强了实施办法的落地性。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（三）平衡利益关系，风险可控。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《实施办法》引用的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奖励政策、激励机制、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特别是侧重引导供货币安置的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安置方式平衡了政府和被征收对象的利益关系，在隆回通过的征拆实践检验，风险总体可控。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Helvetica" w:eastAsia="黑体" w:cs="Helvetica"/>
          <w:color w:val="333333"/>
          <w:sz w:val="32"/>
          <w:szCs w:val="32"/>
        </w:rPr>
        <w:t>规范性文件的主要内容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《实施办法》一共五章，六十八条。 第一章总则，九条；第二章征收决定，共三小节，申请审查，调查认定，征收决定；第三章评估补偿，共四小节，房屋评估，补偿原则和程序，住宅的补偿，工业、商业用房和办公用房的补偿；第四章法律责任。第五章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jc w:val="both"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3A5D"/>
    <w:rsid w:val="00732D81"/>
    <w:rsid w:val="01482F23"/>
    <w:rsid w:val="06294069"/>
    <w:rsid w:val="0D4710BA"/>
    <w:rsid w:val="17B17CFA"/>
    <w:rsid w:val="1AE832AA"/>
    <w:rsid w:val="1C6A72F6"/>
    <w:rsid w:val="393B3A5D"/>
    <w:rsid w:val="3F4D206D"/>
    <w:rsid w:val="41152680"/>
    <w:rsid w:val="41283E1A"/>
    <w:rsid w:val="4459445C"/>
    <w:rsid w:val="575726EC"/>
    <w:rsid w:val="5D811AE2"/>
    <w:rsid w:val="677F4391"/>
    <w:rsid w:val="70A35E3A"/>
    <w:rsid w:val="71051913"/>
    <w:rsid w:val="748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2021-11-02T02:44:00Z</dcterms:created>
  <dc:creator>戎马一生</dc:creator>
  <cp:lastModifiedBy>演示人</cp:lastModifiedBy>
  <cp:lastPrinted>2022-01-07T01:57:00Z</cp:lastPrinted>
  <dcterms:modified xsi:type="dcterms:W3CDTF">2022-01-07T10:02:23Z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DD79200FFFC44039A2627D061DAECF8B</vt:lpwstr>
  </property>
</Properties>
</file>