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F3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i w:val="0"/>
          <w:iCs w:val="0"/>
          <w:caps w:val="0"/>
          <w:color w:val="000000"/>
          <w:spacing w:val="0"/>
          <w:sz w:val="21"/>
          <w:szCs w:val="21"/>
        </w:rPr>
      </w:pPr>
      <w:r>
        <w:rPr>
          <w:rFonts w:ascii="方正小标宋简体" w:hAnsi="方正小标宋简体" w:eastAsia="方正小标宋简体" w:cs="方正小标宋简体"/>
          <w:b w:val="0"/>
          <w:bCs w:val="0"/>
          <w:i w:val="0"/>
          <w:iCs w:val="0"/>
          <w:caps w:val="0"/>
          <w:color w:val="000000"/>
          <w:spacing w:val="0"/>
          <w:sz w:val="36"/>
          <w:szCs w:val="36"/>
          <w:vertAlign w:val="baseline"/>
        </w:rPr>
        <w:t>隆回县水利综合服务中心</w:t>
      </w:r>
    </w:p>
    <w:p w14:paraId="618FF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i w:val="0"/>
          <w:iCs w:val="0"/>
          <w:caps w:val="0"/>
          <w:color w:val="000000"/>
          <w:spacing w:val="0"/>
          <w:sz w:val="21"/>
          <w:szCs w:val="21"/>
        </w:rPr>
      </w:pPr>
      <w:r>
        <w:rPr>
          <w:rFonts w:hint="default" w:ascii="方正小标宋简体" w:hAnsi="方正小标宋简体" w:eastAsia="方正小标宋简体" w:cs="方正小标宋简体"/>
          <w:b w:val="0"/>
          <w:bCs w:val="0"/>
          <w:i w:val="0"/>
          <w:iCs w:val="0"/>
          <w:caps w:val="0"/>
          <w:color w:val="000000"/>
          <w:spacing w:val="0"/>
          <w:sz w:val="36"/>
          <w:szCs w:val="36"/>
          <w:vertAlign w:val="baseline"/>
        </w:rPr>
        <w:t>部门整体支出绩效自评报告</w:t>
      </w:r>
    </w:p>
    <w:p w14:paraId="4C1AE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vertAlign w:val="baseline"/>
        </w:rPr>
        <w:t> </w:t>
      </w:r>
    </w:p>
    <w:p w14:paraId="283E2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both"/>
        <w:textAlignment w:val="baseline"/>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vertAlign w:val="baseline"/>
        </w:rPr>
        <w:t> </w:t>
      </w:r>
    </w:p>
    <w:p w14:paraId="76361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ascii="黑体" w:hAnsi="宋体" w:eastAsia="黑体" w:cs="黑体"/>
          <w:b w:val="0"/>
          <w:bCs w:val="0"/>
          <w:i w:val="0"/>
          <w:iCs w:val="0"/>
          <w:caps w:val="0"/>
          <w:color w:val="000000"/>
          <w:spacing w:val="0"/>
          <w:sz w:val="32"/>
          <w:szCs w:val="32"/>
          <w:vertAlign w:val="baseline"/>
        </w:rPr>
        <w:t>一、部门概况</w:t>
      </w:r>
    </w:p>
    <w:p w14:paraId="77533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（一）部门基本情况</w:t>
      </w:r>
    </w:p>
    <w:p w14:paraId="5AF55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隆回县水利综合服务中心为隆回县水利局所属副科级公益一类（全额拨款）事业单位。主要职责是：（1）、为全县水土保持、水资源管理等水利发展和生态文明建设提供技术支撑和服务保障。（2）、承担水利科技成果推广运用和水利服务体系建设。（3）、承担全县辖区内水土流失动态监测、网络信息化建设及开展水土保持径流定位监测。（4）、承担全县重点水土保持工程、农村安全饮水工程、农村水利灌排工程项目法人职责，并组织实施。</w:t>
      </w:r>
    </w:p>
    <w:p w14:paraId="76E7E8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（二）</w:t>
      </w:r>
      <w:r>
        <w:rPr>
          <w:rFonts w:hint="default" w:ascii="Times New Roman" w:hAnsi="Times New Roman" w:cs="Times New Roman"/>
          <w:b w:val="0"/>
          <w:bCs w:val="0"/>
          <w:i w:val="0"/>
          <w:iCs w:val="0"/>
          <w:caps w:val="0"/>
          <w:color w:val="000000"/>
          <w:spacing w:val="0"/>
          <w:sz w:val="28"/>
          <w:szCs w:val="28"/>
          <w:vertAlign w:val="baseline"/>
        </w:rPr>
        <w:t>202</w:t>
      </w:r>
      <w:r>
        <w:rPr>
          <w:rFonts w:hint="eastAsia" w:ascii="宋体" w:hAnsi="宋体" w:eastAsia="宋体" w:cs="宋体"/>
          <w:b w:val="0"/>
          <w:bCs w:val="0"/>
          <w:i w:val="0"/>
          <w:iCs w:val="0"/>
          <w:caps w:val="0"/>
          <w:color w:val="000000"/>
          <w:spacing w:val="0"/>
          <w:sz w:val="28"/>
          <w:szCs w:val="28"/>
          <w:vertAlign w:val="baseline"/>
        </w:rPr>
        <w:t>2年的重点工作</w:t>
      </w:r>
    </w:p>
    <w:p w14:paraId="6200F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0" w:right="0" w:firstLine="560"/>
        <w:jc w:val="both"/>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1、工程建设：完成2021年麻石江山洪沟治理工程建设任务；完成隆回县石山湾村2021年“水美湘村”建设项目建设任务；完成2021年伏龙江生态清洁小流域建设项目；完成了高平镇滨江南路振兴桥、滨江桥建设项目；2022年横南-滩头生态清洁小流域建设项目本年度完成合同工程量的80%；2022年滩头镇城东村“水美湘村”建设项目本年度完成合同工程量的60%；</w:t>
      </w:r>
    </w:p>
    <w:p w14:paraId="4E6BD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0" w:right="0" w:firstLine="560"/>
        <w:jc w:val="both"/>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2、监督管理及监测：积极协助水利局做好水土保持监督检查工作，扎实对全县54个生产建设项目开展了水土保持监督检查，审批水土保持方案36个，收缴水土保持补偿费57万元。完成水利部下发的关于水土保持57个疑似违法图斑的核查、整改、销号工作。认真做好七江观测站日常观测工作对老山冲小流域综合监测站点径流小区、小流域设施设备等进行日常维护与管理，圆满完成了2021年监测数据录入系统工作。省监测总站在我县开展的全省水土保持监测培训中，我中心观测技术员在七江监测站进行了现场教学，并录制视频做为操作规程下发全省各监测站点。</w:t>
      </w:r>
    </w:p>
    <w:p w14:paraId="41C30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0" w:right="0" w:firstLine="560"/>
        <w:jc w:val="both"/>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3、日常管理：搞好日常管理工作，树立单位良好形象。考勤、作风建设、文件起草、收发、转递传阅、会议安排、档案管理、印鉴管理、出差登记管理、后勤保障、上传下达、会议记录、来信来访接待、人事劳资、退休干部职工管理、财务会审、财务及统计报表等工作井井有条，有力地促进了单位各项工作的顺利进行，做好疫情防控、安全生产、平安建设、禁毒工作、创文工作、智慧纪检等工作。</w:t>
      </w:r>
    </w:p>
    <w:p w14:paraId="29FB13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0" w:right="0" w:firstLine="560"/>
        <w:jc w:val="both"/>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4、党建：以深入学习理论为基础抓好思想建设，进一步落实理论学习制度。学习党的二十大精神、习</w:t>
      </w:r>
      <w:r>
        <w:rPr>
          <w:rFonts w:hint="eastAsia" w:ascii="宋体" w:hAnsi="宋体" w:eastAsia="宋体" w:cs="宋体"/>
          <w:b w:val="0"/>
          <w:bCs w:val="0"/>
          <w:i w:val="0"/>
          <w:iCs w:val="0"/>
          <w:caps w:val="0"/>
          <w:color w:val="000000"/>
          <w:spacing w:val="0"/>
          <w:sz w:val="28"/>
          <w:szCs w:val="28"/>
          <w:vertAlign w:val="baseline"/>
          <w:lang w:val="en-US" w:eastAsia="zh-CN"/>
        </w:rPr>
        <w:t>总书记重要</w:t>
      </w:r>
      <w:bookmarkStart w:id="0" w:name="_GoBack"/>
      <w:bookmarkEnd w:id="0"/>
      <w:r>
        <w:rPr>
          <w:rFonts w:hint="eastAsia" w:ascii="宋体" w:hAnsi="宋体" w:eastAsia="宋体" w:cs="宋体"/>
          <w:b w:val="0"/>
          <w:bCs w:val="0"/>
          <w:i w:val="0"/>
          <w:iCs w:val="0"/>
          <w:caps w:val="0"/>
          <w:color w:val="000000"/>
          <w:spacing w:val="0"/>
          <w:sz w:val="28"/>
          <w:szCs w:val="28"/>
          <w:vertAlign w:val="baseline"/>
        </w:rPr>
        <w:t>讲话及省、市、县三级党代会精神等，采取支部书记讲党课、专题讨论、传阅学习笔记等形式进行学习，丰富学习形式和内容。以创建清廉机关活动为契机，树立风清气正的工作环境，今年来，支部始终坚持预防为主，突出紧绷廉政弦，强化监督责任。支部书记以《争做新时代廉洁自律的优秀党员》为题给全体党员进行廉政专题教育，并组织全体干部职工签订廉政责任书27份。努力实现党员志愿服务活动的常态化发展，充分发挥党员先锋模范作用。积极响应隆组通[2022]3号）文件要求，在2022年春运期间开展万名党员“亮身份、保平安、保畅通”活动；组织全体党员进社区开展服务工作，宣传防疫、反电诈以及禁毒知识，了解社情民意，及时反映群众诉求；根据隆疫防领发[2022]1号文件《关于推进全县疫情防控“敲门行动”的通知》，我支部迅速行动，将全体干部职工分成十个小组，每个小组由一名党员同志带队对紫霞园社区的323户住户进行敲门走访。</w:t>
      </w:r>
    </w:p>
    <w:p w14:paraId="75C34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textAlignment w:val="baseline"/>
        <w:rPr>
          <w:rFonts w:hint="default" w:ascii="Times New Roman" w:hAnsi="Times New Roman" w:cs="Times New Roman"/>
          <w:i w:val="0"/>
          <w:iCs w:val="0"/>
          <w:caps w:val="0"/>
          <w:color w:val="000000"/>
          <w:spacing w:val="0"/>
          <w:sz w:val="18"/>
          <w:szCs w:val="18"/>
        </w:rPr>
      </w:pPr>
      <w:r>
        <w:rPr>
          <w:rFonts w:hint="eastAsia" w:ascii="宋体" w:hAnsi="宋体" w:eastAsia="宋体" w:cs="宋体"/>
          <w:b w:val="0"/>
          <w:bCs w:val="0"/>
          <w:i w:val="0"/>
          <w:iCs w:val="0"/>
          <w:caps w:val="0"/>
          <w:color w:val="000000"/>
          <w:spacing w:val="0"/>
          <w:sz w:val="28"/>
          <w:szCs w:val="28"/>
          <w:vertAlign w:val="baseline"/>
        </w:rPr>
        <w:t>5、乡村振兴：抓项目固基础。帮扶村2022年乡村振兴资金50万，目前项目已全部完工；协调落实资金20万元用于排洪渠修建和管道维修；学政策提内力。真帮扶解民困。我中心严格按照县委县政府的要求，班子和中层每人帮扶2户监测户，2户脱贫户，其他职工每人联系4户脱贫户，1-4月每月一走访，5-9月每月2次走访，与帮扶、联系户同吃住同劳动，了解实际困难并解决。中心投入帮扶资金4万元对村困难户房屋进行修缮；出资给监测户每人购买20只小鸡帮助其发展养殖；中秋节给村所有监测户、脱贫户送上月饼一盒；春节前对村16户困难户进行慰问，每户慰问金300元。通过全体职工用心用情帮扶，真心实意解决困难和问题，群众满意度大大提高。</w:t>
      </w:r>
    </w:p>
    <w:p w14:paraId="569CA9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b w:val="0"/>
          <w:bCs w:val="0"/>
          <w:i w:val="0"/>
          <w:iCs w:val="0"/>
          <w:caps w:val="0"/>
          <w:color w:val="000000"/>
          <w:spacing w:val="0"/>
          <w:sz w:val="28"/>
          <w:szCs w:val="28"/>
          <w:vertAlign w:val="baseline"/>
        </w:rPr>
        <w:t>（三）部门整体支出情况</w:t>
      </w:r>
    </w:p>
    <w:p w14:paraId="48D0C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2022年总支出409.72万元，其中人员经费366.25 万元，占总支出的89%，日常公用经费 43.47万元，占总支出的11%。</w:t>
      </w:r>
    </w:p>
    <w:p w14:paraId="4E4C7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b w:val="0"/>
          <w:bCs w:val="0"/>
          <w:i w:val="0"/>
          <w:iCs w:val="0"/>
          <w:caps w:val="0"/>
          <w:color w:val="000000"/>
          <w:spacing w:val="0"/>
          <w:sz w:val="32"/>
          <w:szCs w:val="32"/>
          <w:vertAlign w:val="baseline"/>
        </w:rPr>
        <w:t>二、部门整体支出管理及使用情况</w:t>
      </w:r>
    </w:p>
    <w:p w14:paraId="14C52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b w:val="0"/>
          <w:bCs w:val="0"/>
          <w:i w:val="0"/>
          <w:iCs w:val="0"/>
          <w:caps w:val="0"/>
          <w:color w:val="000000"/>
          <w:spacing w:val="0"/>
          <w:sz w:val="28"/>
          <w:szCs w:val="28"/>
          <w:vertAlign w:val="baseline"/>
        </w:rPr>
        <w:t>（一）基本支出情况</w:t>
      </w:r>
    </w:p>
    <w:p w14:paraId="7AF57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28"/>
          <w:szCs w:val="28"/>
          <w:vertAlign w:val="baseline"/>
        </w:rPr>
        <w:t>202</w:t>
      </w:r>
      <w:r>
        <w:rPr>
          <w:rFonts w:hint="eastAsia" w:ascii="宋体" w:hAnsi="宋体" w:eastAsia="宋体" w:cs="宋体"/>
          <w:b w:val="0"/>
          <w:bCs w:val="0"/>
          <w:i w:val="0"/>
          <w:iCs w:val="0"/>
          <w:caps w:val="0"/>
          <w:color w:val="000000"/>
          <w:spacing w:val="0"/>
          <w:sz w:val="28"/>
          <w:szCs w:val="28"/>
          <w:vertAlign w:val="baseline"/>
        </w:rPr>
        <w:t>2</w:t>
      </w:r>
      <w:r>
        <w:rPr>
          <w:rFonts w:hint="default" w:ascii="Times New Roman" w:hAnsi="Times New Roman" w:cs="Times New Roman"/>
          <w:b w:val="0"/>
          <w:bCs w:val="0"/>
          <w:i w:val="0"/>
          <w:iCs w:val="0"/>
          <w:caps w:val="0"/>
          <w:color w:val="000000"/>
          <w:spacing w:val="0"/>
          <w:sz w:val="28"/>
          <w:szCs w:val="28"/>
          <w:vertAlign w:val="baseline"/>
        </w:rPr>
        <w:t>年度决算数为</w:t>
      </w:r>
      <w:r>
        <w:rPr>
          <w:rFonts w:hint="eastAsia" w:ascii="宋体" w:hAnsi="宋体" w:eastAsia="宋体" w:cs="宋体"/>
          <w:b w:val="0"/>
          <w:bCs w:val="0"/>
          <w:i w:val="0"/>
          <w:iCs w:val="0"/>
          <w:caps w:val="0"/>
          <w:color w:val="000000"/>
          <w:spacing w:val="0"/>
          <w:sz w:val="28"/>
          <w:szCs w:val="28"/>
          <w:vertAlign w:val="baseline"/>
        </w:rPr>
        <w:t>409.72</w:t>
      </w:r>
      <w:r>
        <w:rPr>
          <w:rFonts w:hint="default" w:ascii="Times New Roman" w:hAnsi="Times New Roman" w:cs="Times New Roman"/>
          <w:b w:val="0"/>
          <w:bCs w:val="0"/>
          <w:i w:val="0"/>
          <w:iCs w:val="0"/>
          <w:caps w:val="0"/>
          <w:color w:val="000000"/>
          <w:spacing w:val="0"/>
          <w:sz w:val="28"/>
          <w:szCs w:val="28"/>
          <w:vertAlign w:val="baseline"/>
        </w:rPr>
        <w:t>万元，是为保障单位机构正常运转、完成日常工作任务而发生的各项支出，主要包括工资福利支出、商品和服务支出，对个人和家庭的补助支出、资本性支出和其他资本性支出。</w:t>
      </w:r>
    </w:p>
    <w:p w14:paraId="6E828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（二）</w:t>
      </w:r>
      <w:r>
        <w:rPr>
          <w:rFonts w:hint="default" w:ascii="Times New Roman" w:hAnsi="Times New Roman" w:cs="Times New Roman"/>
          <w:b w:val="0"/>
          <w:bCs w:val="0"/>
          <w:i w:val="0"/>
          <w:iCs w:val="0"/>
          <w:caps w:val="0"/>
          <w:color w:val="000000"/>
          <w:spacing w:val="0"/>
          <w:sz w:val="28"/>
          <w:szCs w:val="28"/>
          <w:vertAlign w:val="baseline"/>
        </w:rPr>
        <w:t>“</w:t>
      </w:r>
      <w:r>
        <w:rPr>
          <w:rFonts w:hint="eastAsia" w:ascii="宋体" w:hAnsi="宋体" w:eastAsia="宋体" w:cs="宋体"/>
          <w:b w:val="0"/>
          <w:bCs w:val="0"/>
          <w:i w:val="0"/>
          <w:iCs w:val="0"/>
          <w:caps w:val="0"/>
          <w:color w:val="000000"/>
          <w:spacing w:val="0"/>
          <w:sz w:val="28"/>
          <w:szCs w:val="28"/>
          <w:vertAlign w:val="baseline"/>
        </w:rPr>
        <w:t>三公</w:t>
      </w:r>
      <w:r>
        <w:rPr>
          <w:rFonts w:hint="default" w:ascii="Times New Roman" w:hAnsi="Times New Roman" w:cs="Times New Roman"/>
          <w:b w:val="0"/>
          <w:bCs w:val="0"/>
          <w:i w:val="0"/>
          <w:iCs w:val="0"/>
          <w:caps w:val="0"/>
          <w:color w:val="000000"/>
          <w:spacing w:val="0"/>
          <w:sz w:val="28"/>
          <w:szCs w:val="28"/>
          <w:vertAlign w:val="baseline"/>
        </w:rPr>
        <w:t>”</w:t>
      </w:r>
      <w:r>
        <w:rPr>
          <w:rFonts w:hint="eastAsia" w:ascii="宋体" w:hAnsi="宋体" w:eastAsia="宋体" w:cs="宋体"/>
          <w:b w:val="0"/>
          <w:bCs w:val="0"/>
          <w:i w:val="0"/>
          <w:iCs w:val="0"/>
          <w:caps w:val="0"/>
          <w:color w:val="000000"/>
          <w:spacing w:val="0"/>
          <w:sz w:val="28"/>
          <w:szCs w:val="28"/>
          <w:vertAlign w:val="baseline"/>
        </w:rPr>
        <w:t>经费情况</w:t>
      </w:r>
    </w:p>
    <w:p w14:paraId="6EF57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40"/>
        <w:jc w:val="both"/>
        <w:textAlignment w:val="baseline"/>
        <w:rPr>
          <w:rFonts w:ascii="Calibri" w:hAnsi="Calibri" w:cs="Calibri"/>
          <w:i w:val="0"/>
          <w:iCs w:val="0"/>
          <w:caps w:val="0"/>
          <w:color w:val="000000"/>
          <w:spacing w:val="0"/>
          <w:sz w:val="24"/>
          <w:szCs w:val="24"/>
        </w:rPr>
      </w:pPr>
      <w:r>
        <w:rPr>
          <w:rFonts w:hint="default" w:ascii="Times New Roman" w:hAnsi="Times New Roman" w:cs="Times New Roman"/>
          <w:b w:val="0"/>
          <w:bCs w:val="0"/>
          <w:i w:val="0"/>
          <w:iCs w:val="0"/>
          <w:caps w:val="0"/>
          <w:color w:val="000000"/>
          <w:spacing w:val="0"/>
          <w:sz w:val="28"/>
          <w:szCs w:val="28"/>
          <w:vertAlign w:val="baseline"/>
        </w:rPr>
        <w:t>202</w:t>
      </w:r>
      <w:r>
        <w:rPr>
          <w:rFonts w:hint="eastAsia" w:ascii="宋体" w:hAnsi="宋体" w:eastAsia="宋体" w:cs="宋体"/>
          <w:b w:val="0"/>
          <w:bCs w:val="0"/>
          <w:i w:val="0"/>
          <w:iCs w:val="0"/>
          <w:caps w:val="0"/>
          <w:color w:val="000000"/>
          <w:spacing w:val="0"/>
          <w:sz w:val="28"/>
          <w:szCs w:val="28"/>
          <w:vertAlign w:val="baseline"/>
        </w:rPr>
        <w:t>1年我单位</w:t>
      </w:r>
      <w:r>
        <w:rPr>
          <w:rFonts w:hint="default" w:ascii="Times New Roman" w:hAnsi="Times New Roman" w:cs="Times New Roman"/>
          <w:b w:val="0"/>
          <w:bCs w:val="0"/>
          <w:i w:val="0"/>
          <w:iCs w:val="0"/>
          <w:caps w:val="0"/>
          <w:color w:val="000000"/>
          <w:spacing w:val="0"/>
          <w:sz w:val="28"/>
          <w:szCs w:val="28"/>
          <w:vertAlign w:val="baseline"/>
        </w:rPr>
        <w:t>“</w:t>
      </w:r>
      <w:r>
        <w:rPr>
          <w:rFonts w:hint="eastAsia" w:ascii="宋体" w:hAnsi="宋体" w:eastAsia="宋体" w:cs="宋体"/>
          <w:b w:val="0"/>
          <w:bCs w:val="0"/>
          <w:i w:val="0"/>
          <w:iCs w:val="0"/>
          <w:caps w:val="0"/>
          <w:color w:val="000000"/>
          <w:spacing w:val="0"/>
          <w:sz w:val="28"/>
          <w:szCs w:val="28"/>
          <w:vertAlign w:val="baseline"/>
        </w:rPr>
        <w:t>三公</w:t>
      </w:r>
      <w:r>
        <w:rPr>
          <w:rFonts w:hint="default" w:ascii="Times New Roman" w:hAnsi="Times New Roman" w:cs="Times New Roman"/>
          <w:b w:val="0"/>
          <w:bCs w:val="0"/>
          <w:i w:val="0"/>
          <w:iCs w:val="0"/>
          <w:caps w:val="0"/>
          <w:color w:val="000000"/>
          <w:spacing w:val="0"/>
          <w:sz w:val="28"/>
          <w:szCs w:val="28"/>
          <w:vertAlign w:val="baseline"/>
        </w:rPr>
        <w:t>”</w:t>
      </w:r>
      <w:r>
        <w:rPr>
          <w:rFonts w:hint="eastAsia" w:ascii="宋体" w:hAnsi="宋体" w:eastAsia="宋体" w:cs="宋体"/>
          <w:b w:val="0"/>
          <w:bCs w:val="0"/>
          <w:i w:val="0"/>
          <w:iCs w:val="0"/>
          <w:caps w:val="0"/>
          <w:color w:val="000000"/>
          <w:spacing w:val="0"/>
          <w:sz w:val="28"/>
          <w:szCs w:val="28"/>
          <w:vertAlign w:val="baseline"/>
        </w:rPr>
        <w:t>经费0.84万元。</w:t>
      </w:r>
    </w:p>
    <w:p w14:paraId="474EA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40"/>
        <w:jc w:val="both"/>
        <w:textAlignment w:val="baseline"/>
        <w:rPr>
          <w:rFonts w:hint="default" w:ascii="Calibri" w:hAnsi="Calibri" w:cs="Calibri"/>
          <w:i w:val="0"/>
          <w:iCs w:val="0"/>
          <w:caps w:val="0"/>
          <w:color w:val="000000"/>
          <w:spacing w:val="0"/>
          <w:sz w:val="24"/>
          <w:szCs w:val="24"/>
        </w:rPr>
      </w:pPr>
      <w:r>
        <w:rPr>
          <w:rFonts w:hint="default" w:ascii="Times New Roman" w:hAnsi="Times New Roman" w:cs="Times New Roman"/>
          <w:b w:val="0"/>
          <w:bCs w:val="0"/>
          <w:i w:val="0"/>
          <w:iCs w:val="0"/>
          <w:caps w:val="0"/>
          <w:color w:val="000000"/>
          <w:spacing w:val="0"/>
          <w:sz w:val="28"/>
          <w:szCs w:val="28"/>
          <w:vertAlign w:val="baseline"/>
        </w:rPr>
        <w:t>1</w:t>
      </w:r>
      <w:r>
        <w:rPr>
          <w:rFonts w:hint="eastAsia" w:ascii="宋体" w:hAnsi="宋体" w:eastAsia="宋体" w:cs="宋体"/>
          <w:b w:val="0"/>
          <w:bCs w:val="0"/>
          <w:i w:val="0"/>
          <w:iCs w:val="0"/>
          <w:caps w:val="0"/>
          <w:color w:val="000000"/>
          <w:spacing w:val="0"/>
          <w:sz w:val="28"/>
          <w:szCs w:val="28"/>
          <w:vertAlign w:val="baseline"/>
        </w:rPr>
        <w:t>、因公出国</w:t>
      </w:r>
      <w:r>
        <w:rPr>
          <w:rFonts w:hint="default" w:ascii="Times New Roman" w:hAnsi="Times New Roman" w:cs="Times New Roman"/>
          <w:b w:val="0"/>
          <w:bCs w:val="0"/>
          <w:i w:val="0"/>
          <w:iCs w:val="0"/>
          <w:caps w:val="0"/>
          <w:color w:val="000000"/>
          <w:spacing w:val="0"/>
          <w:sz w:val="28"/>
          <w:szCs w:val="28"/>
          <w:vertAlign w:val="baseline"/>
        </w:rPr>
        <w:t>(</w:t>
      </w:r>
      <w:r>
        <w:rPr>
          <w:rFonts w:hint="eastAsia" w:ascii="宋体" w:hAnsi="宋体" w:eastAsia="宋体" w:cs="宋体"/>
          <w:b w:val="0"/>
          <w:bCs w:val="0"/>
          <w:i w:val="0"/>
          <w:iCs w:val="0"/>
          <w:caps w:val="0"/>
          <w:color w:val="000000"/>
          <w:spacing w:val="0"/>
          <w:sz w:val="28"/>
          <w:szCs w:val="28"/>
          <w:vertAlign w:val="baseline"/>
        </w:rPr>
        <w:t>境</w:t>
      </w:r>
      <w:r>
        <w:rPr>
          <w:rFonts w:hint="default" w:ascii="Times New Roman" w:hAnsi="Times New Roman" w:cs="Times New Roman"/>
          <w:b w:val="0"/>
          <w:bCs w:val="0"/>
          <w:i w:val="0"/>
          <w:iCs w:val="0"/>
          <w:caps w:val="0"/>
          <w:color w:val="000000"/>
          <w:spacing w:val="0"/>
          <w:sz w:val="28"/>
          <w:szCs w:val="28"/>
          <w:vertAlign w:val="baseline"/>
        </w:rPr>
        <w:t>)</w:t>
      </w:r>
      <w:r>
        <w:rPr>
          <w:rFonts w:hint="eastAsia" w:ascii="宋体" w:hAnsi="宋体" w:eastAsia="宋体" w:cs="宋体"/>
          <w:b w:val="0"/>
          <w:bCs w:val="0"/>
          <w:i w:val="0"/>
          <w:iCs w:val="0"/>
          <w:caps w:val="0"/>
          <w:color w:val="000000"/>
          <w:spacing w:val="0"/>
          <w:sz w:val="28"/>
          <w:szCs w:val="28"/>
          <w:vertAlign w:val="baseline"/>
        </w:rPr>
        <w:t>费</w:t>
      </w:r>
      <w:r>
        <w:rPr>
          <w:rFonts w:hint="default" w:ascii="Times New Roman" w:hAnsi="Times New Roman" w:cs="Times New Roman"/>
          <w:b w:val="0"/>
          <w:bCs w:val="0"/>
          <w:i w:val="0"/>
          <w:iCs w:val="0"/>
          <w:caps w:val="0"/>
          <w:color w:val="000000"/>
          <w:spacing w:val="0"/>
          <w:sz w:val="28"/>
          <w:szCs w:val="28"/>
          <w:vertAlign w:val="baseline"/>
        </w:rPr>
        <w:t>0</w:t>
      </w:r>
      <w:r>
        <w:rPr>
          <w:rFonts w:hint="eastAsia" w:ascii="宋体" w:hAnsi="宋体" w:eastAsia="宋体" w:cs="宋体"/>
          <w:b w:val="0"/>
          <w:bCs w:val="0"/>
          <w:i w:val="0"/>
          <w:iCs w:val="0"/>
          <w:caps w:val="0"/>
          <w:color w:val="000000"/>
          <w:spacing w:val="0"/>
          <w:sz w:val="28"/>
          <w:szCs w:val="28"/>
          <w:vertAlign w:val="baseline"/>
        </w:rPr>
        <w:t>元。</w:t>
      </w:r>
    </w:p>
    <w:p w14:paraId="16F0A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40"/>
        <w:jc w:val="both"/>
        <w:textAlignment w:val="baseline"/>
        <w:rPr>
          <w:rFonts w:hint="default" w:ascii="Calibri" w:hAnsi="Calibri" w:cs="Calibri"/>
          <w:i w:val="0"/>
          <w:iCs w:val="0"/>
          <w:caps w:val="0"/>
          <w:color w:val="000000"/>
          <w:spacing w:val="0"/>
          <w:sz w:val="24"/>
          <w:szCs w:val="24"/>
        </w:rPr>
      </w:pPr>
      <w:r>
        <w:rPr>
          <w:rFonts w:hint="default" w:ascii="Times New Roman" w:hAnsi="Times New Roman" w:cs="Times New Roman"/>
          <w:b w:val="0"/>
          <w:bCs w:val="0"/>
          <w:i w:val="0"/>
          <w:iCs w:val="0"/>
          <w:caps w:val="0"/>
          <w:color w:val="000000"/>
          <w:spacing w:val="0"/>
          <w:sz w:val="28"/>
          <w:szCs w:val="28"/>
          <w:vertAlign w:val="baseline"/>
        </w:rPr>
        <w:t>2</w:t>
      </w:r>
      <w:r>
        <w:rPr>
          <w:rFonts w:hint="eastAsia" w:ascii="宋体" w:hAnsi="宋体" w:eastAsia="宋体" w:cs="宋体"/>
          <w:b w:val="0"/>
          <w:bCs w:val="0"/>
          <w:i w:val="0"/>
          <w:iCs w:val="0"/>
          <w:caps w:val="0"/>
          <w:color w:val="000000"/>
          <w:spacing w:val="0"/>
          <w:sz w:val="28"/>
          <w:szCs w:val="28"/>
          <w:vertAlign w:val="baseline"/>
        </w:rPr>
        <w:t>、公务接待费0.84万元。</w:t>
      </w:r>
    </w:p>
    <w:p w14:paraId="68974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40"/>
        <w:jc w:val="both"/>
        <w:textAlignment w:val="baseline"/>
        <w:rPr>
          <w:rFonts w:hint="default" w:ascii="Calibri" w:hAnsi="Calibri" w:cs="Calibri"/>
          <w:i w:val="0"/>
          <w:iCs w:val="0"/>
          <w:caps w:val="0"/>
          <w:color w:val="000000"/>
          <w:spacing w:val="0"/>
          <w:sz w:val="24"/>
          <w:szCs w:val="24"/>
        </w:rPr>
      </w:pPr>
      <w:r>
        <w:rPr>
          <w:rFonts w:hint="default" w:ascii="Times New Roman" w:hAnsi="Times New Roman" w:cs="Times New Roman"/>
          <w:b w:val="0"/>
          <w:bCs w:val="0"/>
          <w:i w:val="0"/>
          <w:iCs w:val="0"/>
          <w:caps w:val="0"/>
          <w:color w:val="000000"/>
          <w:spacing w:val="0"/>
          <w:sz w:val="28"/>
          <w:szCs w:val="28"/>
          <w:vertAlign w:val="baseline"/>
        </w:rPr>
        <w:t>3</w:t>
      </w:r>
      <w:r>
        <w:rPr>
          <w:rFonts w:hint="eastAsia" w:ascii="宋体" w:hAnsi="宋体" w:eastAsia="宋体" w:cs="宋体"/>
          <w:b w:val="0"/>
          <w:bCs w:val="0"/>
          <w:i w:val="0"/>
          <w:iCs w:val="0"/>
          <w:caps w:val="0"/>
          <w:color w:val="000000"/>
          <w:spacing w:val="0"/>
          <w:sz w:val="28"/>
          <w:szCs w:val="28"/>
          <w:vertAlign w:val="baseline"/>
        </w:rPr>
        <w:t>、公务用车费0万元。</w:t>
      </w:r>
    </w:p>
    <w:p w14:paraId="65359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vertAlign w:val="baseline"/>
        </w:rPr>
        <w:t>三、部门整体支出绩效情况</w:t>
      </w:r>
    </w:p>
    <w:p w14:paraId="439C6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1.财务管理制度建设情况：资金拨付严格按程序申报、审批，合理合规使用资金，确保财政资金安全。</w:t>
      </w:r>
    </w:p>
    <w:p w14:paraId="1F81C3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2.资产管理：及时按照要求报送资产情况报表，确保各项资产核算准确、帐实相符、管理到位。</w:t>
      </w:r>
    </w:p>
    <w:p w14:paraId="67AB6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3.预决算公开：及时在县人民政府门户网站上进行了预决算公开。</w:t>
      </w:r>
    </w:p>
    <w:p w14:paraId="74B4C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4.“三公经费”控制情况：能严格遵守各项规章制度，严控“三公”经费支出，并及时在县人民政府门户网站上对“三公”经费情况进行公示。</w:t>
      </w:r>
    </w:p>
    <w:p w14:paraId="5C723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b w:val="0"/>
          <w:bCs w:val="0"/>
          <w:i w:val="0"/>
          <w:iCs w:val="0"/>
          <w:caps w:val="0"/>
          <w:color w:val="000000"/>
          <w:spacing w:val="0"/>
          <w:sz w:val="32"/>
          <w:szCs w:val="32"/>
          <w:vertAlign w:val="baseline"/>
        </w:rPr>
        <w:t>四、存在的问题</w:t>
      </w:r>
    </w:p>
    <w:p w14:paraId="55EC0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b w:val="0"/>
          <w:bCs w:val="0"/>
          <w:i w:val="0"/>
          <w:iCs w:val="0"/>
          <w:caps w:val="0"/>
          <w:color w:val="000000"/>
          <w:spacing w:val="0"/>
          <w:sz w:val="28"/>
          <w:szCs w:val="28"/>
          <w:vertAlign w:val="baseline"/>
        </w:rPr>
        <w:t>1、预算编制及执行管理工作待进一步加强。随着对预、决算编制工作水平要求越来越高，数据编制要求越来越精准、规范；时间紧、任务重，会计人员业务明显增加，人员紧缺，实际操作压力大。</w:t>
      </w:r>
    </w:p>
    <w:p w14:paraId="2A1E7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2、水土流失监管经费缺口大，经费预算相对较低，工作推进无法达到计划预期目标。</w:t>
      </w:r>
    </w:p>
    <w:p w14:paraId="6584A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b w:val="0"/>
          <w:bCs w:val="0"/>
          <w:i w:val="0"/>
          <w:iCs w:val="0"/>
          <w:caps w:val="0"/>
          <w:color w:val="000000"/>
          <w:spacing w:val="0"/>
          <w:sz w:val="32"/>
          <w:szCs w:val="32"/>
          <w:vertAlign w:val="baseline"/>
        </w:rPr>
        <w:t>五、改进措施和有关建议</w:t>
      </w:r>
    </w:p>
    <w:p w14:paraId="41DD8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1、加强财务管理和监督。</w:t>
      </w:r>
    </w:p>
    <w:p w14:paraId="3B8CD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2、完善资产管理，抓好“三公”经费的审核、审批，杜绝挪用和挤占其他预算资金行为；合理压缩“三公”经费支出。</w:t>
      </w:r>
    </w:p>
    <w:p w14:paraId="343D6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both"/>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3、加强对财务人员和财务主管领导的业务培训，提升财务人员专业能力。</w:t>
      </w:r>
    </w:p>
    <w:p w14:paraId="4D74D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both"/>
        <w:textAlignment w:val="baseline"/>
        <w:rPr>
          <w:rFonts w:hint="default" w:ascii="Calibri" w:hAnsi="Calibri" w:cs="Calibri"/>
          <w:i w:val="0"/>
          <w:iCs w:val="0"/>
          <w:caps w:val="0"/>
          <w:color w:val="000000"/>
          <w:spacing w:val="0"/>
          <w:sz w:val="24"/>
          <w:szCs w:val="24"/>
        </w:rPr>
      </w:pPr>
      <w:r>
        <w:rPr>
          <w:rFonts w:hint="default" w:ascii="Calibri" w:hAnsi="Calibri" w:cs="Calibri"/>
          <w:i w:val="0"/>
          <w:iCs w:val="0"/>
          <w:caps w:val="0"/>
          <w:color w:val="000000"/>
          <w:spacing w:val="0"/>
          <w:sz w:val="24"/>
          <w:szCs w:val="24"/>
          <w:vertAlign w:val="baseline"/>
        </w:rPr>
        <w:t> </w:t>
      </w:r>
    </w:p>
    <w:p w14:paraId="72E4C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right"/>
        <w:textAlignment w:val="baseline"/>
        <w:rPr>
          <w:rFonts w:hint="default" w:ascii="Calibri" w:hAnsi="Calibri" w:cs="Calibri"/>
          <w:i w:val="0"/>
          <w:iCs w:val="0"/>
          <w:caps w:val="0"/>
          <w:color w:val="000000"/>
          <w:spacing w:val="0"/>
          <w:sz w:val="24"/>
          <w:szCs w:val="24"/>
        </w:rPr>
      </w:pPr>
      <w:r>
        <w:rPr>
          <w:rFonts w:hint="default" w:ascii="Calibri" w:hAnsi="Calibri" w:cs="Calibri"/>
          <w:i w:val="0"/>
          <w:iCs w:val="0"/>
          <w:caps w:val="0"/>
          <w:color w:val="000000"/>
          <w:spacing w:val="0"/>
          <w:sz w:val="24"/>
          <w:szCs w:val="24"/>
          <w:vertAlign w:val="baseline"/>
        </w:rPr>
        <w:t> </w:t>
      </w:r>
    </w:p>
    <w:p w14:paraId="4A4D9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right"/>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隆回县水利综合服务中心</w:t>
      </w:r>
    </w:p>
    <w:p w14:paraId="41890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textAlignment w:val="baseline"/>
        <w:rPr>
          <w:rFonts w:hint="default" w:ascii="Calibri" w:hAnsi="Calibri" w:cs="Calibri"/>
          <w:i w:val="0"/>
          <w:iCs w:val="0"/>
          <w:caps w:val="0"/>
          <w:color w:val="000000"/>
          <w:spacing w:val="0"/>
          <w:sz w:val="24"/>
          <w:szCs w:val="24"/>
        </w:rPr>
      </w:pPr>
      <w:r>
        <w:rPr>
          <w:rFonts w:hint="eastAsia" w:ascii="宋体" w:hAnsi="宋体" w:eastAsia="宋体" w:cs="宋体"/>
          <w:b w:val="0"/>
          <w:bCs w:val="0"/>
          <w:i w:val="0"/>
          <w:iCs w:val="0"/>
          <w:caps w:val="0"/>
          <w:color w:val="000000"/>
          <w:spacing w:val="0"/>
          <w:sz w:val="28"/>
          <w:szCs w:val="28"/>
          <w:vertAlign w:val="baseline"/>
        </w:rPr>
        <w:t>                       </w:t>
      </w:r>
      <w:r>
        <w:rPr>
          <w:rFonts w:hint="eastAsia" w:ascii="宋体" w:hAnsi="宋体" w:eastAsia="宋体" w:cs="宋体"/>
          <w:b w:val="0"/>
          <w:bCs w:val="0"/>
          <w:i w:val="0"/>
          <w:iCs w:val="0"/>
          <w:caps w:val="0"/>
          <w:color w:val="000000"/>
          <w:spacing w:val="0"/>
          <w:sz w:val="28"/>
          <w:szCs w:val="28"/>
          <w:vertAlign w:val="baseline"/>
          <w:lang w:val="en-US" w:eastAsia="zh-CN"/>
        </w:rPr>
        <w:t xml:space="preserve">     </w:t>
      </w:r>
      <w:r>
        <w:rPr>
          <w:rFonts w:hint="eastAsia" w:ascii="宋体" w:hAnsi="宋体" w:eastAsia="宋体" w:cs="宋体"/>
          <w:b w:val="0"/>
          <w:bCs w:val="0"/>
          <w:i w:val="0"/>
          <w:iCs w:val="0"/>
          <w:caps w:val="0"/>
          <w:color w:val="000000"/>
          <w:spacing w:val="0"/>
          <w:sz w:val="28"/>
          <w:szCs w:val="28"/>
          <w:vertAlign w:val="baseline"/>
        </w:rPr>
        <w:t>            2023年05月10日</w:t>
      </w:r>
    </w:p>
    <w:p w14:paraId="46C35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rPr>
        <w:t> </w:t>
      </w:r>
    </w:p>
    <w:p w14:paraId="61A57B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MjAzYzMyNDE5YWViNDhjNzE4MTgyNWRkZGMyNTgifQ=="/>
  </w:docVars>
  <w:rsids>
    <w:rsidRoot w:val="329B5EFA"/>
    <w:rsid w:val="329B5EFA"/>
    <w:rsid w:val="32F4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2222</Words>
  <Characters>2363</Characters>
  <Lines>0</Lines>
  <Paragraphs>0</Paragraphs>
  <TotalTime>5</TotalTime>
  <ScaleCrop>false</ScaleCrop>
  <LinksUpToDate>false</LinksUpToDate>
  <CharactersWithSpaces>2370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2023-09-18T01:29:00Z</dcterms:created>
  <dc:creator>简单点</dc:creator>
  <cp:lastModifiedBy>随风而起</cp:lastModifiedBy>
  <dcterms:modified xsi:type="dcterms:W3CDTF">2025-12-18T03:53:02Z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83F3F562A7E2440190696A181FC41458_11</vt:lpwstr>
  </property>
  <property fmtid="{D5CDD505-2E9C-101B-9397-08002B2CF9AE}" pid="4" name="KSOTemplateDocerSaveRecord">
    <vt:lpwstr>eyJoZGlkIjoiMzUyMGJjZGJkYTMxNmM2MGVkODM5NTNmZjk2YzllNDIiLCJ1c2VySWQiOiIyNzg1MzQ3NzgifQ==</vt:lpwstr>
  </property>
</Properties>
</file>