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ascii="方正小标宋简体" w:hAnsi="方正小标宋简体" w:eastAsia="方正小标宋简体" w:cs="方正小标宋简体"/>
          <w:b w:val="0"/>
          <w:bCs w:val="0"/>
          <w:i w:val="0"/>
          <w:iCs w:val="0"/>
          <w:caps w:val="0"/>
          <w:color w:val="000000"/>
          <w:spacing w:val="0"/>
          <w:sz w:val="36"/>
          <w:szCs w:val="36"/>
          <w:bdr w:val="none" w:color="auto" w:sz="0" w:space="0"/>
          <w:vertAlign w:val="baseline"/>
        </w:rPr>
        <w:t>隆回县水利综合服务中心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方正小标宋简体" w:hAnsi="方正小标宋简体" w:eastAsia="方正小标宋简体" w:cs="方正小标宋简体"/>
          <w:b w:val="0"/>
          <w:bCs w:val="0"/>
          <w:i w:val="0"/>
          <w:iCs w:val="0"/>
          <w:caps w:val="0"/>
          <w:color w:val="000000"/>
          <w:spacing w:val="0"/>
          <w:sz w:val="36"/>
          <w:szCs w:val="36"/>
          <w:bdr w:val="none" w:color="auto" w:sz="0" w:space="0"/>
          <w:vertAlign w:val="baseline"/>
        </w:rPr>
        <w:t>部门整体支出绩效自评报告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ascii="黑体" w:hAnsi="宋体" w:eastAsia="黑体" w:cs="黑体"/>
          <w:b w:val="0"/>
          <w:bCs w:val="0"/>
          <w:i w:val="0"/>
          <w:iCs w:val="0"/>
          <w:caps w:val="0"/>
          <w:color w:val="000000"/>
          <w:spacing w:val="0"/>
          <w:sz w:val="32"/>
          <w:szCs w:val="32"/>
          <w:bdr w:val="none" w:color="auto" w:sz="0" w:space="0"/>
          <w:vertAlign w:val="baseline"/>
        </w:rPr>
        <w:t>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隆回县水利综合服务中心为隆回县水利局所属副科级公益一类（全额拨款）事业单位。主要职责是：（1）、为全县水土保持、水资源管理等水利发展和生态文明建设提供技术支撑和服务保障。（2）、承担水利科技成果推广运用和水利服务体系建设。（3）、承担全县辖区内水土流失动态监测、网络信息化建设及开展水土保持径流定位监测。（4）、承担全县重点水土保持工程、农村安全饮水工程、农村水利灌排工程项目法人职责，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（二）</w:t>
      </w:r>
      <w:r>
        <w:rPr>
          <w:rFonts w:hint="default" w:ascii="Times New Roman" w:hAnsi="Times New Roman" w:cs="Times New Roman"/>
          <w:b w:val="0"/>
          <w:bCs w:val="0"/>
          <w:i w:val="0"/>
          <w:iCs w:val="0"/>
          <w:caps w:val="0"/>
          <w:color w:val="000000"/>
          <w:spacing w:val="0"/>
          <w:sz w:val="28"/>
          <w:szCs w:val="28"/>
          <w:bdr w:val="none" w:color="auto" w:sz="0" w:space="0"/>
          <w:vertAlign w:val="baseline"/>
        </w:rPr>
        <w:t>202</w:t>
      </w:r>
      <w:r>
        <w:rPr>
          <w:rFonts w:hint="eastAsia" w:ascii="宋体" w:hAnsi="宋体" w:eastAsia="宋体" w:cs="宋体"/>
          <w:b w:val="0"/>
          <w:bCs w:val="0"/>
          <w:i w:val="0"/>
          <w:iCs w:val="0"/>
          <w:caps w:val="0"/>
          <w:color w:val="000000"/>
          <w:spacing w:val="0"/>
          <w:sz w:val="28"/>
          <w:szCs w:val="28"/>
          <w:bdr w:val="none" w:color="auto" w:sz="0" w:space="0"/>
          <w:vertAlign w:val="baseline"/>
        </w:rPr>
        <w:t>2年的重点工作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00" w:lineRule="atLeast"/>
        <w:ind w:left="0" w:right="0" w:firstLine="560"/>
        <w:jc w:val="both"/>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1、工程建设：完成2021年麻石江山洪沟治理工程建设任务；完成隆回县石山湾村2021年“水美湘村”建设项目建设任务；完成2021年伏龙江生态清洁小流域建设项目；完成了高平镇滨江南路振兴桥、滨江桥建设项目；2022年横南-滩头生态清洁小流域建设项目本年度完成合同工程量的80%；2022年滩头镇城东村“水美湘村”建设项目本年度完成合同工程量的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00" w:lineRule="atLeast"/>
        <w:ind w:left="0" w:right="0" w:firstLine="560"/>
        <w:jc w:val="both"/>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2、监督管理及监测：积极协助水利局做好水土保持监督检查工作，扎实对全县54个生产建设项目开展了水土保持监督检查，审批水土保持方案36个，收缴水土保持补偿费57万元。完成水利部下发的关于水土保持57个疑似违法图斑的核查、整改、销号工作。认真做好七江观测站日常观测工作对老山冲小流域综合监测站点径流小区、小流域设施设备等进行日常维护与管理，圆满完成了2021年监测数据录入系统工作。省监测总站在我县开展的全省水土保持监测培训中，我中心观测技术员在七江监测站进行了现场教学，并录制视频做为操作规程下发全省各监测站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00" w:lineRule="atLeast"/>
        <w:ind w:left="0" w:right="0" w:firstLine="560"/>
        <w:jc w:val="both"/>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3、日常管理：搞好日常管理工作，树立单位良好形象。考勤、作风建设、文件起草、收发、转递传阅、会议安排、档案管理、印鉴管理、出差登记管理、后勤保障、上传下达、会议记录、来信来访接待、人事劳资、退休干部职工管理、财务会审、财务及统计报表等工作井井有条，有力地促进了单位各项工作的顺利进行，做好疫情防控、安全生产、平安建设、禁毒工作、创文工作、智慧纪检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00" w:lineRule="atLeast"/>
        <w:ind w:left="0" w:right="0" w:firstLine="560"/>
        <w:jc w:val="both"/>
        <w:textAlignment w:val="baseline"/>
        <w:rPr>
          <w:rFonts w:hint="eastAsia" w:ascii="宋体" w:hAnsi="宋体" w:eastAsia="宋体" w:cs="宋体"/>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4、党建：以深入学习理论为基础抓好思想建设，进一步落实理论学习制度。学习党的二十大精神、习主席系列讲话及省、市、县三级党代会精神等，采取支部书记讲党课、专题讨论、传阅学习笔记等形式进行学习，丰富学习形式和内容。以创建清廉机关活动为契机，树立风清气正的工作环境，今年来，支部始终坚持预防为主，突出紧绷廉政弦，强化监督责任。支部书记以《争做新时代廉洁自律的优秀党员》为题给全体党员进行廉政专题教育，并组织全体干部职工签订廉政责任书27份。努力实现党员志愿服务活动的常态化发展，充分发挥党员先锋模范作用。积极响应隆组通[2022]3号）文件要求，在2022年春运期间开展万名党员“亮身份、保平安、保畅通”活动；组织全体党员进社区开展服务工作，宣传防疫、反电诈以及禁毒知识，了解社情民意，及时反映群众诉求；根据隆疫防领发[2022]1号文件《关于推进全县疫情防控“敲门行动”的通知》，我支部迅速行动，将全体干部职工分成十个小组，每个小组由一名党员同志带队对紫霞园社区的323户住户进行敲门走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left"/>
        <w:textAlignment w:val="baseline"/>
        <w:rPr>
          <w:rFonts w:hint="default" w:ascii="Times New Roman" w:hAnsi="Times New Roman" w:cs="Times New Roman"/>
          <w:i w:val="0"/>
          <w:iCs w:val="0"/>
          <w:caps w:val="0"/>
          <w:color w:val="000000"/>
          <w:spacing w:val="0"/>
          <w:sz w:val="18"/>
          <w:szCs w:val="18"/>
        </w:rPr>
      </w:pPr>
      <w:r>
        <w:rPr>
          <w:rFonts w:hint="eastAsia" w:ascii="宋体" w:hAnsi="宋体" w:eastAsia="宋体" w:cs="宋体"/>
          <w:b w:val="0"/>
          <w:bCs w:val="0"/>
          <w:i w:val="0"/>
          <w:iCs w:val="0"/>
          <w:caps w:val="0"/>
          <w:color w:val="000000"/>
          <w:spacing w:val="0"/>
          <w:sz w:val="28"/>
          <w:szCs w:val="28"/>
          <w:bdr w:val="none" w:color="auto" w:sz="0" w:space="0"/>
          <w:vertAlign w:val="baseline"/>
        </w:rPr>
        <w:t>5、乡村振兴：抓项目固基础。帮扶村2022年乡村振兴资金50万，目前项目已全部完工；协调落实资金20万元用于排洪渠修建和管道维修；学政策提内力。真帮扶解民困。我中心严格按照县委县政府的要求，班子和中层每人帮扶2户监测户，2户脱贫户，其他职工每人联系4户脱贫户，1-4月每月一走访，5-9月每月2次走访，与帮扶、联系户同吃住同劳动，了解实际困难并解决。中心投入帮扶资金4万元对村困难户房屋进行修缮；出资给监测户每人购买20只小鸡帮助其发展养殖；中秋节给村所有监测户、脱贫户送上月饼一盒；春节前对村16户困难户进行慰问，每户慰问金300元。通过全体职工用心用情帮扶，真心实意解决困难和问题，群众满意度大大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（三）部门整体支出情况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2022年总支出409.72万元，其中人员经费366.25 万元，占总支出的89%，日常公用经费 43.47万元，占总支出的11%。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vertAlign w:val="baseline"/>
        </w:rPr>
        <w:t>二、部门整体支出管理及使用情况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（一）基本支出情况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202</w:t>
      </w:r>
      <w:r>
        <w:rPr>
          <w:rFonts w:hint="eastAsia" w:ascii="宋体" w:hAnsi="宋体" w:eastAsia="宋体" w:cs="宋体"/>
          <w:b w:val="0"/>
          <w:bCs w:val="0"/>
          <w:i w:val="0"/>
          <w:iCs w:val="0"/>
          <w:caps w:val="0"/>
          <w:color w:val="000000"/>
          <w:spacing w:val="0"/>
          <w:sz w:val="28"/>
          <w:szCs w:val="28"/>
          <w:bdr w:val="none" w:color="auto" w:sz="0" w:space="0"/>
          <w:vertAlign w:val="baseline"/>
        </w:rPr>
        <w:t>2</w:t>
      </w:r>
      <w:r>
        <w:rPr>
          <w:rFonts w:hint="default" w:ascii="Times New Roman" w:hAnsi="Times New Roman" w:cs="Times New Roman"/>
          <w:b w:val="0"/>
          <w:bCs w:val="0"/>
          <w:i w:val="0"/>
          <w:iCs w:val="0"/>
          <w:caps w:val="0"/>
          <w:color w:val="000000"/>
          <w:spacing w:val="0"/>
          <w:sz w:val="28"/>
          <w:szCs w:val="28"/>
          <w:bdr w:val="none" w:color="auto" w:sz="0" w:space="0"/>
          <w:vertAlign w:val="baseline"/>
        </w:rPr>
        <w:t>年度决算数为</w:t>
      </w:r>
      <w:r>
        <w:rPr>
          <w:rFonts w:hint="eastAsia" w:ascii="宋体" w:hAnsi="宋体" w:eastAsia="宋体" w:cs="宋体"/>
          <w:b w:val="0"/>
          <w:bCs w:val="0"/>
          <w:i w:val="0"/>
          <w:iCs w:val="0"/>
          <w:caps w:val="0"/>
          <w:color w:val="000000"/>
          <w:spacing w:val="0"/>
          <w:sz w:val="28"/>
          <w:szCs w:val="28"/>
          <w:bdr w:val="none" w:color="auto" w:sz="0" w:space="0"/>
          <w:vertAlign w:val="baseline"/>
        </w:rPr>
        <w:t>409.72</w:t>
      </w:r>
      <w:r>
        <w:rPr>
          <w:rFonts w:hint="default" w:ascii="Times New Roman" w:hAnsi="Times New Roman" w:cs="Times New Roman"/>
          <w:b w:val="0"/>
          <w:bCs w:val="0"/>
          <w:i w:val="0"/>
          <w:iCs w:val="0"/>
          <w:caps w:val="0"/>
          <w:color w:val="000000"/>
          <w:spacing w:val="0"/>
          <w:sz w:val="28"/>
          <w:szCs w:val="28"/>
          <w:bdr w:val="none" w:color="auto" w:sz="0" w:space="0"/>
          <w:vertAlign w:val="baseline"/>
        </w:rPr>
        <w:t>万元，是为保障单位机构正常运转、完成日常工作任务而发生的各项支出，主要包括工资福利支出、商品和服务支出，对个人和家庭的补助支出、资本性支出和其他资本性支出。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（二）</w:t>
      </w:r>
      <w:r>
        <w:rPr>
          <w:rFonts w:hint="default" w:ascii="Times New Roman" w:hAnsi="Times New Roman" w:cs="Times New Roman"/>
          <w:b w:val="0"/>
          <w:bCs w:val="0"/>
          <w:i w:val="0"/>
          <w:iCs w:val="0"/>
          <w:caps w:val="0"/>
          <w:color w:val="000000"/>
          <w:spacing w:val="0"/>
          <w:sz w:val="28"/>
          <w:szCs w:val="28"/>
          <w:bdr w:val="none" w:color="auto" w:sz="0" w:space="0"/>
          <w:vertAlign w:val="baseline"/>
        </w:rPr>
        <w:t>“</w:t>
      </w:r>
      <w:r>
        <w:rPr>
          <w:rFonts w:hint="eastAsia" w:ascii="宋体" w:hAnsi="宋体" w:eastAsia="宋体" w:cs="宋体"/>
          <w:b w:val="0"/>
          <w:bCs w:val="0"/>
          <w:i w:val="0"/>
          <w:iCs w:val="0"/>
          <w:caps w:val="0"/>
          <w:color w:val="000000"/>
          <w:spacing w:val="0"/>
          <w:sz w:val="28"/>
          <w:szCs w:val="28"/>
          <w:bdr w:val="none" w:color="auto" w:sz="0" w:space="0"/>
          <w:vertAlign w:val="baseline"/>
        </w:rPr>
        <w:t>三公</w:t>
      </w:r>
      <w:r>
        <w:rPr>
          <w:rFonts w:hint="default" w:ascii="Times New Roman" w:hAnsi="Times New Roman" w:cs="Times New Roman"/>
          <w:b w:val="0"/>
          <w:bCs w:val="0"/>
          <w:i w:val="0"/>
          <w:iCs w:val="0"/>
          <w:caps w:val="0"/>
          <w:color w:val="000000"/>
          <w:spacing w:val="0"/>
          <w:sz w:val="28"/>
          <w:szCs w:val="28"/>
          <w:bdr w:val="none" w:color="auto" w:sz="0" w:space="0"/>
          <w:vertAlign w:val="baseline"/>
        </w:rPr>
        <w:t>”</w:t>
      </w:r>
      <w:r>
        <w:rPr>
          <w:rFonts w:hint="eastAsia" w:ascii="宋体" w:hAnsi="宋体" w:eastAsia="宋体" w:cs="宋体"/>
          <w:b w:val="0"/>
          <w:bCs w:val="0"/>
          <w:i w:val="0"/>
          <w:iCs w:val="0"/>
          <w:caps w:val="0"/>
          <w:color w:val="000000"/>
          <w:spacing w:val="0"/>
          <w:sz w:val="28"/>
          <w:szCs w:val="28"/>
          <w:bdr w:val="none" w:color="auto" w:sz="0" w:space="0"/>
          <w:vertAlign w:val="baseline"/>
        </w:rPr>
        <w:t>经费情况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840"/>
        <w:jc w:val="both"/>
        <w:textAlignment w:val="baseline"/>
        <w:rPr>
          <w:rFonts w:ascii="Calibri" w:hAnsi="Calibri" w:cs="Calibri"/>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202</w:t>
      </w:r>
      <w:r>
        <w:rPr>
          <w:rFonts w:hint="eastAsia" w:ascii="宋体" w:hAnsi="宋体" w:eastAsia="宋体" w:cs="宋体"/>
          <w:b w:val="0"/>
          <w:bCs w:val="0"/>
          <w:i w:val="0"/>
          <w:iCs w:val="0"/>
          <w:caps w:val="0"/>
          <w:color w:val="000000"/>
          <w:spacing w:val="0"/>
          <w:sz w:val="28"/>
          <w:szCs w:val="28"/>
          <w:bdr w:val="none" w:color="auto" w:sz="0" w:space="0"/>
          <w:vertAlign w:val="baseline"/>
        </w:rPr>
        <w:t>1年我单位</w:t>
      </w:r>
      <w:r>
        <w:rPr>
          <w:rFonts w:hint="default" w:ascii="Times New Roman" w:hAnsi="Times New Roman" w:cs="Times New Roman"/>
          <w:b w:val="0"/>
          <w:bCs w:val="0"/>
          <w:i w:val="0"/>
          <w:iCs w:val="0"/>
          <w:caps w:val="0"/>
          <w:color w:val="000000"/>
          <w:spacing w:val="0"/>
          <w:sz w:val="28"/>
          <w:szCs w:val="28"/>
          <w:bdr w:val="none" w:color="auto" w:sz="0" w:space="0"/>
          <w:vertAlign w:val="baseline"/>
        </w:rPr>
        <w:t>“</w:t>
      </w:r>
      <w:r>
        <w:rPr>
          <w:rFonts w:hint="eastAsia" w:ascii="宋体" w:hAnsi="宋体" w:eastAsia="宋体" w:cs="宋体"/>
          <w:b w:val="0"/>
          <w:bCs w:val="0"/>
          <w:i w:val="0"/>
          <w:iCs w:val="0"/>
          <w:caps w:val="0"/>
          <w:color w:val="000000"/>
          <w:spacing w:val="0"/>
          <w:sz w:val="28"/>
          <w:szCs w:val="28"/>
          <w:bdr w:val="none" w:color="auto" w:sz="0" w:space="0"/>
          <w:vertAlign w:val="baseline"/>
        </w:rPr>
        <w:t>三公</w:t>
      </w:r>
      <w:r>
        <w:rPr>
          <w:rFonts w:hint="default" w:ascii="Times New Roman" w:hAnsi="Times New Roman" w:cs="Times New Roman"/>
          <w:b w:val="0"/>
          <w:bCs w:val="0"/>
          <w:i w:val="0"/>
          <w:iCs w:val="0"/>
          <w:caps w:val="0"/>
          <w:color w:val="000000"/>
          <w:spacing w:val="0"/>
          <w:sz w:val="28"/>
          <w:szCs w:val="28"/>
          <w:bdr w:val="none" w:color="auto" w:sz="0" w:space="0"/>
          <w:vertAlign w:val="baseline"/>
        </w:rPr>
        <w:t>”</w:t>
      </w:r>
      <w:r>
        <w:rPr>
          <w:rFonts w:hint="eastAsia" w:ascii="宋体" w:hAnsi="宋体" w:eastAsia="宋体" w:cs="宋体"/>
          <w:b w:val="0"/>
          <w:bCs w:val="0"/>
          <w:i w:val="0"/>
          <w:iCs w:val="0"/>
          <w:caps w:val="0"/>
          <w:color w:val="000000"/>
          <w:spacing w:val="0"/>
          <w:sz w:val="28"/>
          <w:szCs w:val="28"/>
          <w:bdr w:val="none" w:color="auto" w:sz="0" w:space="0"/>
          <w:vertAlign w:val="baseline"/>
        </w:rPr>
        <w:t>经费0.84万元。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840"/>
        <w:jc w:val="both"/>
        <w:textAlignment w:val="baseline"/>
        <w:rPr>
          <w:rFonts w:hint="default" w:ascii="Calibri" w:hAnsi="Calibri" w:cs="Calibri"/>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1</w:t>
      </w:r>
      <w:r>
        <w:rPr>
          <w:rFonts w:hint="eastAsia" w:ascii="宋体" w:hAnsi="宋体" w:eastAsia="宋体" w:cs="宋体"/>
          <w:b w:val="0"/>
          <w:bCs w:val="0"/>
          <w:i w:val="0"/>
          <w:iCs w:val="0"/>
          <w:caps w:val="0"/>
          <w:color w:val="000000"/>
          <w:spacing w:val="0"/>
          <w:sz w:val="28"/>
          <w:szCs w:val="28"/>
          <w:bdr w:val="none" w:color="auto" w:sz="0" w:space="0"/>
          <w:vertAlign w:val="baseline"/>
        </w:rPr>
        <w:t>、因公出国</w:t>
      </w:r>
      <w:r>
        <w:rPr>
          <w:rFonts w:hint="default" w:ascii="Times New Roman" w:hAnsi="Times New Roman" w:cs="Times New Roman"/>
          <w:b w:val="0"/>
          <w:bCs w:val="0"/>
          <w:i w:val="0"/>
          <w:iCs w:val="0"/>
          <w:caps w:val="0"/>
          <w:color w:val="000000"/>
          <w:spacing w:val="0"/>
          <w:sz w:val="28"/>
          <w:szCs w:val="28"/>
          <w:bdr w:val="none" w:color="auto" w:sz="0" w:space="0"/>
          <w:vertAlign w:val="baseline"/>
        </w:rPr>
        <w:t>(</w:t>
      </w:r>
      <w:r>
        <w:rPr>
          <w:rFonts w:hint="eastAsia" w:ascii="宋体" w:hAnsi="宋体" w:eastAsia="宋体" w:cs="宋体"/>
          <w:b w:val="0"/>
          <w:bCs w:val="0"/>
          <w:i w:val="0"/>
          <w:iCs w:val="0"/>
          <w:caps w:val="0"/>
          <w:color w:val="000000"/>
          <w:spacing w:val="0"/>
          <w:sz w:val="28"/>
          <w:szCs w:val="28"/>
          <w:bdr w:val="none" w:color="auto" w:sz="0" w:space="0"/>
          <w:vertAlign w:val="baseline"/>
        </w:rPr>
        <w:t>境</w:t>
      </w:r>
      <w:r>
        <w:rPr>
          <w:rFonts w:hint="default" w:ascii="Times New Roman" w:hAnsi="Times New Roman" w:cs="Times New Roman"/>
          <w:b w:val="0"/>
          <w:bCs w:val="0"/>
          <w:i w:val="0"/>
          <w:iCs w:val="0"/>
          <w:caps w:val="0"/>
          <w:color w:val="000000"/>
          <w:spacing w:val="0"/>
          <w:sz w:val="28"/>
          <w:szCs w:val="28"/>
          <w:bdr w:val="none" w:color="auto" w:sz="0" w:space="0"/>
          <w:vertAlign w:val="baseline"/>
        </w:rPr>
        <w:t>)</w:t>
      </w:r>
      <w:r>
        <w:rPr>
          <w:rFonts w:hint="eastAsia" w:ascii="宋体" w:hAnsi="宋体" w:eastAsia="宋体" w:cs="宋体"/>
          <w:b w:val="0"/>
          <w:bCs w:val="0"/>
          <w:i w:val="0"/>
          <w:iCs w:val="0"/>
          <w:caps w:val="0"/>
          <w:color w:val="000000"/>
          <w:spacing w:val="0"/>
          <w:sz w:val="28"/>
          <w:szCs w:val="28"/>
          <w:bdr w:val="none" w:color="auto" w:sz="0" w:space="0"/>
          <w:vertAlign w:val="baseline"/>
        </w:rPr>
        <w:t>费</w:t>
      </w:r>
      <w:r>
        <w:rPr>
          <w:rFonts w:hint="default" w:ascii="Times New Roman" w:hAnsi="Times New Roman" w:cs="Times New Roman"/>
          <w:b w:val="0"/>
          <w:bCs w:val="0"/>
          <w:i w:val="0"/>
          <w:iCs w:val="0"/>
          <w:caps w:val="0"/>
          <w:color w:val="000000"/>
          <w:spacing w:val="0"/>
          <w:sz w:val="28"/>
          <w:szCs w:val="28"/>
          <w:bdr w:val="none" w:color="auto" w:sz="0" w:space="0"/>
          <w:vertAlign w:val="baseline"/>
        </w:rPr>
        <w:t>0</w:t>
      </w:r>
      <w:r>
        <w:rPr>
          <w:rFonts w:hint="eastAsia" w:ascii="宋体" w:hAnsi="宋体" w:eastAsia="宋体" w:cs="宋体"/>
          <w:b w:val="0"/>
          <w:bCs w:val="0"/>
          <w:i w:val="0"/>
          <w:iCs w:val="0"/>
          <w:caps w:val="0"/>
          <w:color w:val="000000"/>
          <w:spacing w:val="0"/>
          <w:sz w:val="28"/>
          <w:szCs w:val="28"/>
          <w:bdr w:val="none" w:color="auto" w:sz="0" w:space="0"/>
          <w:vertAlign w:val="baseline"/>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840"/>
        <w:jc w:val="both"/>
        <w:textAlignment w:val="baseline"/>
        <w:rPr>
          <w:rFonts w:hint="default" w:ascii="Calibri" w:hAnsi="Calibri" w:cs="Calibri"/>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2</w:t>
      </w:r>
      <w:r>
        <w:rPr>
          <w:rFonts w:hint="eastAsia" w:ascii="宋体" w:hAnsi="宋体" w:eastAsia="宋体" w:cs="宋体"/>
          <w:b w:val="0"/>
          <w:bCs w:val="0"/>
          <w:i w:val="0"/>
          <w:iCs w:val="0"/>
          <w:caps w:val="0"/>
          <w:color w:val="000000"/>
          <w:spacing w:val="0"/>
          <w:sz w:val="28"/>
          <w:szCs w:val="28"/>
          <w:bdr w:val="none" w:color="auto" w:sz="0" w:space="0"/>
          <w:vertAlign w:val="baseline"/>
        </w:rPr>
        <w:t>、公务接待费0.84万元。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840"/>
        <w:jc w:val="both"/>
        <w:textAlignment w:val="baseline"/>
        <w:rPr>
          <w:rFonts w:hint="default" w:ascii="Calibri" w:hAnsi="Calibri" w:cs="Calibri"/>
          <w:i w:val="0"/>
          <w:iCs w:val="0"/>
          <w:caps w:val="0"/>
          <w:color w:val="000000"/>
          <w:spacing w:val="0"/>
          <w:sz w:val="24"/>
          <w:szCs w:val="24"/>
        </w:rPr>
      </w:pPr>
      <w:r>
        <w:rPr>
          <w:rFonts w:hint="default" w:ascii="Times New Roman" w:hAnsi="Times New Roman" w:cs="Times New Roman"/>
          <w:b w:val="0"/>
          <w:bCs w:val="0"/>
          <w:i w:val="0"/>
          <w:iCs w:val="0"/>
          <w:caps w:val="0"/>
          <w:color w:val="000000"/>
          <w:spacing w:val="0"/>
          <w:sz w:val="28"/>
          <w:szCs w:val="28"/>
          <w:bdr w:val="none" w:color="auto" w:sz="0" w:space="0"/>
          <w:vertAlign w:val="baseline"/>
        </w:rPr>
        <w:t>3</w:t>
      </w:r>
      <w:r>
        <w:rPr>
          <w:rFonts w:hint="eastAsia" w:ascii="宋体" w:hAnsi="宋体" w:eastAsia="宋体" w:cs="宋体"/>
          <w:b w:val="0"/>
          <w:bCs w:val="0"/>
          <w:i w:val="0"/>
          <w:iCs w:val="0"/>
          <w:caps w:val="0"/>
          <w:color w:val="000000"/>
          <w:spacing w:val="0"/>
          <w:sz w:val="28"/>
          <w:szCs w:val="28"/>
          <w:bdr w:val="none" w:color="auto" w:sz="0" w:space="0"/>
          <w:vertAlign w:val="baseline"/>
        </w:rPr>
        <w:t>、公务用车费0万元。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i w:val="0"/>
          <w:iCs w:val="0"/>
          <w:caps w:val="0"/>
          <w:color w:val="000000"/>
          <w:spacing w:val="0"/>
          <w:sz w:val="24"/>
          <w:szCs w:val="24"/>
        </w:rPr>
      </w:pPr>
      <w:r>
        <w:rPr>
          <w:rFonts w:hint="eastAsia" w:ascii="黑体" w:hAnsi="宋体" w:eastAsia="黑体" w:cs="黑体"/>
          <w:b w:val="0"/>
          <w:bCs w:val="0"/>
          <w:i w:val="0"/>
          <w:iCs w:val="0"/>
          <w:caps w:val="0"/>
          <w:color w:val="000000"/>
          <w:spacing w:val="0"/>
          <w:sz w:val="32"/>
          <w:szCs w:val="32"/>
          <w:bdr w:val="none" w:color="auto" w:sz="0" w:space="0"/>
          <w:vertAlign w:val="baseline"/>
        </w:rPr>
        <w:t>三、部门整体支出绩效情况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1.财务管理制度建设情况：资金拨付严格按程序申报、审批，合理合规使用资金，确保财政资金安全。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2.资产管理：及时按照要求报送资产情况报表，确保各项资产核算准确、帐实相符、管理到位。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3.预决算公开：及时在县人民政府门户网站上进行了预决算公开。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4.“三公经费”控制情况：能严格遵守各项规章制度，严控“三公”经费支出，并及时在县人民政府门户网站上对“三公”经费情况进行公示。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vertAlign w:val="baseline"/>
        </w:rPr>
        <w:t>四、存在的问题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Times New Roman" w:hAnsi="Times New Roman" w:cs="Times New Roman"/>
          <w:i w:val="0"/>
          <w:iCs w:val="0"/>
          <w:caps w:val="0"/>
          <w:color w:val="000000"/>
          <w:spacing w:val="0"/>
          <w:sz w:val="21"/>
          <w:szCs w:val="21"/>
        </w:rPr>
      </w:pPr>
      <w:r>
        <w:rPr>
          <w:rFonts w:hint="eastAsia" w:ascii="宋体" w:hAnsi="宋体" w:eastAsia="宋体" w:cs="宋体"/>
          <w:b w:val="0"/>
          <w:bCs w:val="0"/>
          <w:i w:val="0"/>
          <w:iCs w:val="0"/>
          <w:caps w:val="0"/>
          <w:color w:val="000000"/>
          <w:spacing w:val="0"/>
          <w:sz w:val="28"/>
          <w:szCs w:val="28"/>
          <w:bdr w:val="none" w:color="auto" w:sz="0" w:space="0"/>
          <w:vertAlign w:val="baseline"/>
        </w:rPr>
        <w:t>1、预算编制及执行管理工作待进一步加强。随着对预、决算编制工作水平要求越来越高，数据编制要求越来越精准、规范；时间紧、任务重，会计人员业务明显增加，人员紧缺，实际操作压力大。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2、水土流失监管经费缺口大，经费预算相对较低，工作推进无法达到计划预期目标。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Times New Roman" w:hAnsi="Times New Roman" w:cs="Times New Roman"/>
          <w:i w:val="0"/>
          <w:iCs w:val="0"/>
          <w:caps w:val="0"/>
          <w:color w:val="000000"/>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vertAlign w:val="baseline"/>
        </w:rPr>
        <w:t>五、改进措施和有关建议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1、加强财务管理和监督。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2、完善资产管理，抓好“三公”经费的审核、审批，杜绝挪用和挤占其他预算资金行为；合理压缩“三公”经费支出。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6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3、加强对财务人员和财务主管领导的业务培训，提升财务人员专业能力。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both"/>
        <w:textAlignment w:val="baseline"/>
        <w:rPr>
          <w:rFonts w:hint="default" w:ascii="Calibri" w:hAnsi="Calibri" w:cs="Calibri"/>
          <w:i w:val="0"/>
          <w:iCs w:val="0"/>
          <w:caps w:val="0"/>
          <w:color w:val="000000"/>
          <w:spacing w:val="0"/>
          <w:sz w:val="24"/>
          <w:szCs w:val="24"/>
        </w:rPr>
      </w:pPr>
      <w:r>
        <w:rPr>
          <w:rFonts w:hint="default" w:ascii="Calibri" w:hAnsi="Calibri" w:cs="Calibri"/>
          <w:i w:val="0"/>
          <w:iCs w:val="0"/>
          <w:caps w:val="0"/>
          <w:color w:val="000000"/>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right"/>
        <w:textAlignment w:val="baseline"/>
        <w:rPr>
          <w:rFonts w:hint="default" w:ascii="Calibri" w:hAnsi="Calibri" w:cs="Calibri"/>
          <w:i w:val="0"/>
          <w:iCs w:val="0"/>
          <w:caps w:val="0"/>
          <w:color w:val="000000"/>
          <w:spacing w:val="0"/>
          <w:sz w:val="24"/>
          <w:szCs w:val="24"/>
        </w:rPr>
      </w:pPr>
      <w:r>
        <w:rPr>
          <w:rFonts w:hint="default" w:ascii="Calibri" w:hAnsi="Calibri" w:cs="Calibri"/>
          <w:i w:val="0"/>
          <w:iCs w:val="0"/>
          <w:caps w:val="0"/>
          <w:color w:val="000000"/>
          <w:spacing w:val="0"/>
          <w:sz w:val="24"/>
          <w:szCs w:val="24"/>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right"/>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隆回县水利综合服务中心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textAlignment w:val="baseline"/>
        <w:rPr>
          <w:rFonts w:hint="default" w:ascii="Calibri" w:hAnsi="Calibri" w:cs="Calibri"/>
          <w:i w:val="0"/>
          <w:iCs w:val="0"/>
          <w:caps w:val="0"/>
          <w:color w:val="000000"/>
          <w:spacing w:val="0"/>
          <w:sz w:val="24"/>
          <w:szCs w:val="24"/>
        </w:rPr>
      </w:pPr>
      <w:r>
        <w:rPr>
          <w:rFonts w:hint="eastAsia" w:ascii="宋体" w:hAnsi="宋体" w:eastAsia="宋体" w:cs="宋体"/>
          <w:b w:val="0"/>
          <w:bCs w:val="0"/>
          <w:i w:val="0"/>
          <w:iCs w:val="0"/>
          <w:caps w:val="0"/>
          <w:color w:val="000000"/>
          <w:spacing w:val="0"/>
          <w:sz w:val="28"/>
          <w:szCs w:val="28"/>
          <w:bdr w:val="none" w:color="auto" w:sz="0" w:space="0"/>
          <w:vertAlign w:val="baseline"/>
        </w:rPr>
        <w:t>                       </w:t>
      </w:r>
      <w:r>
        <w:rPr>
          <w:rFonts w:hint="eastAsia" w:ascii="宋体" w:hAnsi="宋体" w:eastAsia="宋体" w:cs="宋体"/>
          <w:b w:val="0"/>
          <w:bCs w:val="0"/>
          <w:i w:val="0"/>
          <w:iCs w:val="0"/>
          <w:caps w:val="0"/>
          <w:color w:val="000000"/>
          <w:spacing w:val="0"/>
          <w:sz w:val="28"/>
          <w:szCs w:val="28"/>
          <w:bdr w:val="none" w:color="auto" w:sz="0" w:space="0"/>
          <w:vertAlign w:val="baseline"/>
          <w:lang w:val="en-US" w:eastAsia="zh-CN"/>
        </w:rPr>
        <w:t xml:space="preserve">     </w:t>
      </w:r>
      <w:bookmarkStart w:id="0" w:name="_GoBack"/>
      <w:bookmarkEnd w:id="0"/>
      <w:r>
        <w:rPr>
          <w:rFonts w:hint="eastAsia" w:ascii="宋体" w:hAnsi="宋体" w:eastAsia="宋体" w:cs="宋体"/>
          <w:b w:val="0"/>
          <w:bCs w:val="0"/>
          <w:i w:val="0"/>
          <w:iCs w:val="0"/>
          <w:caps w:val="0"/>
          <w:color w:val="000000"/>
          <w:spacing w:val="0"/>
          <w:sz w:val="28"/>
          <w:szCs w:val="28"/>
          <w:bdr w:val="none" w:color="auto" w:sz="0" w:space="0"/>
          <w:vertAlign w:val="baseline"/>
        </w:rPr>
        <w:t>            2023年05月10日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MjAzYzMyNDE5YWViNDhjNzE4MTgyNWRkZGMyNTgifQ=="/>
  </w:docVars>
  <w:rsids>
    <w:rsidRoot w:val="329B5EFA"/>
    <w:rsid w:val="329B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2023-09-18T01:29:00Z</dcterms:created>
  <dc:creator>简单点</dc:creator>
  <cp:lastModifiedBy>简单点</cp:lastModifiedBy>
  <dcterms:modified xsi:type="dcterms:W3CDTF">2023-09-18T01:36:28Z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83F3F562A7E2440190696A181FC41458_11</vt:lpwstr>
  </property>
</Properties>
</file>