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6B3B">
      <w:pPr>
        <w:spacing w:line="600" w:lineRule="exact"/>
        <w:jc w:val="left"/>
        <w:rPr>
          <w:rFonts w:hint="default" w:ascii="仿宋_GB2312" w:hAnsi="仿宋_GB2312" w:eastAsia="仿宋_GB2312" w:cs="仿宋_GB2312"/>
          <w:b w:val="0"/>
          <w:bCs/>
          <w:kern w:val="0"/>
          <w:sz w:val="32"/>
          <w:szCs w:val="32"/>
          <w:lang w:val="en-US" w:eastAsia="zh-CN"/>
        </w:rPr>
      </w:pPr>
      <w:bookmarkStart w:id="0" w:name="_GoBack"/>
      <w:bookmarkEnd w:id="0"/>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16AB7792">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2419858F">
      <w:pPr>
        <w:ind w:firstLine="420" w:firstLineChars="200"/>
        <w:rPr>
          <w:rFonts w:hint="eastAsia" w:ascii="仿宋" w:hAnsi="仿宋" w:eastAsia="仿宋" w:cs="仿宋"/>
        </w:rPr>
      </w:pPr>
    </w:p>
    <w:p w14:paraId="26B01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33B266B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0" w:firstLineChars="200"/>
        <w:jc w:val="left"/>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eastAsia="zh-CN"/>
        </w:rPr>
        <w:t>（一）</w:t>
      </w:r>
      <w:r>
        <w:rPr>
          <w:rFonts w:hint="eastAsia" w:ascii="仿宋" w:hAnsi="仿宋" w:eastAsia="仿宋" w:cs="仿宋"/>
          <w:color w:val="000000"/>
          <w:kern w:val="0"/>
          <w:sz w:val="32"/>
          <w:szCs w:val="32"/>
          <w:highlight w:val="none"/>
          <w:lang w:eastAsia="zh-CN"/>
        </w:rPr>
        <w:t>隆回县商务局</w:t>
      </w:r>
      <w:r>
        <w:rPr>
          <w:rFonts w:hint="eastAsia" w:ascii="仿宋" w:hAnsi="仿宋" w:eastAsia="仿宋" w:cs="仿宋"/>
          <w:kern w:val="2"/>
          <w:sz w:val="32"/>
          <w:szCs w:val="32"/>
          <w:highlight w:val="none"/>
          <w:lang w:val="en-US" w:eastAsia="zh-CN" w:bidi="ar-SA"/>
        </w:rPr>
        <w:t>属于国家行政机关单位，位于邵阳市隆回县广电大夏，内设</w:t>
      </w:r>
      <w:r>
        <w:rPr>
          <w:rFonts w:hint="eastAsia" w:ascii="仿宋_GB2312" w:hAnsi="仿宋_GB2312" w:eastAsia="仿宋_GB2312" w:cs="仿宋_GB2312"/>
          <w:sz w:val="30"/>
          <w:szCs w:val="30"/>
        </w:rPr>
        <w:t>办公室</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政工股、财务股、市场建设发展股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法规股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电子商务股（商贸服务股）、市场运行调节股、</w:t>
      </w:r>
      <w:r>
        <w:rPr>
          <w:rFonts w:hint="eastAsia" w:ascii="仿宋_GB2312" w:hAnsi="仿宋_GB2312" w:eastAsia="仿宋_GB2312" w:cs="仿宋_GB2312"/>
          <w:sz w:val="30"/>
          <w:szCs w:val="30"/>
        </w:rPr>
        <w:t>外经外贸股、承接产业转移股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投资管理股</w:t>
      </w:r>
      <w:r>
        <w:rPr>
          <w:rFonts w:hint="eastAsia" w:ascii="仿宋_GB2312" w:hAnsi="仿宋_GB2312" w:eastAsia="仿宋_GB2312" w:cs="仿宋_GB2312"/>
          <w:sz w:val="30"/>
          <w:szCs w:val="30"/>
          <w:lang w:eastAsia="zh-CN"/>
        </w:rPr>
        <w:t>）</w:t>
      </w:r>
      <w:r>
        <w:rPr>
          <w:rFonts w:hint="eastAsia" w:ascii="仿宋" w:hAnsi="仿宋" w:eastAsia="仿宋" w:cs="仿宋"/>
          <w:kern w:val="2"/>
          <w:sz w:val="32"/>
          <w:szCs w:val="32"/>
          <w:highlight w:val="none"/>
          <w:lang w:val="en-US" w:eastAsia="zh-CN" w:bidi="ar-SA"/>
        </w:rPr>
        <w:t>8个股室</w:t>
      </w:r>
      <w:r>
        <w:rPr>
          <w:rFonts w:hint="eastAsia" w:ascii="仿宋_GB2312" w:hAnsi="仿宋_GB2312" w:eastAsia="仿宋_GB2312" w:cs="仿宋_GB2312"/>
          <w:sz w:val="30"/>
          <w:szCs w:val="30"/>
        </w:rPr>
        <w:t>和</w:t>
      </w:r>
      <w:r>
        <w:rPr>
          <w:rFonts w:hint="eastAsia" w:ascii="仿宋_GB2312" w:hAnsi="仿宋_GB2312" w:eastAsia="仿宋_GB2312" w:cs="仿宋_GB2312"/>
          <w:sz w:val="30"/>
          <w:szCs w:val="30"/>
          <w:lang w:val="en-US" w:eastAsia="zh-CN"/>
        </w:rPr>
        <w:t>1个</w:t>
      </w:r>
      <w:r>
        <w:rPr>
          <w:rFonts w:hint="eastAsia" w:ascii="仿宋_GB2312" w:hAnsi="仿宋_GB2312" w:eastAsia="仿宋_GB2312" w:cs="仿宋_GB2312"/>
          <w:sz w:val="30"/>
          <w:szCs w:val="30"/>
        </w:rPr>
        <w:t>二级机构</w:t>
      </w:r>
      <w:r>
        <w:rPr>
          <w:rFonts w:hint="eastAsia" w:ascii="仿宋" w:hAnsi="仿宋" w:eastAsia="仿宋" w:cs="仿宋"/>
          <w:kern w:val="2"/>
          <w:sz w:val="32"/>
          <w:szCs w:val="32"/>
          <w:highlight w:val="none"/>
          <w:lang w:val="en-US" w:eastAsia="zh-CN" w:bidi="ar-SA"/>
        </w:rPr>
        <w:t>。中共隆回县委办公室下发文件（隆办字〔2019〕84号）核定的编制人数11名，2024年12月份</w:t>
      </w:r>
      <w:r>
        <w:rPr>
          <w:rFonts w:hint="eastAsia" w:ascii="仿宋" w:hAnsi="仿宋" w:eastAsia="仿宋" w:cs="仿宋"/>
          <w:sz w:val="32"/>
          <w:szCs w:val="32"/>
          <w:highlight w:val="none"/>
          <w:lang w:eastAsia="zh-CN"/>
        </w:rPr>
        <w:t>实际</w:t>
      </w:r>
      <w:r>
        <w:rPr>
          <w:rFonts w:hint="eastAsia" w:ascii="仿宋" w:hAnsi="仿宋" w:eastAsia="仿宋" w:cs="仿宋"/>
          <w:sz w:val="32"/>
          <w:szCs w:val="32"/>
          <w:highlight w:val="none"/>
          <w:lang w:val="en-US" w:eastAsia="zh-CN"/>
        </w:rPr>
        <w:t>在职</w:t>
      </w:r>
      <w:r>
        <w:rPr>
          <w:rFonts w:hint="eastAsia" w:ascii="仿宋" w:hAnsi="仿宋" w:eastAsia="仿宋" w:cs="仿宋"/>
          <w:sz w:val="32"/>
          <w:szCs w:val="32"/>
          <w:highlight w:val="none"/>
          <w:lang w:eastAsia="zh-CN"/>
        </w:rPr>
        <w:t>人数</w:t>
      </w:r>
      <w:r>
        <w:rPr>
          <w:rFonts w:hint="eastAsia" w:ascii="仿宋" w:hAnsi="仿宋" w:eastAsia="仿宋" w:cs="仿宋"/>
          <w:sz w:val="32"/>
          <w:szCs w:val="32"/>
          <w:highlight w:val="none"/>
          <w:lang w:val="en-US" w:eastAsia="zh-CN"/>
        </w:rPr>
        <w:t>38人</w:t>
      </w:r>
      <w:r>
        <w:rPr>
          <w:rFonts w:hint="eastAsia" w:ascii="宋体" w:hAnsi="宋体" w:cs="仿宋"/>
          <w:sz w:val="30"/>
          <w:szCs w:val="30"/>
        </w:rPr>
        <w:t>，</w:t>
      </w:r>
      <w:r>
        <w:rPr>
          <w:rFonts w:hint="eastAsia" w:ascii="仿宋" w:hAnsi="仿宋" w:eastAsia="仿宋" w:cs="仿宋"/>
          <w:sz w:val="32"/>
          <w:szCs w:val="32"/>
        </w:rPr>
        <w:t>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人员变化的主要原因是</w:t>
      </w:r>
      <w:r>
        <w:rPr>
          <w:rFonts w:hint="eastAsia" w:ascii="仿宋" w:hAnsi="仿宋" w:eastAsia="仿宋" w:cs="仿宋"/>
          <w:sz w:val="32"/>
          <w:szCs w:val="32"/>
          <w:lang w:eastAsia="zh-CN"/>
        </w:rPr>
        <w:t>人员调入。</w:t>
      </w:r>
    </w:p>
    <w:p w14:paraId="3588A7C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304" w:firstLineChars="100"/>
        <w:textAlignment w:val="auto"/>
        <w:rPr>
          <w:rFonts w:hint="eastAsia" w:ascii="仿宋" w:hAnsi="仿宋" w:eastAsia="仿宋" w:cs="仿宋"/>
          <w:i w:val="0"/>
          <w:iCs w:val="0"/>
          <w:caps w:val="0"/>
          <w:color w:val="333333"/>
          <w:spacing w:val="0"/>
          <w:sz w:val="32"/>
          <w:szCs w:val="32"/>
          <w:shd w:val="clear" w:color="auto" w:fill="FFFFFF"/>
          <w:lang w:eastAsia="zh-CN"/>
        </w:rPr>
      </w:pPr>
      <w:r>
        <w:rPr>
          <w:rFonts w:hint="default" w:ascii="仿宋_GB2312" w:eastAsia="仿宋_GB2312"/>
          <w:spacing w:val="-8"/>
          <w:sz w:val="32"/>
          <w:szCs w:val="32"/>
          <w:highlight w:val="none"/>
          <w:lang w:val="en-US" w:eastAsia="zh-CN"/>
        </w:rPr>
        <w:t> </w:t>
      </w:r>
      <w:r>
        <w:rPr>
          <w:rFonts w:hint="eastAsia" w:ascii="仿宋_GB2312" w:eastAsia="仿宋_GB2312"/>
          <w:spacing w:val="-8"/>
          <w:sz w:val="32"/>
          <w:szCs w:val="32"/>
          <w:highlight w:val="none"/>
          <w:lang w:val="en-US" w:eastAsia="zh-CN"/>
        </w:rPr>
        <w:t xml:space="preserve"> 部门主要</w:t>
      </w:r>
      <w:r>
        <w:rPr>
          <w:rFonts w:hint="default" w:ascii="仿宋_GB2312" w:eastAsia="仿宋_GB2312"/>
          <w:spacing w:val="-8"/>
          <w:sz w:val="32"/>
          <w:szCs w:val="32"/>
          <w:highlight w:val="none"/>
          <w:lang w:val="en-US" w:eastAsia="zh-CN"/>
        </w:rPr>
        <w:t>职能</w:t>
      </w:r>
      <w:r>
        <w:rPr>
          <w:rFonts w:hint="eastAsia" w:ascii="仿宋_GB2312" w:eastAsia="仿宋_GB2312"/>
          <w:spacing w:val="-8"/>
          <w:sz w:val="32"/>
          <w:szCs w:val="32"/>
          <w:highlight w:val="none"/>
          <w:lang w:val="en-US" w:eastAsia="zh-CN"/>
        </w:rPr>
        <w:t>：1.</w:t>
      </w:r>
      <w:r>
        <w:rPr>
          <w:rFonts w:hint="eastAsia" w:ascii="仿宋" w:hAnsi="仿宋" w:eastAsia="仿宋" w:cs="仿宋"/>
          <w:i w:val="0"/>
          <w:iCs w:val="0"/>
          <w:caps w:val="0"/>
          <w:color w:val="333333"/>
          <w:spacing w:val="0"/>
          <w:sz w:val="32"/>
          <w:szCs w:val="32"/>
          <w:shd w:val="clear" w:color="auto" w:fill="FFFFFF"/>
        </w:rPr>
        <w:t>贯彻执行国家、省、市有关国内外贸易、外商投资和国际经济合作、投资促进、招商引资法律法规和方针政策</w:t>
      </w:r>
      <w:r>
        <w:rPr>
          <w:rFonts w:hint="eastAsia" w:ascii="仿宋_GB2312" w:eastAsia="仿宋_GB2312"/>
          <w:spacing w:val="-8"/>
          <w:sz w:val="32"/>
          <w:szCs w:val="32"/>
          <w:highlight w:val="none"/>
          <w:lang w:val="en-US" w:eastAsia="zh-CN"/>
        </w:rPr>
        <w:t>。2.</w:t>
      </w:r>
      <w:r>
        <w:rPr>
          <w:rFonts w:hint="eastAsia" w:ascii="仿宋" w:hAnsi="仿宋" w:eastAsia="仿宋" w:cs="仿宋"/>
          <w:i w:val="0"/>
          <w:iCs w:val="0"/>
          <w:caps w:val="0"/>
          <w:color w:val="333333"/>
          <w:spacing w:val="0"/>
          <w:sz w:val="32"/>
          <w:szCs w:val="32"/>
          <w:shd w:val="clear" w:color="auto" w:fill="FFFFFF"/>
        </w:rPr>
        <w:t>负责投资促进、招商引资工作</w:t>
      </w:r>
      <w:r>
        <w:rPr>
          <w:rFonts w:hint="eastAsia" w:ascii="仿宋_GB2312" w:eastAsia="仿宋_GB2312"/>
          <w:spacing w:val="-8"/>
          <w:sz w:val="32"/>
          <w:szCs w:val="32"/>
          <w:highlight w:val="none"/>
          <w:lang w:val="en-US" w:eastAsia="zh-CN"/>
        </w:rPr>
        <w:t>。3.</w:t>
      </w:r>
      <w:r>
        <w:rPr>
          <w:rFonts w:hint="eastAsia" w:ascii="仿宋" w:hAnsi="仿宋" w:eastAsia="仿宋" w:cs="仿宋"/>
          <w:i w:val="0"/>
          <w:iCs w:val="0"/>
          <w:caps w:val="0"/>
          <w:color w:val="333333"/>
          <w:spacing w:val="0"/>
          <w:sz w:val="32"/>
          <w:szCs w:val="32"/>
          <w:shd w:val="clear" w:color="auto" w:fill="FFFFFF"/>
        </w:rPr>
        <w:t>负责推进流通产业结构调整</w:t>
      </w:r>
      <w:r>
        <w:rPr>
          <w:rFonts w:hint="eastAsia" w:ascii="仿宋" w:hAnsi="仿宋" w:eastAsia="仿宋" w:cs="仿宋"/>
          <w:spacing w:val="-8"/>
          <w:sz w:val="32"/>
          <w:szCs w:val="32"/>
          <w:highlight w:val="none"/>
          <w:lang w:val="en-US" w:eastAsia="zh-CN"/>
        </w:rPr>
        <w:t>、</w:t>
      </w:r>
      <w:r>
        <w:rPr>
          <w:rFonts w:hint="eastAsia" w:ascii="仿宋" w:hAnsi="仿宋" w:eastAsia="仿宋" w:cs="仿宋"/>
          <w:i w:val="0"/>
          <w:iCs w:val="0"/>
          <w:caps w:val="0"/>
          <w:color w:val="333333"/>
          <w:spacing w:val="0"/>
          <w:sz w:val="32"/>
          <w:szCs w:val="32"/>
          <w:shd w:val="clear" w:color="auto" w:fill="FFFFFF"/>
        </w:rPr>
        <w:t>商贸服务业和社区商业发展</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推动电子商务和物流配送</w:t>
      </w:r>
      <w:r>
        <w:rPr>
          <w:rFonts w:hint="eastAsia" w:ascii="仿宋_GB2312" w:eastAsia="仿宋_GB2312"/>
          <w:spacing w:val="-8"/>
          <w:sz w:val="32"/>
          <w:szCs w:val="32"/>
          <w:highlight w:val="none"/>
          <w:lang w:val="en-US" w:eastAsia="zh-CN"/>
        </w:rPr>
        <w:t>。4.</w:t>
      </w:r>
      <w:r>
        <w:rPr>
          <w:rFonts w:hint="eastAsia" w:ascii="仿宋" w:hAnsi="仿宋" w:eastAsia="仿宋" w:cs="仿宋"/>
          <w:i w:val="0"/>
          <w:iCs w:val="0"/>
          <w:caps w:val="0"/>
          <w:color w:val="333333"/>
          <w:spacing w:val="0"/>
          <w:sz w:val="32"/>
          <w:szCs w:val="32"/>
          <w:shd w:val="clear" w:color="auto" w:fill="FFFFFF"/>
        </w:rPr>
        <w:t>贯彻执行市场体系建设的政策措施，指导大宗产品批发市场规划、城乡商业网点规划和商业体系建设工作；推进农村市场体系建设，组织实施农村现代流通网络工程。</w:t>
      </w:r>
      <w:r>
        <w:rPr>
          <w:rFonts w:hint="eastAsia" w:ascii="仿宋" w:hAnsi="仿宋" w:eastAsia="仿宋" w:cs="仿宋"/>
          <w:i w:val="0"/>
          <w:iCs w:val="0"/>
          <w:caps w:val="0"/>
          <w:color w:val="333333"/>
          <w:spacing w:val="0"/>
          <w:sz w:val="32"/>
          <w:szCs w:val="32"/>
          <w:shd w:val="clear" w:color="auto" w:fill="FFFFFF"/>
          <w:lang w:val="en-US" w:eastAsia="zh-CN"/>
        </w:rPr>
        <w:t>5.</w:t>
      </w:r>
      <w:r>
        <w:rPr>
          <w:rFonts w:hint="eastAsia" w:ascii="仿宋" w:hAnsi="仿宋" w:eastAsia="仿宋" w:cs="仿宋"/>
          <w:i w:val="0"/>
          <w:iCs w:val="0"/>
          <w:caps w:val="0"/>
          <w:color w:val="333333"/>
          <w:spacing w:val="0"/>
          <w:sz w:val="32"/>
          <w:szCs w:val="32"/>
          <w:shd w:val="clear" w:color="auto" w:fill="FFFFFF"/>
        </w:rPr>
        <w:t>承担组织实施重要消费品市场调控工作，负责监测分析生活必需品市场运行、商品供求状况，按有关规定对成品油流通进行监督管理</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6.</w:t>
      </w:r>
      <w:r>
        <w:rPr>
          <w:rFonts w:hint="eastAsia" w:ascii="仿宋" w:hAnsi="仿宋" w:eastAsia="仿宋" w:cs="仿宋"/>
          <w:i w:val="0"/>
          <w:iCs w:val="0"/>
          <w:caps w:val="0"/>
          <w:color w:val="333333"/>
          <w:spacing w:val="0"/>
          <w:sz w:val="32"/>
          <w:szCs w:val="32"/>
          <w:shd w:val="clear" w:color="auto" w:fill="FFFFFF"/>
        </w:rPr>
        <w:t>指导贸易促进活动和外贸促进体系建设；组织实施区域经贸合作</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7.</w:t>
      </w:r>
      <w:r>
        <w:rPr>
          <w:rFonts w:hint="eastAsia" w:ascii="仿宋" w:hAnsi="仿宋" w:eastAsia="仿宋" w:cs="仿宋"/>
          <w:i w:val="0"/>
          <w:iCs w:val="0"/>
          <w:caps w:val="0"/>
          <w:color w:val="333333"/>
          <w:spacing w:val="0"/>
          <w:sz w:val="32"/>
          <w:szCs w:val="32"/>
          <w:shd w:val="clear" w:color="auto" w:fill="FFFFFF"/>
        </w:rPr>
        <w:t>指导全县外商投资工作</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负责全县对外经济合作，依法管理和监督对外承包工程、对外劳务合作等</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8.</w:t>
      </w:r>
      <w:r>
        <w:rPr>
          <w:rFonts w:hint="eastAsia" w:ascii="仿宋" w:hAnsi="仿宋" w:eastAsia="仿宋" w:cs="仿宋"/>
          <w:i w:val="0"/>
          <w:iCs w:val="0"/>
          <w:caps w:val="0"/>
          <w:color w:val="333333"/>
          <w:spacing w:val="0"/>
          <w:sz w:val="32"/>
          <w:szCs w:val="32"/>
          <w:shd w:val="clear" w:color="auto" w:fill="FFFFFF"/>
        </w:rPr>
        <w:t>负责全县商务系统单位的安全管理工作，配合有关部门加强成品油市场的安全监督管理工作。</w:t>
      </w:r>
      <w:r>
        <w:rPr>
          <w:rFonts w:hint="eastAsia" w:ascii="仿宋" w:hAnsi="仿宋" w:eastAsia="仿宋" w:cs="仿宋"/>
          <w:i w:val="0"/>
          <w:iCs w:val="0"/>
          <w:caps w:val="0"/>
          <w:color w:val="333333"/>
          <w:spacing w:val="0"/>
          <w:sz w:val="32"/>
          <w:szCs w:val="32"/>
          <w:shd w:val="clear" w:color="auto" w:fill="FFFFFF"/>
          <w:lang w:val="en-US" w:eastAsia="zh-CN"/>
        </w:rPr>
        <w:t>9.</w:t>
      </w:r>
      <w:r>
        <w:rPr>
          <w:rFonts w:hint="eastAsia" w:ascii="仿宋" w:hAnsi="仿宋" w:eastAsia="仿宋" w:cs="仿宋"/>
          <w:i w:val="0"/>
          <w:iCs w:val="0"/>
          <w:caps w:val="0"/>
          <w:color w:val="333333"/>
          <w:spacing w:val="0"/>
          <w:sz w:val="32"/>
          <w:szCs w:val="32"/>
          <w:shd w:val="clear" w:color="auto" w:fill="FFFFFF"/>
        </w:rPr>
        <w:t>完成县委县政府交办的其它事项</w:t>
      </w:r>
      <w:r>
        <w:rPr>
          <w:rFonts w:hint="eastAsia" w:ascii="仿宋" w:hAnsi="仿宋" w:eastAsia="仿宋" w:cs="仿宋"/>
          <w:i w:val="0"/>
          <w:iCs w:val="0"/>
          <w:caps w:val="0"/>
          <w:color w:val="333333"/>
          <w:spacing w:val="0"/>
          <w:sz w:val="32"/>
          <w:szCs w:val="32"/>
          <w:shd w:val="clear" w:color="auto" w:fill="FFFFFF"/>
          <w:lang w:eastAsia="zh-CN"/>
        </w:rPr>
        <w:t>。</w:t>
      </w:r>
    </w:p>
    <w:p w14:paraId="5870D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62883C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14:paraId="6E0D3E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sz w:val="32"/>
          <w:szCs w:val="32"/>
          <w:lang w:val="en-US" w:eastAsia="zh-CN"/>
        </w:rPr>
        <w:t>2024</w:t>
      </w:r>
      <w:r>
        <w:rPr>
          <w:rFonts w:hint="eastAsia" w:ascii="仿宋" w:hAnsi="仿宋" w:eastAsia="仿宋" w:cs="仿宋"/>
          <w:sz w:val="32"/>
          <w:szCs w:val="32"/>
        </w:rPr>
        <w:t>年度年末部门决算数</w:t>
      </w:r>
      <w:r>
        <w:rPr>
          <w:rFonts w:hint="eastAsia" w:ascii="仿宋" w:hAnsi="仿宋" w:eastAsia="仿宋" w:cs="仿宋"/>
          <w:sz w:val="32"/>
          <w:szCs w:val="32"/>
          <w:lang w:val="en-US" w:eastAsia="zh-CN"/>
        </w:rPr>
        <w:t>1755.06</w:t>
      </w:r>
      <w:r>
        <w:rPr>
          <w:rFonts w:hint="eastAsia" w:ascii="仿宋" w:hAnsi="仿宋" w:eastAsia="仿宋" w:cs="仿宋"/>
          <w:sz w:val="32"/>
          <w:szCs w:val="32"/>
        </w:rPr>
        <w:t>万元。其中基本支出年末决算数为</w:t>
      </w:r>
      <w:r>
        <w:rPr>
          <w:rFonts w:hint="eastAsia" w:ascii="仿宋" w:hAnsi="仿宋" w:eastAsia="仿宋" w:cs="仿宋"/>
          <w:sz w:val="32"/>
          <w:szCs w:val="32"/>
          <w:lang w:val="en-US" w:eastAsia="zh-CN"/>
        </w:rPr>
        <w:t>704.79</w:t>
      </w:r>
      <w:r>
        <w:rPr>
          <w:rFonts w:hint="eastAsia" w:ascii="仿宋" w:hAnsi="仿宋" w:eastAsia="仿宋" w:cs="仿宋"/>
          <w:sz w:val="32"/>
          <w:szCs w:val="32"/>
        </w:rPr>
        <w:t>万元，项目支出年末决算数为</w:t>
      </w:r>
      <w:r>
        <w:rPr>
          <w:rFonts w:hint="eastAsia" w:ascii="仿宋" w:hAnsi="仿宋" w:eastAsia="仿宋" w:cs="仿宋"/>
          <w:sz w:val="32"/>
          <w:szCs w:val="32"/>
          <w:lang w:val="en-US" w:eastAsia="zh-CN"/>
        </w:rPr>
        <w:t>1050.27</w:t>
      </w:r>
      <w:r>
        <w:rPr>
          <w:rFonts w:hint="eastAsia" w:ascii="仿宋" w:hAnsi="仿宋" w:eastAsia="仿宋" w:cs="仿宋"/>
          <w:sz w:val="32"/>
          <w:szCs w:val="32"/>
        </w:rPr>
        <w:t>万元。</w:t>
      </w:r>
    </w:p>
    <w:p w14:paraId="47149233">
      <w:pPr>
        <w:pStyle w:val="2"/>
        <w:numPr>
          <w:ilvl w:val="0"/>
          <w:numId w:val="0"/>
        </w:numPr>
        <w:rPr>
          <w:rFonts w:hint="eastAsia"/>
        </w:rPr>
      </w:pPr>
    </w:p>
    <w:p w14:paraId="071403FA">
      <w:pPr>
        <w:numPr>
          <w:ilvl w:val="0"/>
          <w:numId w:val="2"/>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部门整体支出管理及使用情况</w:t>
      </w:r>
    </w:p>
    <w:p w14:paraId="0221FC9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基本支出情况</w:t>
      </w:r>
    </w:p>
    <w:p w14:paraId="0556B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年年末决算数为</w:t>
      </w:r>
      <w:r>
        <w:rPr>
          <w:rFonts w:hint="eastAsia" w:ascii="仿宋" w:hAnsi="仿宋" w:eastAsia="仿宋" w:cs="仿宋"/>
          <w:sz w:val="32"/>
          <w:szCs w:val="32"/>
          <w:lang w:val="en-US" w:eastAsia="zh-CN"/>
        </w:rPr>
        <w:t>704.79</w:t>
      </w:r>
      <w:r>
        <w:rPr>
          <w:rFonts w:hint="eastAsia" w:ascii="仿宋" w:hAnsi="仿宋" w:eastAsia="仿宋" w:cs="仿宋"/>
          <w:sz w:val="32"/>
          <w:szCs w:val="32"/>
        </w:rPr>
        <w:t>万元，是指为保障单位机构正常运转、完成日常工作任务而发生的各项支出及招商引资日常工作所需各项支出，包括用于基本工资、津贴补贴、退休人员生活补助等人员经费以及办公费、印刷费、水电费及办公设备购置、招待来隆回考察客商</w:t>
      </w:r>
      <w:r>
        <w:rPr>
          <w:rFonts w:hint="eastAsia" w:ascii="仿宋" w:hAnsi="仿宋" w:eastAsia="仿宋" w:cs="仿宋"/>
          <w:sz w:val="32"/>
          <w:szCs w:val="32"/>
          <w:lang w:eastAsia="zh-CN"/>
        </w:rPr>
        <w:t>等。</w:t>
      </w:r>
    </w:p>
    <w:p w14:paraId="351A56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14:paraId="45F6280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县级专项资金</w:t>
      </w:r>
      <w:r>
        <w:rPr>
          <w:rFonts w:hint="eastAsia" w:ascii="仿宋" w:hAnsi="仿宋" w:eastAsia="仿宋" w:cs="仿宋"/>
          <w:sz w:val="32"/>
          <w:szCs w:val="32"/>
        </w:rPr>
        <w:t>情况</w:t>
      </w:r>
    </w:p>
    <w:p w14:paraId="7C56A8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32"/>
          <w:szCs w:val="32"/>
        </w:rPr>
      </w:pPr>
      <w:r>
        <w:rPr>
          <w:rFonts w:hint="eastAsia"/>
          <w:lang w:val="en-US" w:eastAsia="zh-CN"/>
        </w:rPr>
        <w:t xml:space="preserve">   </w:t>
      </w:r>
      <w:r>
        <w:rPr>
          <w:rFonts w:hint="eastAsia" w:ascii="仿宋" w:hAnsi="仿宋" w:eastAsia="仿宋" w:cs="仿宋"/>
          <w:sz w:val="32"/>
          <w:szCs w:val="32"/>
          <w:lang w:val="en-US" w:eastAsia="zh-CN"/>
        </w:rPr>
        <w:t>2024年县级安排招商引资专项专项经费100万元，用于</w:t>
      </w:r>
      <w:r>
        <w:rPr>
          <w:rFonts w:hint="eastAsia" w:ascii="仿宋" w:hAnsi="仿宋" w:eastAsia="仿宋" w:cs="仿宋"/>
          <w:sz w:val="32"/>
          <w:szCs w:val="32"/>
        </w:rPr>
        <w:t>参加和组织重大招商引资活动等日常公用经费。</w:t>
      </w:r>
    </w:p>
    <w:p w14:paraId="619FD0D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32"/>
          <w:szCs w:val="32"/>
          <w:lang w:val="en-US" w:eastAsia="zh-CN"/>
        </w:rPr>
      </w:pPr>
    </w:p>
    <w:p w14:paraId="3EE6E0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72D03A21">
      <w:pPr>
        <w:spacing w:line="600" w:lineRule="exact"/>
        <w:ind w:firstLine="640" w:firstLineChars="200"/>
        <w:rPr>
          <w:rFonts w:hint="eastAsia" w:ascii="仿宋_GB2312" w:hAnsi="仿宋_GB2312" w:eastAsia="仿宋_GB2312" w:cs="仿宋_GB2312"/>
          <w:sz w:val="30"/>
          <w:szCs w:val="30"/>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年我单位因公出国共组团 0个，共  0人支出0元。</w:t>
      </w:r>
    </w:p>
    <w:p w14:paraId="798890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7E8D098">
      <w:pPr>
        <w:numPr>
          <w:ilvl w:val="0"/>
          <w:numId w:val="4"/>
        </w:numPr>
        <w:spacing w:line="600" w:lineRule="exact"/>
        <w:ind w:firstLine="640" w:firstLineChars="200"/>
        <w:rPr>
          <w:rFonts w:hint="eastAsia" w:ascii="仿宋_GB2312" w:hAnsi="仿宋_GB2312" w:eastAsia="仿宋_GB2312" w:cs="仿宋_GB2312"/>
          <w:sz w:val="30"/>
          <w:szCs w:val="30"/>
        </w:rPr>
      </w:pP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_GB2312" w:hAnsi="仿宋_GB2312" w:eastAsia="仿宋_GB2312" w:cs="仿宋_GB2312"/>
          <w:sz w:val="30"/>
          <w:szCs w:val="30"/>
        </w:rPr>
        <w:t xml:space="preserve">公务招待共 </w:t>
      </w:r>
      <w:r>
        <w:rPr>
          <w:rFonts w:hint="eastAsia" w:ascii="仿宋_GB2312" w:hAnsi="仿宋_GB2312" w:eastAsia="仿宋_GB2312" w:cs="仿宋_GB2312"/>
          <w:sz w:val="30"/>
          <w:szCs w:val="30"/>
          <w:lang w:val="en-US" w:eastAsia="zh-CN"/>
        </w:rPr>
        <w:t>121</w:t>
      </w:r>
      <w:r>
        <w:rPr>
          <w:rFonts w:hint="eastAsia" w:ascii="仿宋_GB2312" w:hAnsi="仿宋_GB2312" w:eastAsia="仿宋_GB2312" w:cs="仿宋_GB2312"/>
          <w:sz w:val="30"/>
          <w:szCs w:val="30"/>
        </w:rPr>
        <w:t>批次，总人数</w:t>
      </w:r>
      <w:r>
        <w:rPr>
          <w:rFonts w:hint="eastAsia" w:ascii="仿宋_GB2312" w:hAnsi="仿宋_GB2312" w:eastAsia="仿宋_GB2312" w:cs="仿宋_GB2312"/>
          <w:sz w:val="30"/>
          <w:szCs w:val="30"/>
          <w:lang w:val="en-US" w:eastAsia="zh-CN"/>
        </w:rPr>
        <w:t>846</w:t>
      </w:r>
      <w:r>
        <w:rPr>
          <w:rFonts w:hint="eastAsia" w:ascii="仿宋_GB2312" w:hAnsi="仿宋_GB2312" w:eastAsia="仿宋_GB2312" w:cs="仿宋_GB2312"/>
          <w:sz w:val="30"/>
          <w:szCs w:val="30"/>
        </w:rPr>
        <w:t>人，总支出</w:t>
      </w:r>
      <w:r>
        <w:rPr>
          <w:rFonts w:hint="eastAsia" w:ascii="仿宋_GB2312" w:hAnsi="仿宋_GB2312" w:eastAsia="仿宋_GB2312" w:cs="仿宋_GB2312"/>
          <w:sz w:val="30"/>
          <w:szCs w:val="30"/>
          <w:lang w:val="en-US" w:eastAsia="zh-CN"/>
        </w:rPr>
        <w:t>11.11</w:t>
      </w:r>
      <w:r>
        <w:rPr>
          <w:rFonts w:hint="eastAsia" w:ascii="仿宋_GB2312" w:hAnsi="仿宋_GB2312" w:eastAsia="仿宋_GB2312" w:cs="仿宋_GB2312"/>
          <w:sz w:val="30"/>
          <w:szCs w:val="30"/>
        </w:rPr>
        <w:t>万元，比去年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27.05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，主要是因为</w:t>
      </w:r>
      <w:r>
        <w:rPr>
          <w:rFonts w:hint="eastAsia" w:ascii="仿宋_GB2312" w:hAnsi="仿宋_GB2312" w:eastAsia="仿宋_GB2312" w:cs="仿宋_GB2312"/>
          <w:sz w:val="30"/>
          <w:szCs w:val="30"/>
          <w:lang w:val="en-US" w:eastAsia="zh-CN"/>
        </w:rPr>
        <w:t>2024年较2023年大型招商引资活动减少造成</w:t>
      </w:r>
      <w:r>
        <w:rPr>
          <w:rFonts w:hint="eastAsia" w:ascii="仿宋_GB2312" w:hAnsi="仿宋_GB2312" w:eastAsia="仿宋_GB2312" w:cs="仿宋_GB2312"/>
          <w:sz w:val="30"/>
          <w:szCs w:val="30"/>
        </w:rPr>
        <w:t>。</w:t>
      </w:r>
    </w:p>
    <w:p w14:paraId="0255CACC">
      <w:pPr>
        <w:numPr>
          <w:ilvl w:val="0"/>
          <w:numId w:val="0"/>
        </w:numPr>
        <w:spacing w:line="600" w:lineRule="exact"/>
        <w:ind w:firstLine="640" w:firstLineChars="200"/>
        <w:rPr>
          <w:rFonts w:hint="eastAsia" w:ascii="仿宋_GB2312" w:hAnsi="仿宋_GB2312" w:eastAsia="仿宋_GB2312" w:cs="仿宋_GB2312"/>
          <w:sz w:val="30"/>
          <w:szCs w:val="30"/>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w:t>
      </w:r>
      <w:r>
        <w:rPr>
          <w:rFonts w:hint="eastAsia" w:ascii="仿宋_GB2312" w:hAnsi="仿宋_GB2312" w:eastAsia="仿宋_GB2312" w:cs="仿宋_GB2312"/>
          <w:sz w:val="30"/>
          <w:szCs w:val="30"/>
        </w:rPr>
        <w:t>我单位现有公务用车 0 辆，公务用车支出0元。</w:t>
      </w:r>
    </w:p>
    <w:p w14:paraId="40ECAE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83614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4E44EDB">
      <w:pPr>
        <w:pStyle w:val="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14:paraId="0EF591EB">
      <w:pPr>
        <w:keepNext w:val="0"/>
        <w:keepLines w:val="0"/>
        <w:pageBreakBefore w:val="0"/>
        <w:widowControl w:val="0"/>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2024年我单位政府性基金预算支出为316.51万元。</w:t>
      </w:r>
    </w:p>
    <w:p w14:paraId="03694DCE">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Chars="200"/>
        <w:textAlignment w:val="auto"/>
        <w:rPr>
          <w:rFonts w:hint="eastAsia"/>
          <w:lang w:eastAsia="zh-CN"/>
        </w:rPr>
      </w:pPr>
    </w:p>
    <w:p w14:paraId="278DD82D">
      <w:pPr>
        <w:pStyle w:val="2"/>
        <w:rPr>
          <w:rFonts w:hint="eastAsia"/>
          <w:lang w:eastAsia="zh-CN"/>
        </w:rPr>
      </w:pPr>
    </w:p>
    <w:p w14:paraId="5E3C8932">
      <w:pPr>
        <w:keepNext w:val="0"/>
        <w:keepLines w:val="0"/>
        <w:pageBreakBefore w:val="0"/>
        <w:widowControl w:val="0"/>
        <w:numPr>
          <w:ilvl w:val="0"/>
          <w:numId w:val="2"/>
        </w:numPr>
        <w:kinsoku/>
        <w:wordWrap/>
        <w:overflowPunct/>
        <w:topLinePunct w:val="0"/>
        <w:autoSpaceDE/>
        <w:autoSpaceDN/>
        <w:bidi w:val="0"/>
        <w:adjustRightInd/>
        <w:snapToGrid/>
        <w:spacing w:line="30" w:lineRule="atLeas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31D5A485">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Chars="200" w:firstLine="320" w:firstLineChars="1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2024年我单位国</w:t>
      </w:r>
      <w:r>
        <w:rPr>
          <w:rFonts w:hint="eastAsia" w:ascii="仿宋" w:hAnsi="仿宋" w:eastAsia="仿宋" w:cs="仿宋"/>
          <w:b w:val="0"/>
          <w:bCs w:val="0"/>
          <w:sz w:val="32"/>
          <w:szCs w:val="32"/>
          <w:lang w:eastAsia="zh-CN"/>
        </w:rPr>
        <w:t>有资本经营预算支出为</w:t>
      </w:r>
      <w:r>
        <w:rPr>
          <w:rFonts w:hint="eastAsia" w:ascii="仿宋" w:hAnsi="仿宋" w:eastAsia="仿宋" w:cs="仿宋"/>
          <w:b w:val="0"/>
          <w:bCs w:val="0"/>
          <w:sz w:val="32"/>
          <w:szCs w:val="32"/>
          <w:lang w:val="en-US" w:eastAsia="zh-CN"/>
        </w:rPr>
        <w:t>0。</w:t>
      </w:r>
    </w:p>
    <w:p w14:paraId="17FF9D2C">
      <w:pPr>
        <w:pStyle w:val="2"/>
        <w:rPr>
          <w:rFonts w:hint="default"/>
          <w:lang w:val="en-US" w:eastAsia="zh-CN"/>
        </w:rPr>
      </w:pPr>
    </w:p>
    <w:p w14:paraId="60EA4958">
      <w:pPr>
        <w:keepNext w:val="0"/>
        <w:keepLines w:val="0"/>
        <w:pageBreakBefore w:val="0"/>
        <w:widowControl w:val="0"/>
        <w:numPr>
          <w:ilvl w:val="0"/>
          <w:numId w:val="2"/>
        </w:numPr>
        <w:kinsoku/>
        <w:wordWrap/>
        <w:overflowPunct/>
        <w:topLinePunct w:val="0"/>
        <w:autoSpaceDE/>
        <w:autoSpaceDN/>
        <w:bidi w:val="0"/>
        <w:adjustRightInd/>
        <w:snapToGrid/>
        <w:spacing w:line="30" w:lineRule="atLeas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519A0D27">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2024年我单位</w:t>
      </w:r>
      <w:r>
        <w:rPr>
          <w:rFonts w:hint="eastAsia" w:ascii="仿宋" w:hAnsi="仿宋" w:eastAsia="仿宋" w:cs="仿宋"/>
          <w:b w:val="0"/>
          <w:bCs w:val="0"/>
          <w:sz w:val="32"/>
          <w:szCs w:val="32"/>
          <w:lang w:eastAsia="zh-CN"/>
        </w:rPr>
        <w:t>社会保险基金预算支出为</w:t>
      </w:r>
      <w:r>
        <w:rPr>
          <w:rFonts w:hint="eastAsia" w:ascii="仿宋" w:hAnsi="仿宋" w:eastAsia="仿宋" w:cs="仿宋"/>
          <w:b w:val="0"/>
          <w:bCs w:val="0"/>
          <w:sz w:val="32"/>
          <w:szCs w:val="32"/>
          <w:lang w:val="en-US" w:eastAsia="zh-CN"/>
        </w:rPr>
        <w:t>0.</w:t>
      </w:r>
    </w:p>
    <w:p w14:paraId="5B5E2EA9">
      <w:pPr>
        <w:pStyle w:val="2"/>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Chars="200"/>
        <w:textAlignment w:val="auto"/>
        <w:rPr>
          <w:rFonts w:hint="eastAsia" w:ascii="仿宋" w:hAnsi="仿宋" w:eastAsia="仿宋" w:cs="仿宋"/>
          <w:lang w:eastAsia="zh-CN"/>
        </w:rPr>
      </w:pPr>
    </w:p>
    <w:p w14:paraId="2327C1E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1FD833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rPr>
          <w:rFonts w:hint="eastAsia" w:ascii="仿宋" w:hAnsi="仿宋" w:eastAsia="仿宋" w:cs="仿宋"/>
          <w:b w:val="0"/>
          <w:bCs w:val="0"/>
          <w:i w:val="0"/>
          <w:spacing w:val="0"/>
          <w:w w:val="100"/>
          <w:sz w:val="32"/>
          <w:szCs w:val="32"/>
          <w:lang w:val="en-US" w:eastAsia="zh-CN"/>
        </w:rPr>
      </w:pPr>
      <w:r>
        <w:rPr>
          <w:rFonts w:hint="eastAsia" w:ascii="仿宋" w:hAnsi="仿宋" w:eastAsia="仿宋" w:cs="仿宋"/>
          <w:b w:val="0"/>
          <w:bCs w:val="0"/>
          <w:i w:val="0"/>
          <w:spacing w:val="0"/>
          <w:w w:val="100"/>
          <w:sz w:val="32"/>
          <w:szCs w:val="32"/>
          <w:lang w:val="en-US" w:eastAsia="zh-CN"/>
        </w:rPr>
        <w:t>一、主要经济指标完成</w:t>
      </w:r>
      <w:r>
        <w:rPr>
          <w:rFonts w:hint="eastAsia" w:ascii="仿宋" w:hAnsi="仿宋" w:eastAsia="仿宋" w:cs="仿宋"/>
          <w:b w:val="0"/>
          <w:bCs w:val="0"/>
          <w:i w:val="0"/>
          <w:spacing w:val="0"/>
          <w:w w:val="100"/>
          <w:sz w:val="32"/>
          <w:szCs w:val="32"/>
          <w:u w:val="none"/>
          <w:lang w:val="en-US" w:eastAsia="zh-CN"/>
        </w:rPr>
        <w:t>情况</w:t>
      </w:r>
    </w:p>
    <w:p w14:paraId="13178674">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1、社会消费品零售总额。</w:t>
      </w:r>
      <w:r>
        <w:rPr>
          <w:rFonts w:hint="eastAsia" w:ascii="仿宋" w:hAnsi="仿宋" w:eastAsia="仿宋" w:cs="仿宋"/>
          <w:b w:val="0"/>
          <w:bCs w:val="0"/>
          <w:sz w:val="32"/>
          <w:szCs w:val="32"/>
          <w:lang w:val="en-US" w:eastAsia="zh-CN"/>
        </w:rPr>
        <w:t>1-11月，</w:t>
      </w:r>
      <w:r>
        <w:rPr>
          <w:rFonts w:hint="eastAsia" w:ascii="仿宋" w:hAnsi="仿宋" w:eastAsia="仿宋" w:cs="仿宋"/>
          <w:color w:val="auto"/>
          <w:sz w:val="32"/>
          <w:szCs w:val="32"/>
          <w:lang w:val="en-US" w:eastAsia="zh-CN"/>
        </w:rPr>
        <w:t>完成社会消费品零售总额171.34亿元，增幅6.4%。</w:t>
      </w:r>
    </w:p>
    <w:p w14:paraId="5B5FA379">
      <w:pPr>
        <w:keepNext w:val="0"/>
        <w:keepLines w:val="0"/>
        <w:pageBreakBefore w:val="0"/>
        <w:widowControl w:val="0"/>
        <w:kinsoku/>
        <w:wordWrap/>
        <w:overflowPunct/>
        <w:topLinePunct w:val="0"/>
        <w:autoSpaceDE/>
        <w:autoSpaceDN/>
        <w:bidi w:val="0"/>
        <w:adjustRightInd/>
        <w:snapToGrid/>
        <w:spacing w:line="30" w:lineRule="atLeas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2、外贸进出口总额。</w:t>
      </w:r>
      <w:r>
        <w:rPr>
          <w:rFonts w:hint="eastAsia" w:ascii="仿宋" w:hAnsi="仿宋" w:eastAsia="仿宋" w:cs="仿宋"/>
          <w:b w:val="0"/>
          <w:bCs w:val="0"/>
          <w:sz w:val="32"/>
          <w:szCs w:val="32"/>
          <w:lang w:val="en-US" w:eastAsia="zh-CN"/>
        </w:rPr>
        <w:t>1－11月，全县完成外贸进出口额9.43亿，实绩外贸进出口企业23家（其中供应链公司6家），同比增长－28.1%。</w:t>
      </w:r>
    </w:p>
    <w:p w14:paraId="17D0ACAA">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43" w:firstLineChars="200"/>
        <w:jc w:val="both"/>
        <w:textAlignment w:val="auto"/>
        <w:rPr>
          <w:rFonts w:hint="eastAsia" w:ascii="仿宋" w:hAnsi="仿宋" w:eastAsia="仿宋" w:cs="仿宋"/>
          <w:b w:val="0"/>
          <w:bCs w:val="0"/>
          <w:color w:val="000000"/>
          <w:sz w:val="32"/>
          <w:szCs w:val="32"/>
          <w:u w:val="none"/>
          <w:lang w:val="en-US" w:eastAsia="zh-CN"/>
        </w:rPr>
      </w:pPr>
      <w:r>
        <w:rPr>
          <w:rStyle w:val="14"/>
          <w:rFonts w:hint="eastAsia" w:ascii="仿宋" w:hAnsi="仿宋" w:eastAsia="仿宋" w:cs="仿宋"/>
          <w:b/>
          <w:bCs/>
          <w:i w:val="0"/>
          <w:color w:val="auto"/>
          <w:spacing w:val="0"/>
          <w:w w:val="100"/>
          <w:sz w:val="32"/>
          <w:szCs w:val="32"/>
          <w:lang w:val="en-US" w:eastAsia="zh-CN"/>
        </w:rPr>
        <w:t>3、</w:t>
      </w:r>
      <w:r>
        <w:rPr>
          <w:rFonts w:hint="eastAsia" w:ascii="仿宋" w:hAnsi="仿宋" w:eastAsia="仿宋" w:cs="仿宋"/>
          <w:b/>
          <w:color w:val="000000"/>
          <w:sz w:val="32"/>
          <w:szCs w:val="32"/>
          <w:u w:val="none"/>
          <w:lang w:eastAsia="zh-CN"/>
        </w:rPr>
        <w:t>使用外商直接和间接</w:t>
      </w:r>
      <w:r>
        <w:rPr>
          <w:rFonts w:hint="eastAsia" w:ascii="仿宋" w:hAnsi="仿宋" w:eastAsia="仿宋" w:cs="仿宋"/>
          <w:b/>
          <w:bCs/>
          <w:color w:val="000000"/>
          <w:sz w:val="32"/>
          <w:szCs w:val="32"/>
          <w:u w:val="none"/>
          <w:lang w:eastAsia="zh-CN"/>
        </w:rPr>
        <w:t>投</w:t>
      </w:r>
      <w:r>
        <w:rPr>
          <w:rFonts w:hint="eastAsia" w:ascii="仿宋" w:hAnsi="仿宋" w:eastAsia="仿宋" w:cs="仿宋"/>
          <w:b/>
          <w:bCs/>
          <w:color w:val="000000"/>
          <w:kern w:val="0"/>
          <w:sz w:val="32"/>
          <w:szCs w:val="32"/>
          <w:lang w:eastAsia="zh-CN"/>
        </w:rPr>
        <w:t>资。</w:t>
      </w:r>
      <w:r>
        <w:rPr>
          <w:rFonts w:hint="eastAsia" w:ascii="仿宋" w:hAnsi="仿宋" w:eastAsia="仿宋" w:cs="仿宋"/>
          <w:b w:val="0"/>
          <w:bCs w:val="0"/>
          <w:sz w:val="32"/>
          <w:szCs w:val="32"/>
          <w:lang w:val="en-US" w:eastAsia="zh-CN"/>
        </w:rPr>
        <w:t>1－11月，</w:t>
      </w:r>
      <w:r>
        <w:rPr>
          <w:rFonts w:hint="eastAsia" w:ascii="仿宋" w:hAnsi="仿宋" w:eastAsia="仿宋" w:cs="仿宋"/>
          <w:b w:val="0"/>
          <w:bCs w:val="0"/>
          <w:color w:val="000000"/>
          <w:sz w:val="32"/>
          <w:szCs w:val="32"/>
          <w:lang w:eastAsia="zh-CN"/>
        </w:rPr>
        <w:t>实际</w:t>
      </w:r>
      <w:r>
        <w:rPr>
          <w:rFonts w:hint="eastAsia" w:ascii="仿宋" w:hAnsi="仿宋" w:eastAsia="仿宋" w:cs="仿宋"/>
          <w:b w:val="0"/>
          <w:bCs w:val="0"/>
          <w:color w:val="000000"/>
          <w:sz w:val="32"/>
          <w:szCs w:val="32"/>
          <w:u w:val="none"/>
          <w:lang w:eastAsia="zh-CN"/>
        </w:rPr>
        <w:t>使用外商直接投</w:t>
      </w:r>
      <w:r>
        <w:rPr>
          <w:rFonts w:hint="eastAsia" w:ascii="仿宋" w:hAnsi="仿宋" w:eastAsia="仿宋" w:cs="仿宋"/>
          <w:b w:val="0"/>
          <w:bCs w:val="0"/>
          <w:color w:val="000000"/>
          <w:kern w:val="0"/>
          <w:sz w:val="32"/>
          <w:szCs w:val="32"/>
          <w:lang w:eastAsia="zh-CN"/>
        </w:rPr>
        <w:t>资</w:t>
      </w:r>
      <w:r>
        <w:rPr>
          <w:rFonts w:hint="eastAsia" w:ascii="仿宋" w:hAnsi="仿宋" w:eastAsia="仿宋" w:cs="仿宋"/>
          <w:b w:val="0"/>
          <w:bCs w:val="0"/>
          <w:color w:val="000000"/>
          <w:kern w:val="0"/>
          <w:sz w:val="32"/>
          <w:szCs w:val="32"/>
          <w:lang w:val="en-US" w:eastAsia="zh-CN"/>
        </w:rPr>
        <w:t>100</w:t>
      </w:r>
      <w:r>
        <w:rPr>
          <w:rFonts w:hint="eastAsia" w:ascii="仿宋" w:hAnsi="仿宋" w:eastAsia="仿宋" w:cs="仿宋"/>
          <w:b w:val="0"/>
          <w:bCs w:val="0"/>
          <w:color w:val="000000"/>
          <w:kern w:val="0"/>
          <w:sz w:val="32"/>
          <w:szCs w:val="32"/>
          <w:lang w:eastAsia="zh-CN"/>
        </w:rPr>
        <w:t>万美元</w:t>
      </w:r>
      <w:r>
        <w:rPr>
          <w:rFonts w:hint="eastAsia" w:ascii="仿宋" w:hAnsi="仿宋" w:eastAsia="仿宋" w:cs="仿宋"/>
          <w:b w:val="0"/>
          <w:color w:val="000000"/>
          <w:sz w:val="32"/>
          <w:szCs w:val="32"/>
          <w:u w:val="none"/>
          <w:lang w:val="en-US" w:eastAsia="zh-CN"/>
        </w:rPr>
        <w:t>。</w:t>
      </w:r>
    </w:p>
    <w:p w14:paraId="4601F61E">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二、工作措施及成效</w:t>
      </w:r>
    </w:p>
    <w:p w14:paraId="65A964AF">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1、推进“党建+业务”融合，引领商务高质量发展。</w:t>
      </w:r>
      <w:r>
        <w:rPr>
          <w:rFonts w:hint="eastAsia" w:ascii="仿宋" w:hAnsi="仿宋" w:eastAsia="仿宋" w:cs="仿宋"/>
          <w:sz w:val="32"/>
          <w:szCs w:val="32"/>
        </w:rPr>
        <w:t>突出党建引领，推动党建工作与业务工作深度融合，实现党建工作与业务工作“双提升”。扎实推进全面从严治局，严格党员管理，狠抓支部建设，将党建工作纳入日常议事日程，确保党建工作同推进。</w:t>
      </w:r>
      <w:r>
        <w:rPr>
          <w:rFonts w:hint="eastAsia" w:ascii="仿宋" w:hAnsi="仿宋" w:eastAsia="仿宋" w:cs="仿宋"/>
          <w:b w:val="0"/>
          <w:bCs/>
          <w:sz w:val="32"/>
          <w:szCs w:val="32"/>
        </w:rPr>
        <w:t>一是强化学习教育，助力干部队伍提质</w:t>
      </w:r>
      <w:r>
        <w:rPr>
          <w:rFonts w:hint="eastAsia" w:ascii="仿宋" w:hAnsi="仿宋" w:eastAsia="仿宋" w:cs="仿宋"/>
          <w:sz w:val="32"/>
          <w:szCs w:val="32"/>
        </w:rPr>
        <w:t>。将“三会一课”、主题党日活动、学习贯彻党的二十大精神和二十届三中全会精神、学习习近平总书记重要讲话精神、做合格党员与常态化制度化学习教育工作相结合。</w:t>
      </w:r>
      <w:r>
        <w:rPr>
          <w:rFonts w:hint="eastAsia" w:ascii="仿宋" w:hAnsi="仿宋" w:eastAsia="仿宋" w:cs="仿宋"/>
          <w:b w:val="0"/>
          <w:bCs/>
          <w:sz w:val="32"/>
          <w:szCs w:val="32"/>
        </w:rPr>
        <w:t>二是严抓廉政建设，助力底线意识提高</w:t>
      </w:r>
      <w:r>
        <w:rPr>
          <w:rFonts w:hint="eastAsia" w:ascii="仿宋" w:hAnsi="仿宋" w:eastAsia="仿宋" w:cs="仿宋"/>
          <w:sz w:val="32"/>
          <w:szCs w:val="32"/>
        </w:rPr>
        <w:t>。认真开展党纪学习教育，加强对党员干部的政治纪律监督，督促党员干部自觉树立红线意识。</w:t>
      </w:r>
      <w:r>
        <w:rPr>
          <w:rFonts w:hint="eastAsia" w:ascii="仿宋" w:hAnsi="仿宋" w:eastAsia="仿宋" w:cs="仿宋"/>
          <w:sz w:val="32"/>
          <w:szCs w:val="32"/>
          <w:lang w:eastAsia="zh-CN"/>
        </w:rPr>
        <w:t>三</w:t>
      </w:r>
      <w:r>
        <w:rPr>
          <w:rFonts w:hint="eastAsia" w:ascii="仿宋" w:hAnsi="仿宋" w:eastAsia="仿宋" w:cs="仿宋"/>
          <w:b/>
          <w:bCs w:val="0"/>
          <w:sz w:val="32"/>
          <w:szCs w:val="32"/>
          <w:lang w:val="en-US" w:eastAsia="zh-CN"/>
        </w:rPr>
        <w:t>是</w:t>
      </w:r>
      <w:r>
        <w:rPr>
          <w:rFonts w:hint="eastAsia" w:ascii="仿宋" w:hAnsi="仿宋" w:eastAsia="仿宋" w:cs="仿宋"/>
          <w:b/>
          <w:bCs w:val="0"/>
          <w:sz w:val="32"/>
          <w:szCs w:val="32"/>
        </w:rPr>
        <w:t>深入开展群众身边不正之风和腐败问题集中整治工作</w:t>
      </w:r>
      <w:r>
        <w:rPr>
          <w:rFonts w:hint="eastAsia" w:ascii="仿宋" w:hAnsi="仿宋" w:eastAsia="仿宋" w:cs="仿宋"/>
          <w:b/>
          <w:bCs w:val="0"/>
          <w:sz w:val="32"/>
          <w:szCs w:val="32"/>
          <w:lang w:eastAsia="zh-CN"/>
        </w:rPr>
        <w:t>。</w:t>
      </w:r>
      <w:r>
        <w:rPr>
          <w:rFonts w:hint="eastAsia" w:ascii="仿宋" w:hAnsi="仿宋" w:eastAsia="仿宋" w:cs="仿宋"/>
          <w:sz w:val="32"/>
          <w:szCs w:val="32"/>
        </w:rPr>
        <w:t>贯彻全面从严治党要求，切实解决群众身边的不正之风和腐败问题，提高人民群众的获得感、幸福感、安全感。</w:t>
      </w:r>
      <w:r>
        <w:rPr>
          <w:rFonts w:hint="eastAsia" w:ascii="仿宋" w:hAnsi="仿宋" w:eastAsia="仿宋" w:cs="仿宋"/>
          <w:sz w:val="32"/>
          <w:szCs w:val="32"/>
          <w:u w:val="none"/>
        </w:rPr>
        <w:t>全年商务领域未发生违法违纪案件。</w:t>
      </w:r>
    </w:p>
    <w:p w14:paraId="79127B7A">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2、立足产业基础，强抓招商引资扩增量优存量。</w:t>
      </w:r>
      <w:r>
        <w:rPr>
          <w:rFonts w:hint="eastAsia" w:ascii="仿宋" w:hAnsi="仿宋" w:eastAsia="仿宋" w:cs="仿宋"/>
          <w:b w:val="0"/>
          <w:bCs w:val="0"/>
          <w:i w:val="0"/>
          <w:spacing w:val="0"/>
          <w:w w:val="95"/>
          <w:sz w:val="32"/>
          <w:szCs w:val="32"/>
          <w:lang w:val="en-US" w:eastAsia="zh-CN"/>
        </w:rPr>
        <w:t>坚持</w:t>
      </w:r>
      <w:r>
        <w:rPr>
          <w:rFonts w:hint="eastAsia" w:ascii="仿宋" w:hAnsi="仿宋" w:eastAsia="仿宋" w:cs="仿宋"/>
          <w:b w:val="0"/>
          <w:bCs w:val="0"/>
          <w:w w:val="95"/>
          <w:kern w:val="0"/>
          <w:sz w:val="32"/>
          <w:szCs w:val="32"/>
          <w:lang w:val="en-US" w:eastAsia="zh-CN" w:bidi="ar-SA"/>
        </w:rPr>
        <w:t>“招大”与“引强”并重，</w:t>
      </w:r>
      <w:r>
        <w:rPr>
          <w:rFonts w:hint="eastAsia" w:ascii="仿宋" w:hAnsi="仿宋" w:eastAsia="仿宋" w:cs="仿宋"/>
          <w:b w:val="0"/>
          <w:bCs w:val="0"/>
          <w:sz w:val="32"/>
          <w:szCs w:val="32"/>
          <w:lang w:val="en-US" w:eastAsia="zh-CN"/>
        </w:rPr>
        <w:t xml:space="preserve">突出链族集聚发展 </w:t>
      </w:r>
      <w:r>
        <w:rPr>
          <w:rFonts w:hint="eastAsia" w:ascii="仿宋" w:hAnsi="仿宋" w:eastAsia="仿宋" w:cs="仿宋"/>
          <w:b w:val="0"/>
          <w:bCs w:val="0"/>
          <w:w w:val="95"/>
          <w:kern w:val="0"/>
          <w:sz w:val="32"/>
          <w:szCs w:val="32"/>
          <w:lang w:val="en-US" w:eastAsia="zh-CN" w:bidi="ar-SA"/>
        </w:rPr>
        <w:t>，精准出击，靶向发力。</w:t>
      </w:r>
      <w:r>
        <w:rPr>
          <w:rFonts w:hint="eastAsia" w:ascii="仿宋" w:hAnsi="仿宋" w:eastAsia="仿宋" w:cs="仿宋"/>
          <w:b/>
          <w:bCs/>
          <w:w w:val="95"/>
          <w:kern w:val="0"/>
          <w:sz w:val="32"/>
          <w:szCs w:val="32"/>
          <w:lang w:val="en-US" w:eastAsia="zh-CN" w:bidi="ar-SA"/>
        </w:rPr>
        <w:t>一是集聚合力，全力招商推介。</w:t>
      </w:r>
      <w:r>
        <w:rPr>
          <w:rFonts w:hint="eastAsia" w:ascii="仿宋" w:hAnsi="仿宋" w:eastAsia="仿宋" w:cs="仿宋"/>
          <w:sz w:val="32"/>
          <w:szCs w:val="32"/>
          <w:lang w:val="en-US" w:eastAsia="zh-CN"/>
        </w:rPr>
        <w:t>围绕“迎老乡、回故乡、建家乡”这根主线，采取亲情招商、以商招商、委托招商等方式推进招商引资，聘请了10名优秀企业家代表为隆回招商大使，成功举办了2024隆回县招商引资大会暨“湘商回归”推进会、民营企业家座谈会、校友回乡企业家代表座谈会等大型活动。2024年召开招商引资座谈会34次。接待客商62人次。</w:t>
      </w:r>
      <w:r>
        <w:rPr>
          <w:rFonts w:hint="eastAsia" w:ascii="仿宋" w:hAnsi="仿宋" w:eastAsia="仿宋" w:cs="仿宋"/>
          <w:b w:val="0"/>
          <w:bCs/>
          <w:sz w:val="32"/>
          <w:szCs w:val="32"/>
          <w:lang w:val="en-US" w:eastAsia="zh-CN"/>
        </w:rPr>
        <w:t>二</w:t>
      </w:r>
      <w:r>
        <w:rPr>
          <w:rFonts w:hint="eastAsia" w:ascii="仿宋" w:hAnsi="仿宋" w:eastAsia="仿宋" w:cs="仿宋"/>
          <w:b/>
          <w:bCs w:val="0"/>
          <w:sz w:val="32"/>
          <w:szCs w:val="32"/>
        </w:rPr>
        <w:t>是</w:t>
      </w:r>
      <w:r>
        <w:rPr>
          <w:rFonts w:hint="eastAsia" w:ascii="仿宋" w:hAnsi="仿宋" w:eastAsia="仿宋" w:cs="仿宋"/>
          <w:b/>
          <w:bCs w:val="0"/>
          <w:sz w:val="32"/>
          <w:szCs w:val="32"/>
          <w:lang w:val="en-US" w:eastAsia="zh-CN"/>
        </w:rPr>
        <w:t>龙头带动、产业链族</w:t>
      </w:r>
      <w:r>
        <w:rPr>
          <w:rFonts w:hint="eastAsia" w:ascii="仿宋" w:hAnsi="仿宋" w:eastAsia="仿宋" w:cs="仿宋"/>
          <w:b/>
          <w:bCs w:val="0"/>
          <w:sz w:val="32"/>
          <w:szCs w:val="32"/>
        </w:rPr>
        <w:t>招商</w:t>
      </w:r>
      <w:r>
        <w:rPr>
          <w:rFonts w:hint="eastAsia" w:ascii="仿宋" w:hAnsi="仿宋" w:eastAsia="仿宋" w:cs="仿宋"/>
          <w:b w:val="0"/>
          <w:bCs/>
          <w:sz w:val="32"/>
          <w:szCs w:val="32"/>
        </w:rPr>
        <w:t>。</w:t>
      </w:r>
      <w:r>
        <w:rPr>
          <w:rFonts w:hint="eastAsia" w:ascii="仿宋" w:hAnsi="仿宋" w:eastAsia="仿宋" w:cs="仿宋"/>
          <w:sz w:val="32"/>
          <w:szCs w:val="32"/>
        </w:rPr>
        <w:t>重点发展</w:t>
      </w:r>
      <w:r>
        <w:rPr>
          <w:rFonts w:hint="eastAsia" w:ascii="仿宋" w:hAnsi="仿宋" w:eastAsia="仿宋" w:cs="仿宋"/>
          <w:sz w:val="32"/>
          <w:szCs w:val="32"/>
          <w:lang w:eastAsia="zh-CN"/>
        </w:rPr>
        <w:t>“</w:t>
      </w:r>
      <w:r>
        <w:rPr>
          <w:rFonts w:hint="eastAsia" w:ascii="仿宋" w:hAnsi="仿宋" w:eastAsia="仿宋" w:cs="仿宋"/>
          <w:sz w:val="32"/>
          <w:szCs w:val="32"/>
        </w:rPr>
        <w:t>三百运</w:t>
      </w:r>
      <w:r>
        <w:rPr>
          <w:rFonts w:hint="eastAsia" w:ascii="仿宋" w:hAnsi="仿宋" w:eastAsia="仿宋" w:cs="仿宋"/>
          <w:sz w:val="32"/>
          <w:szCs w:val="32"/>
          <w:lang w:val="en-US" w:eastAsia="zh-CN"/>
        </w:rPr>
        <w:t>动</w:t>
      </w:r>
      <w:r>
        <w:rPr>
          <w:rFonts w:hint="eastAsia" w:ascii="仿宋" w:hAnsi="仿宋" w:eastAsia="仿宋" w:cs="仿宋"/>
          <w:sz w:val="32"/>
          <w:szCs w:val="32"/>
          <w:lang w:eastAsia="zh-CN"/>
        </w:rPr>
        <w:t>”、“</w:t>
      </w:r>
      <w:r>
        <w:rPr>
          <w:rFonts w:hint="eastAsia" w:ascii="仿宋" w:hAnsi="仿宋" w:eastAsia="仿宋" w:cs="仿宋"/>
          <w:sz w:val="32"/>
          <w:szCs w:val="32"/>
        </w:rPr>
        <w:t>高尔夫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世为光电”</w:t>
      </w:r>
      <w:r>
        <w:rPr>
          <w:rFonts w:hint="eastAsia" w:ascii="仿宋" w:hAnsi="仿宋" w:eastAsia="仿宋" w:cs="仿宋"/>
          <w:sz w:val="32"/>
          <w:szCs w:val="32"/>
        </w:rPr>
        <w:t>龙头</w:t>
      </w:r>
      <w:r>
        <w:rPr>
          <w:rFonts w:hint="eastAsia" w:ascii="仿宋" w:hAnsi="仿宋" w:eastAsia="仿宋" w:cs="仿宋"/>
          <w:sz w:val="32"/>
          <w:szCs w:val="32"/>
          <w:lang w:val="en-US" w:eastAsia="zh-CN"/>
        </w:rPr>
        <w:t>产业，</w:t>
      </w:r>
      <w:r>
        <w:rPr>
          <w:rFonts w:hint="eastAsia" w:ascii="仿宋" w:hAnsi="仿宋" w:eastAsia="仿宋" w:cs="仿宋"/>
          <w:sz w:val="32"/>
          <w:szCs w:val="32"/>
        </w:rPr>
        <w:t>充分发挥产业现有优势，进行链</w:t>
      </w:r>
      <w:r>
        <w:rPr>
          <w:rFonts w:hint="eastAsia" w:ascii="仿宋" w:hAnsi="仿宋" w:eastAsia="仿宋" w:cs="仿宋"/>
          <w:sz w:val="32"/>
          <w:szCs w:val="32"/>
          <w:lang w:val="en-US" w:eastAsia="zh-CN"/>
        </w:rPr>
        <w:t>族</w:t>
      </w:r>
      <w:r>
        <w:rPr>
          <w:rFonts w:hint="eastAsia" w:ascii="仿宋" w:hAnsi="仿宋" w:eastAsia="仿宋" w:cs="仿宋"/>
          <w:sz w:val="32"/>
          <w:szCs w:val="32"/>
        </w:rPr>
        <w:t>靶向式招商，做大产业规模，做强链主企业</w:t>
      </w:r>
      <w:r>
        <w:rPr>
          <w:rFonts w:hint="eastAsia" w:ascii="仿宋" w:hAnsi="仿宋" w:eastAsia="仿宋" w:cs="仿宋"/>
          <w:sz w:val="32"/>
          <w:szCs w:val="32"/>
          <w:lang w:eastAsia="zh-CN"/>
        </w:rPr>
        <w:t>。目前，</w:t>
      </w:r>
      <w:r>
        <w:rPr>
          <w:rFonts w:hint="eastAsia" w:ascii="仿宋" w:hAnsi="仿宋" w:eastAsia="仿宋" w:cs="仿宋"/>
          <w:sz w:val="32"/>
          <w:szCs w:val="32"/>
        </w:rPr>
        <w:t>已有</w:t>
      </w:r>
      <w:r>
        <w:rPr>
          <w:rFonts w:hint="eastAsia" w:ascii="仿宋" w:hAnsi="仿宋" w:eastAsia="仿宋" w:cs="仿宋"/>
          <w:sz w:val="32"/>
          <w:szCs w:val="32"/>
          <w:lang w:val="en-US" w:eastAsia="zh-CN"/>
        </w:rPr>
        <w:t>8</w:t>
      </w:r>
      <w:r>
        <w:rPr>
          <w:rFonts w:hint="eastAsia" w:ascii="仿宋" w:hAnsi="仿宋" w:eastAsia="仿宋" w:cs="仿宋"/>
          <w:sz w:val="32"/>
          <w:szCs w:val="32"/>
        </w:rPr>
        <w:t>家高尔夫企业</w:t>
      </w:r>
      <w:r>
        <w:rPr>
          <w:rFonts w:hint="eastAsia" w:ascii="仿宋" w:hAnsi="仿宋" w:eastAsia="仿宋" w:cs="仿宋"/>
          <w:sz w:val="32"/>
          <w:szCs w:val="32"/>
          <w:lang w:eastAsia="zh-CN"/>
        </w:rPr>
        <w:t>签约，</w:t>
      </w:r>
      <w:r>
        <w:rPr>
          <w:rFonts w:hint="eastAsia" w:ascii="仿宋" w:hAnsi="仿宋" w:eastAsia="仿宋" w:cs="仿宋"/>
          <w:sz w:val="32"/>
          <w:szCs w:val="32"/>
          <w:lang w:val="en-US" w:eastAsia="zh-CN"/>
        </w:rPr>
        <w:t>6家已投产，</w:t>
      </w:r>
      <w:r>
        <w:rPr>
          <w:rFonts w:hint="eastAsia" w:ascii="仿宋" w:hAnsi="仿宋" w:eastAsia="仿宋" w:cs="仿宋"/>
          <w:b w:val="0"/>
          <w:bCs/>
          <w:color w:val="000000"/>
          <w:kern w:val="0"/>
          <w:sz w:val="32"/>
          <w:szCs w:val="32"/>
          <w:lang w:val="en-US" w:eastAsia="zh-CN"/>
        </w:rPr>
        <w:t>签约光电配套企业6家。</w:t>
      </w:r>
      <w:r>
        <w:rPr>
          <w:rFonts w:hint="eastAsia" w:ascii="仿宋" w:hAnsi="仿宋" w:eastAsia="仿宋" w:cs="仿宋"/>
          <w:b/>
          <w:bCs w:val="0"/>
          <w:color w:val="000000"/>
          <w:kern w:val="0"/>
          <w:sz w:val="32"/>
          <w:szCs w:val="32"/>
          <w:lang w:val="en-US" w:eastAsia="zh-CN"/>
        </w:rPr>
        <w:t>三是高效服务，营造营商环境</w:t>
      </w:r>
      <w:r>
        <w:rPr>
          <w:rFonts w:hint="eastAsia" w:ascii="仿宋" w:hAnsi="仿宋" w:eastAsia="仿宋" w:cs="仿宋"/>
          <w:b w:val="0"/>
          <w:bCs/>
          <w:color w:val="000000"/>
          <w:kern w:val="0"/>
          <w:sz w:val="32"/>
          <w:szCs w:val="32"/>
          <w:lang w:val="en-US" w:eastAsia="zh-CN"/>
        </w:rPr>
        <w:t>。</w:t>
      </w:r>
      <w:r>
        <w:rPr>
          <w:rFonts w:hint="eastAsia" w:ascii="仿宋" w:hAnsi="仿宋" w:eastAsia="仿宋" w:cs="仿宋"/>
          <w:sz w:val="32"/>
          <w:szCs w:val="32"/>
        </w:rPr>
        <w:t>坚持“内培外引”“筑巢引凤”，</w:t>
      </w:r>
      <w:r>
        <w:rPr>
          <w:rFonts w:hint="eastAsia" w:ascii="仿宋" w:hAnsi="仿宋" w:eastAsia="仿宋" w:cs="仿宋"/>
          <w:sz w:val="32"/>
          <w:szCs w:val="32"/>
          <w:lang w:val="en-US" w:eastAsia="zh-CN"/>
        </w:rPr>
        <w:t>牢牢抓住重点项目这个“牛鼻子”，全面推行“一站式、一条龙”、“保姆式”服务，</w:t>
      </w:r>
      <w:r>
        <w:rPr>
          <w:rFonts w:hint="eastAsia" w:ascii="仿宋" w:hAnsi="仿宋" w:eastAsia="仿宋" w:cs="仿宋"/>
          <w:sz w:val="32"/>
          <w:szCs w:val="32"/>
        </w:rPr>
        <w:t>签约项目</w:t>
      </w:r>
      <w:r>
        <w:rPr>
          <w:rFonts w:hint="eastAsia" w:ascii="仿宋" w:hAnsi="仿宋" w:eastAsia="仿宋" w:cs="仿宋"/>
          <w:sz w:val="32"/>
          <w:szCs w:val="32"/>
          <w:lang w:val="en-US" w:eastAsia="zh-CN"/>
        </w:rPr>
        <w:t>全生命周期</w:t>
      </w:r>
      <w:r>
        <w:rPr>
          <w:rFonts w:hint="eastAsia" w:ascii="仿宋" w:hAnsi="仿宋" w:eastAsia="仿宋" w:cs="仿宋"/>
          <w:sz w:val="32"/>
          <w:szCs w:val="32"/>
        </w:rPr>
        <w:t>服务，招商引资项目</w:t>
      </w:r>
      <w:r>
        <w:rPr>
          <w:rFonts w:hint="eastAsia" w:ascii="仿宋" w:hAnsi="仿宋" w:eastAsia="仿宋" w:cs="仿宋"/>
          <w:sz w:val="32"/>
          <w:szCs w:val="32"/>
          <w:lang w:val="en-US" w:eastAsia="zh-CN"/>
        </w:rPr>
        <w:t>全程帮代办</w:t>
      </w:r>
      <w:r>
        <w:rPr>
          <w:rFonts w:hint="eastAsia" w:ascii="仿宋" w:hAnsi="仿宋" w:eastAsia="仿宋" w:cs="仿宋"/>
          <w:sz w:val="32"/>
          <w:szCs w:val="32"/>
        </w:rPr>
        <w:t>服务</w:t>
      </w:r>
      <w:r>
        <w:rPr>
          <w:rFonts w:hint="eastAsia" w:ascii="仿宋" w:hAnsi="仿宋" w:eastAsia="仿宋" w:cs="仿宋"/>
          <w:sz w:val="32"/>
          <w:szCs w:val="32"/>
          <w:lang w:eastAsia="zh-CN"/>
        </w:rPr>
        <w:t>，</w:t>
      </w:r>
      <w:r>
        <w:rPr>
          <w:rFonts w:hint="eastAsia" w:ascii="仿宋" w:hAnsi="仿宋" w:eastAsia="仿宋" w:cs="仿宋"/>
          <w:sz w:val="32"/>
          <w:szCs w:val="32"/>
        </w:rPr>
        <w:t>推动项目快</w:t>
      </w:r>
      <w:r>
        <w:rPr>
          <w:rFonts w:hint="eastAsia" w:ascii="仿宋" w:hAnsi="仿宋" w:eastAsia="仿宋" w:cs="仿宋"/>
          <w:sz w:val="32"/>
          <w:szCs w:val="32"/>
          <w:lang w:val="en-US" w:eastAsia="zh-CN"/>
        </w:rPr>
        <w:t>开工</w:t>
      </w:r>
      <w:r>
        <w:rPr>
          <w:rFonts w:hint="eastAsia" w:ascii="仿宋" w:hAnsi="仿宋" w:eastAsia="仿宋" w:cs="仿宋"/>
          <w:sz w:val="32"/>
          <w:szCs w:val="32"/>
        </w:rPr>
        <w:t>、快</w:t>
      </w:r>
      <w:r>
        <w:rPr>
          <w:rFonts w:hint="eastAsia" w:ascii="仿宋" w:hAnsi="仿宋" w:eastAsia="仿宋" w:cs="仿宋"/>
          <w:sz w:val="32"/>
          <w:szCs w:val="32"/>
          <w:lang w:val="en-US" w:eastAsia="zh-CN"/>
        </w:rPr>
        <w:t>建成、快投产。</w:t>
      </w:r>
      <w:r>
        <w:rPr>
          <w:rFonts w:hint="eastAsia" w:ascii="仿宋" w:hAnsi="仿宋" w:eastAsia="仿宋" w:cs="仿宋"/>
          <w:sz w:val="32"/>
          <w:szCs w:val="32"/>
          <w:lang w:eastAsia="zh-CN"/>
        </w:rPr>
        <w:t>积极推进送解优活动，增强企业信心，激</w:t>
      </w:r>
      <w:r>
        <w:rPr>
          <w:rFonts w:hint="eastAsia" w:ascii="仿宋" w:hAnsi="仿宋" w:eastAsia="仿宋" w:cs="仿宋"/>
          <w:sz w:val="32"/>
          <w:szCs w:val="32"/>
          <w:lang w:val="en-US" w:eastAsia="zh-CN"/>
        </w:rPr>
        <w:t>发企业活力。</w:t>
      </w:r>
      <w:r>
        <w:rPr>
          <w:rFonts w:hint="eastAsia" w:ascii="仿宋" w:hAnsi="仿宋" w:eastAsia="仿宋" w:cs="仿宋"/>
          <w:b/>
          <w:bCs/>
          <w:sz w:val="32"/>
          <w:szCs w:val="32"/>
          <w:lang w:val="en-US" w:eastAsia="zh-CN"/>
        </w:rPr>
        <w:t>四是突出重点，强化精准招商力度。</w:t>
      </w:r>
      <w:r>
        <w:rPr>
          <w:rFonts w:hint="eastAsia" w:ascii="仿宋" w:hAnsi="仿宋" w:eastAsia="仿宋" w:cs="仿宋"/>
          <w:sz w:val="32"/>
          <w:szCs w:val="32"/>
          <w:lang w:val="en-US" w:eastAsia="zh-CN"/>
        </w:rPr>
        <w:t>县领导带队对重点地区、</w:t>
      </w:r>
      <w:r>
        <w:rPr>
          <w:rFonts w:hint="eastAsia" w:ascii="仿宋" w:hAnsi="仿宋" w:eastAsia="仿宋" w:cs="仿宋"/>
          <w:sz w:val="32"/>
          <w:szCs w:val="32"/>
          <w:lang w:eastAsia="zh-CN"/>
        </w:rPr>
        <w:t>重点企业</w:t>
      </w:r>
      <w:r>
        <w:rPr>
          <w:rFonts w:hint="eastAsia" w:ascii="仿宋" w:hAnsi="仿宋" w:eastAsia="仿宋" w:cs="仿宋"/>
          <w:sz w:val="32"/>
          <w:szCs w:val="32"/>
          <w:lang w:val="en-US" w:eastAsia="zh-CN"/>
        </w:rPr>
        <w:t>进行走访，</w:t>
      </w:r>
      <w:r>
        <w:rPr>
          <w:rFonts w:hint="eastAsia" w:ascii="仿宋" w:hAnsi="仿宋" w:eastAsia="仿宋" w:cs="仿宋"/>
          <w:sz w:val="32"/>
          <w:szCs w:val="32"/>
          <w:lang w:eastAsia="zh-CN"/>
        </w:rPr>
        <w:t>点对点</w:t>
      </w:r>
      <w:r>
        <w:rPr>
          <w:rFonts w:hint="eastAsia" w:ascii="仿宋" w:hAnsi="仿宋" w:eastAsia="仿宋" w:cs="仿宋"/>
          <w:sz w:val="32"/>
          <w:szCs w:val="32"/>
          <w:lang w:val="en-US" w:eastAsia="zh-CN"/>
        </w:rPr>
        <w:t>招商。今年县领导带领招商小分队对长三角、粤港澳大湾区、长株潭等外资外商重点地区开展小分队点对点招商15次。</w:t>
      </w:r>
    </w:p>
    <w:p w14:paraId="19A5A1EE">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以旧换新”和消费促进</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全力</w:t>
      </w:r>
      <w:r>
        <w:rPr>
          <w:rFonts w:hint="eastAsia" w:ascii="仿宋" w:hAnsi="仿宋" w:eastAsia="仿宋" w:cs="仿宋"/>
          <w:b/>
          <w:bCs/>
          <w:sz w:val="32"/>
          <w:szCs w:val="32"/>
        </w:rPr>
        <w:t>释放居民消费潜力。</w:t>
      </w:r>
      <w:r>
        <w:rPr>
          <w:rFonts w:hint="eastAsia" w:ascii="仿宋" w:hAnsi="仿宋" w:eastAsia="仿宋" w:cs="仿宋"/>
          <w:sz w:val="32"/>
          <w:szCs w:val="32"/>
        </w:rPr>
        <w:t>全力激发消费市场的活力，紧抓节假日消费旺季</w:t>
      </w:r>
      <w:r>
        <w:rPr>
          <w:rFonts w:hint="eastAsia" w:ascii="仿宋" w:hAnsi="仿宋" w:eastAsia="仿宋" w:cs="仿宋"/>
          <w:sz w:val="32"/>
          <w:szCs w:val="32"/>
          <w:lang w:val="en-US" w:eastAsia="zh-CN"/>
        </w:rPr>
        <w:t>和全国消费品“以旧换新”</w:t>
      </w:r>
      <w:r>
        <w:rPr>
          <w:rFonts w:hint="eastAsia" w:ascii="仿宋" w:hAnsi="仿宋" w:eastAsia="仿宋" w:cs="仿宋"/>
          <w:sz w:val="32"/>
          <w:szCs w:val="32"/>
        </w:rPr>
        <w:t>契机，聚焦大宗商品、</w:t>
      </w:r>
      <w:r>
        <w:rPr>
          <w:rFonts w:hint="eastAsia" w:ascii="仿宋" w:hAnsi="仿宋" w:eastAsia="仿宋" w:cs="仿宋"/>
          <w:sz w:val="32"/>
          <w:szCs w:val="32"/>
          <w:lang w:val="en-US" w:eastAsia="zh-CN"/>
        </w:rPr>
        <w:t>汽车、家电、</w:t>
      </w:r>
      <w:r>
        <w:rPr>
          <w:rFonts w:hint="eastAsia" w:ascii="仿宋" w:hAnsi="仿宋" w:eastAsia="仿宋" w:cs="仿宋"/>
          <w:sz w:val="32"/>
          <w:szCs w:val="32"/>
        </w:rPr>
        <w:t>餐饮、旅游等重点消费领域，进一步释放居民消费潜力。先后</w:t>
      </w:r>
      <w:r>
        <w:rPr>
          <w:rFonts w:hint="eastAsia" w:ascii="仿宋" w:hAnsi="仿宋" w:eastAsia="仿宋" w:cs="仿宋"/>
          <w:b w:val="0"/>
          <w:bCs w:val="0"/>
          <w:color w:val="auto"/>
          <w:w w:val="100"/>
          <w:sz w:val="32"/>
          <w:szCs w:val="32"/>
          <w:lang w:val="en-US" w:eastAsia="zh-CN"/>
        </w:rPr>
        <w:t>举办了</w:t>
      </w:r>
      <w:r>
        <w:rPr>
          <w:rFonts w:hint="eastAsia" w:ascii="仿宋" w:hAnsi="仿宋" w:eastAsia="仿宋" w:cs="仿宋"/>
          <w:b w:val="0"/>
          <w:bCs w:val="0"/>
          <w:color w:val="auto"/>
          <w:w w:val="100"/>
          <w:sz w:val="32"/>
          <w:szCs w:val="32"/>
          <w:u w:val="none"/>
          <w:lang w:val="en-US" w:eastAsia="zh-CN"/>
        </w:rPr>
        <w:t>芒果TV</w:t>
      </w:r>
      <w:r>
        <w:rPr>
          <w:rFonts w:hint="eastAsia" w:ascii="仿宋" w:hAnsi="仿宋" w:eastAsia="仿宋" w:cs="仿宋"/>
          <w:b w:val="0"/>
          <w:bCs w:val="0"/>
          <w:color w:val="auto"/>
          <w:w w:val="100"/>
          <w:sz w:val="32"/>
          <w:szCs w:val="32"/>
          <w:lang w:val="en-US" w:eastAsia="zh-CN"/>
        </w:rPr>
        <w:t>“2024隆回潮玩年货节”、</w:t>
      </w:r>
      <w:r>
        <w:rPr>
          <w:rFonts w:hint="eastAsia" w:ascii="仿宋" w:hAnsi="仿宋" w:eastAsia="仿宋" w:cs="仿宋"/>
          <w:b w:val="0"/>
          <w:bCs w:val="0"/>
          <w:color w:val="2B2B2B"/>
          <w:w w:val="100"/>
          <w:kern w:val="0"/>
          <w:sz w:val="32"/>
          <w:szCs w:val="32"/>
          <w:shd w:val="clear" w:color="auto" w:fill="FFFFFF"/>
          <w:lang w:val="en-US" w:eastAsia="zh-CN" w:bidi="ar"/>
        </w:rPr>
        <w:t>“2024隆回县家电家居家装购物节”、</w:t>
      </w:r>
      <w:r>
        <w:rPr>
          <w:rFonts w:hint="eastAsia" w:ascii="仿宋" w:hAnsi="仿宋" w:eastAsia="仿宋" w:cs="仿宋"/>
          <w:b w:val="0"/>
          <w:bCs w:val="0"/>
          <w:w w:val="100"/>
          <w:kern w:val="2"/>
          <w:sz w:val="32"/>
          <w:szCs w:val="32"/>
          <w:vertAlign w:val="baseline"/>
          <w:lang w:val="en-US" w:eastAsia="zh-CN" w:bidi="ar-SA"/>
        </w:rPr>
        <w:t>“惠购湘车”春秋季汽车展销会等促销活动共17场次。</w:t>
      </w:r>
      <w:r>
        <w:rPr>
          <w:rFonts w:hint="eastAsia" w:ascii="仿宋" w:hAnsi="仿宋" w:eastAsia="仿宋" w:cs="仿宋"/>
          <w:b w:val="0"/>
          <w:bCs w:val="0"/>
          <w:sz w:val="32"/>
          <w:szCs w:val="32"/>
          <w:lang w:val="en-US" w:eastAsia="zh-CN"/>
        </w:rPr>
        <w:t>“2024潮玩年货节”80余商家参展，吸引顾客10余万人次，拉动消费800万元以上。</w:t>
      </w:r>
      <w:r>
        <w:rPr>
          <w:rFonts w:hint="eastAsia" w:ascii="仿宋" w:hAnsi="仿宋" w:eastAsia="仿宋" w:cs="仿宋"/>
          <w:b w:val="0"/>
          <w:bCs w:val="0"/>
          <w:color w:val="2B2B2B"/>
          <w:w w:val="100"/>
          <w:kern w:val="0"/>
          <w:sz w:val="32"/>
          <w:szCs w:val="32"/>
          <w:shd w:val="clear" w:color="auto" w:fill="FFFFFF"/>
          <w:lang w:val="en-US" w:eastAsia="zh-CN" w:bidi="ar"/>
        </w:rPr>
        <w:t>隆回县家电家居家装购物节活动签单超过2000单，销售金额超过2500万元。</w:t>
      </w:r>
      <w:r>
        <w:rPr>
          <w:rFonts w:hint="eastAsia" w:ascii="仿宋" w:hAnsi="仿宋" w:eastAsia="仿宋" w:cs="仿宋"/>
          <w:b w:val="0"/>
          <w:bCs w:val="0"/>
          <w:w w:val="100"/>
          <w:sz w:val="32"/>
          <w:szCs w:val="32"/>
          <w:lang w:val="en-US" w:eastAsia="zh-CN"/>
        </w:rPr>
        <w:t>“两重”“两新”送解优专项活动</w:t>
      </w:r>
      <w:r>
        <w:rPr>
          <w:rFonts w:hint="eastAsia" w:ascii="仿宋" w:hAnsi="仿宋" w:eastAsia="仿宋" w:cs="仿宋"/>
          <w:b w:val="0"/>
          <w:bCs w:val="0"/>
          <w:i w:val="0"/>
          <w:color w:val="000000"/>
          <w:spacing w:val="0"/>
          <w:w w:val="100"/>
          <w:sz w:val="32"/>
          <w:szCs w:val="32"/>
          <w:lang w:val="en-US" w:eastAsia="zh-CN"/>
        </w:rPr>
        <w:t>助推消费品</w:t>
      </w:r>
      <w:r>
        <w:rPr>
          <w:rFonts w:hint="eastAsia" w:ascii="仿宋" w:hAnsi="仿宋" w:eastAsia="仿宋" w:cs="仿宋"/>
          <w:b w:val="0"/>
          <w:bCs w:val="0"/>
          <w:w w:val="100"/>
          <w:sz w:val="32"/>
          <w:szCs w:val="32"/>
          <w:lang w:val="en-US" w:eastAsia="zh-CN"/>
        </w:rPr>
        <w:t>“以旧换新”全面落实。</w:t>
      </w:r>
      <w:r>
        <w:rPr>
          <w:rFonts w:hint="eastAsia" w:ascii="仿宋" w:hAnsi="仿宋" w:eastAsia="仿宋" w:cs="仿宋"/>
          <w:b w:val="0"/>
          <w:bCs w:val="0"/>
          <w:sz w:val="32"/>
          <w:szCs w:val="32"/>
        </w:rPr>
        <w:t>“惠购湘车”春、秋季汽车展共销售汽车522余辆，实现销售总额5560万元，秋季汽车展政策性补贴54.7</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万元，秋季车</w:t>
      </w:r>
      <w:r>
        <w:rPr>
          <w:rFonts w:hint="eastAsia" w:ascii="仿宋" w:hAnsi="仿宋" w:eastAsia="仿宋" w:cs="仿宋"/>
          <w:b w:val="0"/>
          <w:bCs w:val="0"/>
          <w:w w:val="99"/>
          <w:sz w:val="32"/>
          <w:szCs w:val="32"/>
        </w:rPr>
        <w:t>展购新车“以旧换新”的比例达36.1%</w:t>
      </w:r>
      <w:r>
        <w:rPr>
          <w:rFonts w:hint="eastAsia" w:ascii="仿宋" w:hAnsi="仿宋" w:eastAsia="仿宋" w:cs="仿宋"/>
          <w:b w:val="0"/>
          <w:bCs w:val="0"/>
          <w:w w:val="99"/>
          <w:sz w:val="32"/>
          <w:szCs w:val="32"/>
          <w:lang w:val="en-US" w:eastAsia="zh-CN"/>
        </w:rPr>
        <w:t>。</w:t>
      </w:r>
    </w:p>
    <w:p w14:paraId="775544B8">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val="0"/>
          <w:bCs w:val="0"/>
          <w:w w:val="100"/>
          <w:sz w:val="32"/>
          <w:szCs w:val="32"/>
          <w:lang w:val="en-US" w:eastAsia="zh-CN"/>
        </w:rPr>
      </w:pPr>
      <w:r>
        <w:rPr>
          <w:rFonts w:hint="eastAsia" w:ascii="仿宋" w:hAnsi="仿宋" w:eastAsia="仿宋" w:cs="仿宋"/>
          <w:b/>
          <w:bCs/>
          <w:sz w:val="32"/>
          <w:szCs w:val="32"/>
          <w:lang w:val="en-US" w:eastAsia="zh-CN"/>
        </w:rPr>
        <w:t>4、强化</w:t>
      </w:r>
      <w:r>
        <w:rPr>
          <w:rFonts w:hint="eastAsia" w:ascii="仿宋" w:hAnsi="仿宋" w:eastAsia="仿宋" w:cs="仿宋"/>
          <w:b/>
          <w:bCs/>
          <w:sz w:val="32"/>
          <w:szCs w:val="32"/>
        </w:rPr>
        <w:t>企业帮扶</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力稳</w:t>
      </w:r>
      <w:r>
        <w:rPr>
          <w:rFonts w:hint="eastAsia" w:ascii="仿宋" w:hAnsi="仿宋" w:eastAsia="仿宋" w:cs="仿宋"/>
          <w:b/>
          <w:bCs/>
          <w:sz w:val="32"/>
          <w:szCs w:val="32"/>
        </w:rPr>
        <w:t>外贸基本盘。</w:t>
      </w:r>
      <w:r>
        <w:rPr>
          <w:rFonts w:hint="eastAsia" w:ascii="仿宋" w:hAnsi="仿宋" w:eastAsia="仿宋" w:cs="仿宋"/>
          <w:b w:val="0"/>
          <w:bCs w:val="0"/>
          <w:color w:val="000000"/>
          <w:w w:val="100"/>
          <w:sz w:val="32"/>
          <w:szCs w:val="32"/>
          <w:lang w:val="en-US" w:eastAsia="zh-CN"/>
        </w:rPr>
        <w:t>全面实施外贸稳增长政策，县委、县政府</w:t>
      </w:r>
      <w:r>
        <w:rPr>
          <w:rFonts w:hint="eastAsia" w:ascii="仿宋" w:hAnsi="仿宋" w:eastAsia="仿宋" w:cs="仿宋"/>
          <w:b w:val="0"/>
          <w:bCs w:val="0"/>
          <w:sz w:val="32"/>
          <w:szCs w:val="32"/>
          <w:lang w:val="en-US" w:eastAsia="zh-CN"/>
        </w:rPr>
        <w:t>主要领导亲自调度，切实为企业解决实际困难。</w:t>
      </w:r>
      <w:r>
        <w:rPr>
          <w:rFonts w:hint="eastAsia" w:ascii="仿宋" w:hAnsi="仿宋" w:eastAsia="仿宋" w:cs="仿宋"/>
          <w:b w:val="0"/>
          <w:bCs w:val="0"/>
          <w:color w:val="000000"/>
          <w:w w:val="100"/>
          <w:sz w:val="32"/>
          <w:szCs w:val="32"/>
          <w:lang w:val="en-US" w:eastAsia="zh-CN"/>
        </w:rPr>
        <w:t>开展政策宣传和督促指导，重点推进对湖南佳霖工艺公司、隆回三百科技园等外贸企业发展。</w:t>
      </w:r>
      <w:r>
        <w:rPr>
          <w:rFonts w:hint="eastAsia" w:ascii="仿宋" w:hAnsi="仿宋" w:eastAsia="仿宋" w:cs="仿宋"/>
          <w:b w:val="0"/>
          <w:bCs w:val="0"/>
          <w:color w:val="000000"/>
          <w:w w:val="90"/>
          <w:sz w:val="32"/>
          <w:szCs w:val="32"/>
          <w:lang w:val="en-US" w:eastAsia="zh-CN"/>
        </w:rPr>
        <w:t>做好外贸企业综合服务，重点培育有进出口实绩企业。</w:t>
      </w:r>
      <w:r>
        <w:rPr>
          <w:rFonts w:hint="eastAsia" w:ascii="仿宋" w:hAnsi="仿宋" w:eastAsia="仿宋" w:cs="仿宋"/>
          <w:b w:val="0"/>
          <w:bCs w:val="0"/>
          <w:w w:val="97"/>
          <w:sz w:val="32"/>
          <w:szCs w:val="32"/>
          <w:lang w:val="en-US" w:eastAsia="zh-CN"/>
        </w:rPr>
        <w:t>抓好</w:t>
      </w:r>
      <w:r>
        <w:rPr>
          <w:rFonts w:hint="eastAsia" w:ascii="仿宋" w:hAnsi="仿宋" w:eastAsia="仿宋" w:cs="仿宋"/>
          <w:b w:val="0"/>
          <w:bCs w:val="0"/>
          <w:w w:val="97"/>
          <w:sz w:val="32"/>
          <w:szCs w:val="32"/>
        </w:rPr>
        <w:t>业务培训</w:t>
      </w:r>
      <w:r>
        <w:rPr>
          <w:rFonts w:hint="eastAsia" w:ascii="仿宋" w:hAnsi="仿宋" w:eastAsia="仿宋" w:cs="仿宋"/>
          <w:b w:val="0"/>
          <w:bCs w:val="0"/>
          <w:w w:val="97"/>
          <w:sz w:val="32"/>
          <w:szCs w:val="32"/>
          <w:lang w:eastAsia="zh-CN"/>
        </w:rPr>
        <w:t>，</w:t>
      </w:r>
      <w:r>
        <w:rPr>
          <w:rFonts w:hint="eastAsia" w:ascii="仿宋" w:hAnsi="仿宋" w:eastAsia="仿宋" w:cs="仿宋"/>
          <w:b w:val="0"/>
          <w:bCs w:val="0"/>
          <w:w w:val="97"/>
          <w:sz w:val="32"/>
          <w:szCs w:val="32"/>
          <w:lang w:val="en-US" w:eastAsia="zh-CN"/>
        </w:rPr>
        <w:t>重点提升</w:t>
      </w:r>
      <w:r>
        <w:rPr>
          <w:rFonts w:hint="eastAsia" w:ascii="仿宋" w:hAnsi="仿宋" w:eastAsia="仿宋" w:cs="仿宋"/>
          <w:b w:val="0"/>
          <w:bCs w:val="0"/>
          <w:w w:val="97"/>
          <w:sz w:val="32"/>
          <w:szCs w:val="32"/>
          <w:lang w:eastAsia="zh-CN"/>
        </w:rPr>
        <w:t>外贸从业人员</w:t>
      </w:r>
      <w:r>
        <w:rPr>
          <w:rFonts w:hint="eastAsia" w:ascii="仿宋" w:hAnsi="仿宋" w:eastAsia="仿宋" w:cs="仿宋"/>
          <w:b w:val="0"/>
          <w:bCs w:val="0"/>
          <w:w w:val="97"/>
          <w:sz w:val="32"/>
          <w:szCs w:val="32"/>
          <w:lang w:val="en-US" w:eastAsia="zh-CN"/>
        </w:rPr>
        <w:t>业务</w:t>
      </w:r>
      <w:r>
        <w:rPr>
          <w:rFonts w:hint="eastAsia" w:ascii="仿宋" w:hAnsi="仿宋" w:eastAsia="仿宋" w:cs="仿宋"/>
          <w:b w:val="0"/>
          <w:bCs w:val="0"/>
          <w:w w:val="97"/>
          <w:sz w:val="32"/>
          <w:szCs w:val="32"/>
          <w:lang w:eastAsia="zh-CN"/>
        </w:rPr>
        <w:t>技能。</w:t>
      </w:r>
      <w:r>
        <w:rPr>
          <w:rFonts w:hint="eastAsia" w:ascii="仿宋" w:hAnsi="仿宋" w:eastAsia="仿宋" w:cs="仿宋"/>
          <w:b w:val="0"/>
          <w:bCs w:val="0"/>
          <w:w w:val="97"/>
          <w:sz w:val="32"/>
          <w:szCs w:val="32"/>
          <w:lang w:val="en-US" w:eastAsia="zh-CN"/>
        </w:rPr>
        <w:t>2024年，</w:t>
      </w:r>
      <w:r>
        <w:rPr>
          <w:rFonts w:hint="eastAsia" w:ascii="仿宋" w:hAnsi="仿宋" w:eastAsia="仿宋" w:cs="仿宋"/>
          <w:b w:val="0"/>
          <w:bCs w:val="0"/>
          <w:sz w:val="32"/>
          <w:szCs w:val="32"/>
          <w:lang w:val="en-US" w:eastAsia="zh-CN"/>
        </w:rPr>
        <w:t>实绩外贸进出口企业达23家，新增“破零倍增”企业7家，5家企业成功申报了“白名单”外贸企业。湘粤港“跨境一锁”邵阳首次发车仪式在隆回成功举办，</w:t>
      </w:r>
      <w:r>
        <w:rPr>
          <w:rFonts w:hint="eastAsia" w:ascii="仿宋" w:hAnsi="仿宋" w:eastAsia="仿宋" w:cs="仿宋"/>
          <w:b w:val="0"/>
          <w:sz w:val="32"/>
          <w:szCs w:val="32"/>
          <w:u w:val="none"/>
          <w:lang w:val="en-US" w:eastAsia="zh-CN"/>
        </w:rPr>
        <w:t>宝庆农产品进出口有限公司的龙牙百合可以从隆回直达香港。</w:t>
      </w:r>
    </w:p>
    <w:p w14:paraId="1AB65DB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bCs/>
          <w:w w:val="100"/>
          <w:sz w:val="32"/>
          <w:szCs w:val="32"/>
          <w:lang w:val="en-US" w:eastAsia="zh-CN"/>
        </w:rPr>
        <w:t>5、加强人才培育，推动电商（商贸）集聚发展</w:t>
      </w:r>
      <w:r>
        <w:rPr>
          <w:rFonts w:hint="eastAsia" w:ascii="仿宋" w:hAnsi="仿宋" w:eastAsia="仿宋" w:cs="仿宋"/>
          <w:b w:val="0"/>
          <w:bCs w:val="0"/>
          <w:w w:val="100"/>
          <w:sz w:val="32"/>
          <w:szCs w:val="32"/>
          <w:lang w:val="en-US" w:eastAsia="zh-CN"/>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lang w:eastAsia="zh-CN"/>
        </w:rPr>
        <w:t>构筑消费新场景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2024年组织</w:t>
      </w:r>
      <w:r>
        <w:rPr>
          <w:rFonts w:hint="eastAsia" w:ascii="仿宋" w:hAnsi="仿宋" w:eastAsia="仿宋" w:cs="仿宋"/>
          <w:b w:val="0"/>
          <w:bCs w:val="0"/>
          <w:sz w:val="32"/>
          <w:szCs w:val="32"/>
          <w:lang w:eastAsia="zh-CN"/>
        </w:rPr>
        <w:t>参加全市</w:t>
      </w:r>
      <w:r>
        <w:rPr>
          <w:rFonts w:hint="eastAsia" w:ascii="仿宋" w:hAnsi="仿宋" w:eastAsia="仿宋" w:cs="仿宋"/>
          <w:b w:val="0"/>
          <w:bCs w:val="0"/>
          <w:sz w:val="32"/>
          <w:szCs w:val="32"/>
          <w:lang w:val="en-US" w:eastAsia="zh-CN"/>
        </w:rPr>
        <w:t>2024电商技能大赛，选手朱立风荣获大赛二等奖。组织9家涉农电商企业</w:t>
      </w:r>
      <w:r>
        <w:rPr>
          <w:rFonts w:hint="eastAsia" w:ascii="仿宋" w:hAnsi="仿宋" w:eastAsia="仿宋" w:cs="仿宋"/>
          <w:b w:val="0"/>
          <w:bCs w:val="0"/>
          <w:w w:val="94"/>
          <w:sz w:val="32"/>
          <w:szCs w:val="32"/>
          <w:lang w:val="en-US" w:eastAsia="zh-CN"/>
        </w:rPr>
        <w:t>参加“邵阳红、年年红”邵阳市第二届新春年货节活动，</w:t>
      </w:r>
      <w:r>
        <w:rPr>
          <w:rFonts w:hint="eastAsia" w:ascii="仿宋" w:hAnsi="仿宋" w:eastAsia="仿宋" w:cs="仿宋"/>
          <w:b w:val="0"/>
          <w:bCs w:val="0"/>
          <w:sz w:val="32"/>
          <w:szCs w:val="32"/>
          <w:lang w:val="en-US" w:eastAsia="zh-CN"/>
        </w:rPr>
        <w:t>山界红糖、老大观等农产品</w:t>
      </w:r>
      <w:r>
        <w:rPr>
          <w:rFonts w:hint="eastAsia" w:ascii="仿宋" w:hAnsi="仿宋" w:eastAsia="仿宋" w:cs="仿宋"/>
          <w:b w:val="0"/>
          <w:bCs w:val="0"/>
          <w:w w:val="94"/>
          <w:sz w:val="32"/>
          <w:szCs w:val="32"/>
          <w:lang w:val="en-US" w:eastAsia="zh-CN"/>
        </w:rPr>
        <w:t>销售额达</w:t>
      </w:r>
      <w:r>
        <w:rPr>
          <w:rFonts w:hint="eastAsia" w:ascii="仿宋" w:hAnsi="仿宋" w:eastAsia="仿宋" w:cs="仿宋"/>
          <w:b w:val="0"/>
          <w:bCs w:val="0"/>
          <w:w w:val="98"/>
          <w:sz w:val="32"/>
          <w:szCs w:val="32"/>
          <w:lang w:val="en-US" w:eastAsia="zh-CN"/>
        </w:rPr>
        <w:t>60余万元。“2024隆回潮玩年货节暨网上年货节”活动开展直播20余场，销售额达160余万元。</w:t>
      </w:r>
      <w:r>
        <w:rPr>
          <w:rFonts w:hint="eastAsia" w:ascii="仿宋" w:hAnsi="仿宋" w:eastAsia="仿宋" w:cs="仿宋"/>
          <w:b w:val="0"/>
          <w:bCs w:val="0"/>
          <w:color w:val="auto"/>
          <w:sz w:val="32"/>
          <w:szCs w:val="32"/>
          <w:lang w:val="en-US" w:eastAsia="zh-CN"/>
        </w:rPr>
        <w:t>我县电商企业、直播达人完成网络零售额达6.7亿元。</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lang w:eastAsia="zh-CN"/>
        </w:rPr>
        <w:t>拓宽销售</w:t>
      </w:r>
      <w:r>
        <w:rPr>
          <w:rFonts w:hint="eastAsia" w:ascii="仿宋" w:hAnsi="仿宋" w:eastAsia="仿宋" w:cs="仿宋"/>
          <w:b/>
          <w:bCs/>
          <w:sz w:val="32"/>
          <w:szCs w:val="32"/>
          <w:lang w:val="en-US" w:eastAsia="zh-CN"/>
        </w:rPr>
        <w:t>新</w:t>
      </w:r>
      <w:r>
        <w:rPr>
          <w:rFonts w:hint="eastAsia" w:ascii="仿宋" w:hAnsi="仿宋" w:eastAsia="仿宋" w:cs="仿宋"/>
          <w:b/>
          <w:bCs/>
          <w:sz w:val="32"/>
          <w:szCs w:val="32"/>
          <w:lang w:eastAsia="zh-CN"/>
        </w:rPr>
        <w:t>渠道</w:t>
      </w:r>
      <w:r>
        <w:rPr>
          <w:rFonts w:hint="eastAsia" w:ascii="仿宋" w:hAnsi="仿宋" w:eastAsia="仿宋" w:cs="仿宋"/>
          <w:b/>
          <w:bCs/>
          <w:w w:val="98"/>
          <w:sz w:val="32"/>
          <w:szCs w:val="32"/>
          <w:lang w:eastAsia="zh-CN"/>
        </w:rPr>
        <w:t>。</w:t>
      </w:r>
      <w:r>
        <w:rPr>
          <w:rFonts w:hint="eastAsia" w:ascii="仿宋" w:hAnsi="仿宋" w:eastAsia="仿宋" w:cs="仿宋"/>
          <w:b w:val="0"/>
          <w:bCs w:val="0"/>
          <w:w w:val="98"/>
          <w:sz w:val="32"/>
          <w:szCs w:val="32"/>
          <w:lang w:val="en-US" w:eastAsia="zh-CN"/>
        </w:rPr>
        <w:t>金银花、龙牙百合产业实现数字化转型与品牌升级。4月份湖南盛世丰花和湖南省现代许丰农业2家企业与阿里巴巴签订了2024年度头部商家战略协议。盛世丰花已与国家广电总局央广网平台达成合作意向，“消费帮扶，国货当红”地区试点运营中心将落地隆回。</w:t>
      </w:r>
      <w:r>
        <w:rPr>
          <w:rFonts w:hint="eastAsia" w:ascii="仿宋" w:hAnsi="仿宋" w:eastAsia="仿宋" w:cs="仿宋"/>
          <w:b/>
          <w:bCs/>
          <w:w w:val="98"/>
          <w:sz w:val="32"/>
          <w:szCs w:val="32"/>
          <w:lang w:val="en-US" w:eastAsia="zh-CN"/>
        </w:rPr>
        <w:t>三是推进直播带货。</w:t>
      </w:r>
      <w:r>
        <w:rPr>
          <w:rFonts w:hint="eastAsia" w:ascii="仿宋" w:hAnsi="仿宋" w:eastAsia="仿宋" w:cs="仿宋"/>
          <w:b w:val="0"/>
          <w:bCs w:val="0"/>
          <w:w w:val="98"/>
          <w:sz w:val="32"/>
          <w:szCs w:val="32"/>
          <w:lang w:val="en-US" w:eastAsia="zh-CN"/>
        </w:rPr>
        <w:t>5月县电商协会在盛世丰花厂区内建成近500平方米开放式直播基地。</w:t>
      </w:r>
      <w:r>
        <w:rPr>
          <w:rFonts w:hint="eastAsia" w:ascii="仿宋" w:hAnsi="仿宋" w:eastAsia="仿宋" w:cs="仿宋"/>
          <w:b w:val="0"/>
          <w:bCs w:val="0"/>
          <w:color w:val="auto"/>
          <w:sz w:val="32"/>
          <w:szCs w:val="32"/>
          <w:lang w:val="en-US" w:eastAsia="zh-CN"/>
        </w:rPr>
        <w:t>培育三农达人，扎根三农领域，千蚁优选、广少、农村留守青年、90后村支书小王、麒麟村农产品直播电商进农村，助推农产品（西瓜10万斤、辣椒50万斤、油炸豆腐5万斤）销售额达500万元，带动农民增收致富。</w:t>
      </w:r>
      <w:r>
        <w:rPr>
          <w:rFonts w:hint="eastAsia" w:ascii="仿宋" w:hAnsi="仿宋" w:eastAsia="仿宋" w:cs="仿宋"/>
          <w:b/>
          <w:bCs/>
          <w:sz w:val="32"/>
          <w:szCs w:val="32"/>
          <w:lang w:val="en-US" w:eastAsia="zh-CN"/>
        </w:rPr>
        <w:t>四是引流旅游发展</w:t>
      </w:r>
      <w:r>
        <w:rPr>
          <w:rFonts w:hint="eastAsia" w:ascii="仿宋" w:hAnsi="仿宋" w:eastAsia="仿宋" w:cs="仿宋"/>
          <w:b w:val="0"/>
          <w:bCs w:val="0"/>
          <w:sz w:val="32"/>
          <w:szCs w:val="32"/>
          <w:lang w:val="en-US" w:eastAsia="zh-CN"/>
        </w:rPr>
        <w:t>。9月初，“电商乐动·魅力隆回”活动在隆回月亮湾举行。</w:t>
      </w:r>
      <w:r>
        <w:rPr>
          <w:rFonts w:hint="eastAsia" w:ascii="仿宋" w:hAnsi="仿宋" w:eastAsia="仿宋" w:cs="仿宋"/>
          <w:b w:val="0"/>
          <w:bCs w:val="0"/>
          <w:color w:val="auto"/>
          <w:sz w:val="32"/>
          <w:szCs w:val="32"/>
          <w:lang w:val="en-US" w:eastAsia="zh-CN"/>
        </w:rPr>
        <w:t>邀请千万级博主“爱唱歌骡子”与本地近50名本地艺人互动，为隆回的旅游景点线上引流近5万人，文旅相关宣传片视频线上观看量达1.5亿次，现场参观人数1.2万人次以上。爱唱歌骡子”团队与湖南盛世丰花达签订了1年合作协议。活动极大促进我县新形势下“电商+”与促消费有效结合。</w:t>
      </w:r>
    </w:p>
    <w:p w14:paraId="5651D6D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bCs/>
          <w:w w:val="100"/>
          <w:sz w:val="32"/>
          <w:szCs w:val="32"/>
          <w:lang w:val="en-US" w:eastAsia="zh-CN"/>
        </w:rPr>
        <w:t>6、</w:t>
      </w:r>
      <w:r>
        <w:rPr>
          <w:rFonts w:hint="eastAsia" w:ascii="仿宋" w:hAnsi="仿宋" w:eastAsia="仿宋" w:cs="仿宋"/>
          <w:b/>
          <w:w w:val="100"/>
          <w:sz w:val="32"/>
          <w:szCs w:val="32"/>
          <w:u w:val="none"/>
          <w:lang w:val="en-US" w:eastAsia="zh-CN"/>
        </w:rPr>
        <w:t>市场</w:t>
      </w:r>
      <w:r>
        <w:rPr>
          <w:rFonts w:hint="eastAsia" w:ascii="仿宋" w:hAnsi="仿宋" w:eastAsia="仿宋" w:cs="仿宋"/>
          <w:b/>
          <w:bCs/>
          <w:color w:val="000000"/>
          <w:w w:val="95"/>
          <w:kern w:val="0"/>
          <w:sz w:val="32"/>
          <w:szCs w:val="32"/>
          <w:lang w:val="en-US" w:eastAsia="zh-CN" w:bidi="ar"/>
        </w:rPr>
        <w:t>建设推进有序，项目申报成效明显。</w:t>
      </w:r>
      <w:r>
        <w:rPr>
          <w:rFonts w:hint="eastAsia" w:ascii="仿宋" w:hAnsi="仿宋" w:eastAsia="仿宋" w:cs="仿宋"/>
          <w:b w:val="0"/>
          <w:bCs w:val="0"/>
          <w:color w:val="000000"/>
          <w:sz w:val="32"/>
          <w:szCs w:val="32"/>
          <w:lang w:val="en-US" w:eastAsia="zh-CN"/>
        </w:rPr>
        <w:t>隆回县安全食品冷链物流智慧城项目土石方工程已经完成82%；市场内高压杆线100%拆除。</w:t>
      </w:r>
      <w:r>
        <w:rPr>
          <w:rFonts w:hint="eastAsia" w:ascii="仿宋" w:hAnsi="仿宋" w:eastAsia="仿宋" w:cs="仿宋"/>
          <w:b w:val="0"/>
          <w:bCs w:val="0"/>
          <w:sz w:val="32"/>
          <w:szCs w:val="32"/>
          <w:lang w:eastAsia="zh-CN"/>
        </w:rPr>
        <w:t>“山界红糖”</w:t>
      </w:r>
      <w:r>
        <w:rPr>
          <w:rFonts w:hint="eastAsia" w:ascii="仿宋" w:hAnsi="仿宋" w:eastAsia="仿宋" w:cs="仿宋"/>
          <w:b w:val="0"/>
          <w:bCs w:val="0"/>
          <w:sz w:val="32"/>
          <w:szCs w:val="32"/>
          <w:lang w:val="en-US" w:eastAsia="zh-CN"/>
        </w:rPr>
        <w:t>完成</w:t>
      </w:r>
      <w:r>
        <w:rPr>
          <w:rFonts w:hint="eastAsia" w:ascii="仿宋" w:hAnsi="仿宋" w:eastAsia="仿宋" w:cs="仿宋"/>
          <w:b w:val="0"/>
          <w:bCs w:val="0"/>
          <w:sz w:val="32"/>
          <w:szCs w:val="32"/>
          <w:lang w:eastAsia="zh-CN"/>
        </w:rPr>
        <w:t>湖南老字号申报。</w:t>
      </w:r>
      <w:r>
        <w:rPr>
          <w:rFonts w:hint="eastAsia" w:ascii="仿宋" w:hAnsi="仿宋" w:eastAsia="仿宋" w:cs="仿宋"/>
          <w:b w:val="0"/>
          <w:bCs w:val="0"/>
          <w:w w:val="95"/>
          <w:sz w:val="32"/>
          <w:szCs w:val="32"/>
          <w:lang w:eastAsia="zh-CN"/>
        </w:rPr>
        <w:t>推荐</w:t>
      </w:r>
      <w:r>
        <w:rPr>
          <w:rFonts w:hint="eastAsia" w:ascii="仿宋" w:hAnsi="仿宋" w:eastAsia="仿宋" w:cs="仿宋"/>
          <w:b w:val="0"/>
          <w:bCs w:val="0"/>
          <w:w w:val="95"/>
          <w:sz w:val="32"/>
          <w:szCs w:val="32"/>
          <w:lang w:val="en-US" w:eastAsia="zh-CN"/>
        </w:rPr>
        <w:t>隆回佳鼎木业</w:t>
      </w:r>
      <w:r>
        <w:rPr>
          <w:rFonts w:hint="eastAsia" w:ascii="仿宋" w:hAnsi="仿宋" w:eastAsia="仿宋" w:cs="仿宋"/>
          <w:b w:val="0"/>
          <w:bCs w:val="0"/>
          <w:w w:val="95"/>
          <w:sz w:val="32"/>
          <w:szCs w:val="32"/>
        </w:rPr>
        <w:t>有限公司</w:t>
      </w:r>
      <w:r>
        <w:rPr>
          <w:rFonts w:hint="eastAsia" w:ascii="仿宋" w:hAnsi="仿宋" w:eastAsia="仿宋" w:cs="仿宋"/>
          <w:b w:val="0"/>
          <w:bCs w:val="0"/>
          <w:w w:val="95"/>
          <w:sz w:val="32"/>
          <w:szCs w:val="32"/>
          <w:lang w:eastAsia="zh-CN"/>
        </w:rPr>
        <w:t>、</w:t>
      </w:r>
      <w:r>
        <w:rPr>
          <w:rFonts w:hint="eastAsia" w:ascii="仿宋" w:hAnsi="仿宋" w:eastAsia="仿宋" w:cs="仿宋"/>
          <w:b w:val="0"/>
          <w:bCs w:val="0"/>
          <w:w w:val="95"/>
          <w:sz w:val="32"/>
          <w:szCs w:val="32"/>
          <w:lang w:val="en-US" w:eastAsia="zh-CN"/>
        </w:rPr>
        <w:t>隆回正霖电器贸易有限公司2 家企业</w:t>
      </w:r>
      <w:r>
        <w:rPr>
          <w:rFonts w:hint="eastAsia" w:ascii="仿宋" w:hAnsi="仿宋" w:eastAsia="仿宋" w:cs="仿宋"/>
          <w:b w:val="0"/>
          <w:bCs w:val="0"/>
          <w:w w:val="95"/>
          <w:sz w:val="32"/>
          <w:szCs w:val="32"/>
          <w:lang w:eastAsia="zh-CN"/>
        </w:rPr>
        <w:t>申</w:t>
      </w:r>
      <w:r>
        <w:rPr>
          <w:rFonts w:hint="eastAsia" w:ascii="仿宋" w:hAnsi="仿宋" w:eastAsia="仿宋" w:cs="仿宋"/>
          <w:b w:val="0"/>
          <w:bCs w:val="0"/>
          <w:w w:val="95"/>
          <w:sz w:val="32"/>
          <w:szCs w:val="32"/>
        </w:rPr>
        <w:t>报全国废旧家电家具等再生资源回收体系建设第一批典型企业</w:t>
      </w:r>
      <w:r>
        <w:rPr>
          <w:rFonts w:hint="eastAsia" w:ascii="仿宋" w:hAnsi="仿宋" w:eastAsia="仿宋" w:cs="仿宋"/>
          <w:b w:val="0"/>
          <w:bCs w:val="0"/>
          <w:w w:val="95"/>
          <w:sz w:val="32"/>
          <w:szCs w:val="32"/>
          <w:lang w:eastAsia="zh-CN"/>
        </w:rPr>
        <w:t>。</w:t>
      </w:r>
      <w:r>
        <w:rPr>
          <w:rFonts w:hint="eastAsia" w:ascii="仿宋" w:hAnsi="仿宋" w:eastAsia="仿宋" w:cs="仿宋"/>
          <w:b w:val="0"/>
          <w:bCs w:val="0"/>
          <w:sz w:val="32"/>
          <w:szCs w:val="32"/>
          <w:u w:val="none"/>
          <w:vertAlign w:val="baseline"/>
          <w:lang w:val="en-US" w:eastAsia="zh-CN" w:bidi="ar-SA"/>
        </w:rPr>
        <w:t>成功</w:t>
      </w:r>
      <w:r>
        <w:rPr>
          <w:rFonts w:hint="eastAsia" w:ascii="仿宋" w:hAnsi="仿宋" w:eastAsia="仿宋" w:cs="仿宋"/>
          <w:b w:val="0"/>
          <w:bCs w:val="0"/>
          <w:kern w:val="2"/>
          <w:sz w:val="32"/>
          <w:szCs w:val="32"/>
          <w:vertAlign w:val="baseline"/>
          <w:lang w:val="en-US" w:eastAsia="zh-CN" w:bidi="ar-SA"/>
        </w:rPr>
        <w:t>申报</w:t>
      </w:r>
      <w:r>
        <w:rPr>
          <w:rFonts w:hint="eastAsia" w:ascii="仿宋" w:hAnsi="仿宋" w:eastAsia="仿宋" w:cs="仿宋"/>
          <w:b w:val="0"/>
          <w:bCs w:val="0"/>
          <w:sz w:val="32"/>
          <w:szCs w:val="32"/>
          <w:vertAlign w:val="baseline"/>
          <w:lang w:val="en-US" w:eastAsia="zh-CN" w:bidi="ar-SA"/>
        </w:rPr>
        <w:t>“早安隆回”特色街区省级夜间消费聚集区</w:t>
      </w:r>
      <w:r>
        <w:rPr>
          <w:rFonts w:hint="eastAsia" w:ascii="仿宋" w:hAnsi="仿宋" w:eastAsia="仿宋" w:cs="仿宋"/>
          <w:b w:val="0"/>
          <w:bCs w:val="0"/>
          <w:kern w:val="2"/>
          <w:sz w:val="32"/>
          <w:szCs w:val="32"/>
          <w:vertAlign w:val="baseline"/>
          <w:lang w:val="en-US" w:eastAsia="zh-CN" w:bidi="ar-SA"/>
        </w:rPr>
        <w:t>。</w:t>
      </w:r>
      <w:r>
        <w:rPr>
          <w:rFonts w:hint="eastAsia" w:ascii="仿宋" w:hAnsi="仿宋" w:eastAsia="仿宋" w:cs="仿宋"/>
          <w:b w:val="0"/>
          <w:bCs w:val="0"/>
          <w:w w:val="100"/>
          <w:kern w:val="2"/>
          <w:sz w:val="32"/>
          <w:szCs w:val="32"/>
          <w:vertAlign w:val="baseline"/>
          <w:lang w:val="en-US" w:eastAsia="zh-CN" w:bidi="ar-SA"/>
        </w:rPr>
        <w:t>成功申报全国县域商业“领跑县”。</w:t>
      </w:r>
    </w:p>
    <w:p w14:paraId="02C629AD">
      <w:pPr>
        <w:pStyle w:val="5"/>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存在的问题</w:t>
      </w:r>
    </w:p>
    <w:p w14:paraId="11FC63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我单位乡村振兴预算不足，存在很大的资金缺口，导致乡村振兴支出相关支出在预算执行方面有难度。</w:t>
      </w:r>
    </w:p>
    <w:p w14:paraId="55D2865F">
      <w:pPr>
        <w:pStyle w:val="5"/>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改进措施及有关建议</w:t>
      </w:r>
    </w:p>
    <w:p w14:paraId="6F3DE57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建议县财政尽量保证乡村振兴工作经费能足额预算。</w:t>
      </w:r>
    </w:p>
    <w:p w14:paraId="7B52DB6B">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报告应包括以下附件：</w:t>
      </w:r>
    </w:p>
    <w:p w14:paraId="27E826F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1.部门整体支出绩效评价基础数据表</w:t>
      </w:r>
    </w:p>
    <w:p w14:paraId="2E13CD07">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2.部门整体支出绩效自评表</w:t>
      </w:r>
    </w:p>
    <w:p w14:paraId="401F9BA6">
      <w:pPr>
        <w:spacing w:line="560" w:lineRule="exact"/>
        <w:rPr>
          <w:rFonts w:hint="eastAsia" w:ascii="仿宋" w:hAnsi="仿宋" w:eastAsia="仿宋" w:cs="仿宋"/>
          <w:kern w:val="0"/>
          <w:sz w:val="32"/>
          <w:szCs w:val="32"/>
        </w:rPr>
      </w:pPr>
    </w:p>
    <w:p w14:paraId="13BA6C99">
      <w:pPr>
        <w:spacing w:line="560" w:lineRule="exact"/>
        <w:rPr>
          <w:rFonts w:hint="eastAsia" w:ascii="仿宋" w:hAnsi="仿宋" w:eastAsia="仿宋" w:cs="仿宋"/>
          <w:kern w:val="0"/>
          <w:sz w:val="32"/>
          <w:szCs w:val="32"/>
        </w:rPr>
      </w:pPr>
    </w:p>
    <w:p w14:paraId="62D12A30">
      <w:pPr>
        <w:spacing w:line="560" w:lineRule="exact"/>
        <w:rPr>
          <w:rFonts w:hint="eastAsia" w:ascii="仿宋" w:hAnsi="仿宋" w:eastAsia="仿宋" w:cs="仿宋"/>
          <w:kern w:val="0"/>
          <w:sz w:val="32"/>
          <w:szCs w:val="32"/>
        </w:rPr>
      </w:pPr>
    </w:p>
    <w:p w14:paraId="4CB88F5B">
      <w:pPr>
        <w:spacing w:line="560" w:lineRule="exact"/>
        <w:rPr>
          <w:rFonts w:hint="eastAsia" w:ascii="仿宋" w:hAnsi="仿宋" w:eastAsia="仿宋" w:cs="仿宋"/>
          <w:kern w:val="0"/>
          <w:sz w:val="32"/>
          <w:szCs w:val="32"/>
        </w:rPr>
      </w:pPr>
    </w:p>
    <w:p w14:paraId="66110EDC">
      <w:pPr>
        <w:spacing w:line="560" w:lineRule="exact"/>
        <w:rPr>
          <w:rFonts w:hint="eastAsia" w:ascii="仿宋" w:hAnsi="仿宋" w:eastAsia="仿宋" w:cs="仿宋"/>
          <w:kern w:val="0"/>
          <w:sz w:val="32"/>
          <w:szCs w:val="32"/>
        </w:rPr>
      </w:pPr>
    </w:p>
    <w:p w14:paraId="3E7DACA1">
      <w:pPr>
        <w:spacing w:line="560" w:lineRule="exact"/>
        <w:rPr>
          <w:rFonts w:hint="eastAsia" w:ascii="仿宋" w:hAnsi="仿宋" w:eastAsia="仿宋" w:cs="仿宋"/>
          <w:kern w:val="0"/>
          <w:sz w:val="32"/>
          <w:szCs w:val="32"/>
        </w:rPr>
      </w:pPr>
    </w:p>
    <w:p w14:paraId="768DD23E">
      <w:pPr>
        <w:spacing w:line="560" w:lineRule="exact"/>
        <w:rPr>
          <w:rFonts w:hint="eastAsia" w:ascii="仿宋" w:hAnsi="仿宋" w:eastAsia="仿宋" w:cs="仿宋"/>
          <w:kern w:val="0"/>
          <w:sz w:val="24"/>
          <w:szCs w:val="24"/>
        </w:rPr>
      </w:pPr>
    </w:p>
    <w:p w14:paraId="0A6FA8E1">
      <w:pPr>
        <w:spacing w:line="560" w:lineRule="exact"/>
        <w:rPr>
          <w:rFonts w:hint="eastAsia" w:ascii="仿宋" w:hAnsi="仿宋" w:eastAsia="仿宋" w:cs="仿宋"/>
          <w:kern w:val="0"/>
          <w:sz w:val="24"/>
          <w:szCs w:val="24"/>
        </w:rPr>
      </w:pPr>
    </w:p>
    <w:p w14:paraId="69BDF0B7">
      <w:pPr>
        <w:spacing w:line="560" w:lineRule="exact"/>
        <w:rPr>
          <w:rFonts w:hint="eastAsia" w:ascii="仿宋" w:hAnsi="仿宋" w:eastAsia="仿宋" w:cs="仿宋"/>
          <w:kern w:val="0"/>
          <w:sz w:val="24"/>
          <w:szCs w:val="24"/>
        </w:rPr>
      </w:pPr>
    </w:p>
    <w:p w14:paraId="47D865D2">
      <w:pPr>
        <w:spacing w:line="560" w:lineRule="exact"/>
        <w:rPr>
          <w:rFonts w:hint="eastAsia" w:ascii="仿宋" w:hAnsi="仿宋" w:eastAsia="仿宋" w:cs="仿宋"/>
          <w:kern w:val="0"/>
          <w:sz w:val="24"/>
          <w:szCs w:val="24"/>
        </w:rPr>
      </w:pPr>
    </w:p>
    <w:p w14:paraId="4DCC758A">
      <w:pPr>
        <w:spacing w:line="560" w:lineRule="exact"/>
        <w:rPr>
          <w:rFonts w:hint="eastAsia" w:ascii="仿宋" w:hAnsi="仿宋" w:eastAsia="仿宋" w:cs="仿宋"/>
          <w:kern w:val="0"/>
          <w:sz w:val="24"/>
          <w:szCs w:val="24"/>
        </w:rPr>
      </w:pPr>
    </w:p>
    <w:p w14:paraId="2A6BDBE6">
      <w:pPr>
        <w:spacing w:line="560" w:lineRule="exact"/>
        <w:rPr>
          <w:rFonts w:hint="eastAsia" w:ascii="仿宋" w:hAnsi="仿宋" w:eastAsia="仿宋" w:cs="仿宋"/>
          <w:kern w:val="0"/>
          <w:sz w:val="24"/>
          <w:szCs w:val="24"/>
        </w:rPr>
      </w:pPr>
    </w:p>
    <w:p w14:paraId="440F860E">
      <w:pPr>
        <w:spacing w:line="560" w:lineRule="exact"/>
        <w:rPr>
          <w:rFonts w:hint="eastAsia" w:ascii="仿宋" w:hAnsi="仿宋" w:eastAsia="仿宋" w:cs="仿宋"/>
          <w:kern w:val="0"/>
          <w:sz w:val="24"/>
          <w:szCs w:val="24"/>
        </w:rPr>
      </w:pPr>
    </w:p>
    <w:p w14:paraId="490900B9">
      <w:pPr>
        <w:spacing w:line="560" w:lineRule="exact"/>
        <w:rPr>
          <w:rFonts w:hint="eastAsia" w:ascii="仿宋" w:hAnsi="仿宋" w:eastAsia="仿宋" w:cs="仿宋"/>
          <w:kern w:val="0"/>
          <w:sz w:val="24"/>
          <w:szCs w:val="24"/>
        </w:rPr>
      </w:pPr>
    </w:p>
    <w:p w14:paraId="4D20C883">
      <w:pPr>
        <w:spacing w:line="560" w:lineRule="exact"/>
        <w:rPr>
          <w:rFonts w:hint="eastAsia" w:ascii="仿宋" w:hAnsi="仿宋" w:eastAsia="仿宋" w:cs="仿宋"/>
          <w:kern w:val="0"/>
          <w:sz w:val="24"/>
          <w:szCs w:val="24"/>
        </w:rPr>
      </w:pPr>
    </w:p>
    <w:p w14:paraId="6AED243F">
      <w:pPr>
        <w:pStyle w:val="5"/>
        <w:rPr>
          <w:rFonts w:hint="eastAsia"/>
        </w:rPr>
      </w:pPr>
    </w:p>
    <w:p w14:paraId="0C153995">
      <w:pPr>
        <w:spacing w:line="560" w:lineRule="exact"/>
        <w:rPr>
          <w:rFonts w:hint="eastAsia" w:ascii="仿宋" w:hAnsi="仿宋" w:eastAsia="仿宋" w:cs="仿宋"/>
          <w:kern w:val="0"/>
          <w:sz w:val="24"/>
          <w:szCs w:val="24"/>
        </w:rPr>
      </w:pPr>
    </w:p>
    <w:p w14:paraId="14BEA813">
      <w:pPr>
        <w:spacing w:line="560" w:lineRule="exact"/>
        <w:rPr>
          <w:rFonts w:hint="eastAsia" w:ascii="仿宋" w:hAnsi="仿宋" w:eastAsia="仿宋" w:cs="仿宋"/>
          <w:kern w:val="0"/>
          <w:sz w:val="24"/>
          <w:szCs w:val="24"/>
        </w:rPr>
      </w:pPr>
    </w:p>
    <w:p w14:paraId="4A5172C9">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406048C0">
      <w:pPr>
        <w:pStyle w:val="2"/>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1"/>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3131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23B1C02A">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noWrap w:val="0"/>
            <w:vAlign w:val="center"/>
          </w:tcPr>
          <w:p w14:paraId="4D508517">
            <w:pPr>
              <w:pStyle w:val="2"/>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隆回县商务局</w:t>
            </w:r>
          </w:p>
        </w:tc>
      </w:tr>
      <w:tr w14:paraId="2B23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noWrap w:val="0"/>
            <w:vAlign w:val="center"/>
          </w:tcPr>
          <w:p w14:paraId="763911F8">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noWrap w:val="0"/>
            <w:vAlign w:val="center"/>
          </w:tcPr>
          <w:p w14:paraId="57CA9729">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noWrap w:val="0"/>
            <w:vAlign w:val="center"/>
          </w:tcPr>
          <w:p w14:paraId="6D43251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2023年实际在职人数</w:t>
            </w:r>
          </w:p>
        </w:tc>
        <w:tc>
          <w:tcPr>
            <w:tcW w:w="1838" w:type="dxa"/>
            <w:gridSpan w:val="2"/>
            <w:noWrap w:val="0"/>
            <w:vAlign w:val="center"/>
          </w:tcPr>
          <w:p w14:paraId="20449BF1">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2E52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noWrap w:val="0"/>
            <w:vAlign w:val="center"/>
          </w:tcPr>
          <w:p w14:paraId="12893FB9">
            <w:pPr>
              <w:pStyle w:val="2"/>
              <w:jc w:val="center"/>
              <w:rPr>
                <w:rFonts w:hint="eastAsia" w:ascii="仿宋" w:hAnsi="仿宋" w:eastAsia="仿宋" w:cs="仿宋"/>
                <w:b w:val="0"/>
                <w:bCs w:val="0"/>
                <w:kern w:val="0"/>
                <w:sz w:val="18"/>
                <w:szCs w:val="18"/>
                <w:vertAlign w:val="baseline"/>
                <w:lang w:eastAsia="zh-CN"/>
              </w:rPr>
            </w:pPr>
          </w:p>
        </w:tc>
        <w:tc>
          <w:tcPr>
            <w:tcW w:w="1933" w:type="dxa"/>
            <w:gridSpan w:val="2"/>
            <w:noWrap w:val="0"/>
            <w:vAlign w:val="center"/>
          </w:tcPr>
          <w:p w14:paraId="4E79D74A">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11</w:t>
            </w:r>
          </w:p>
        </w:tc>
        <w:tc>
          <w:tcPr>
            <w:tcW w:w="2099" w:type="dxa"/>
            <w:gridSpan w:val="2"/>
            <w:noWrap w:val="0"/>
            <w:vAlign w:val="center"/>
          </w:tcPr>
          <w:p w14:paraId="35AC3D1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w:t>
            </w:r>
          </w:p>
        </w:tc>
        <w:tc>
          <w:tcPr>
            <w:tcW w:w="1838" w:type="dxa"/>
            <w:gridSpan w:val="2"/>
            <w:noWrap w:val="0"/>
            <w:vAlign w:val="center"/>
          </w:tcPr>
          <w:p w14:paraId="609B052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345%</w:t>
            </w:r>
          </w:p>
        </w:tc>
      </w:tr>
      <w:tr w14:paraId="1DAA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36A282A6">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noWrap w:val="0"/>
            <w:vAlign w:val="center"/>
          </w:tcPr>
          <w:p w14:paraId="660DDAF6">
            <w:pPr>
              <w:pStyle w:val="2"/>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noWrap w:val="0"/>
            <w:vAlign w:val="center"/>
          </w:tcPr>
          <w:p w14:paraId="67A841AA">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noWrap w:val="0"/>
            <w:vAlign w:val="center"/>
          </w:tcPr>
          <w:p w14:paraId="0FC2757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551D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noWrap w:val="0"/>
            <w:vAlign w:val="center"/>
          </w:tcPr>
          <w:p w14:paraId="493154EF">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noWrap w:val="0"/>
            <w:vAlign w:val="center"/>
          </w:tcPr>
          <w:p w14:paraId="1458E8F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38.16</w:t>
            </w:r>
          </w:p>
        </w:tc>
        <w:tc>
          <w:tcPr>
            <w:tcW w:w="2099" w:type="dxa"/>
            <w:gridSpan w:val="2"/>
            <w:noWrap w:val="0"/>
            <w:vAlign w:val="center"/>
          </w:tcPr>
          <w:p w14:paraId="77431ED5">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32.6</w:t>
            </w:r>
          </w:p>
        </w:tc>
        <w:tc>
          <w:tcPr>
            <w:tcW w:w="1838" w:type="dxa"/>
            <w:gridSpan w:val="2"/>
            <w:noWrap w:val="0"/>
            <w:vAlign w:val="center"/>
          </w:tcPr>
          <w:p w14:paraId="312F2EC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11.11</w:t>
            </w:r>
          </w:p>
        </w:tc>
      </w:tr>
      <w:tr w14:paraId="761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noWrap w:val="0"/>
            <w:vAlign w:val="center"/>
          </w:tcPr>
          <w:p w14:paraId="65314DDE">
            <w:pPr>
              <w:pStyle w:val="2"/>
              <w:numPr>
                <w:ilvl w:val="0"/>
                <w:numId w:val="6"/>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6CFDD0EB">
            <w:pPr>
              <w:pStyle w:val="2"/>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noWrap w:val="0"/>
            <w:vAlign w:val="center"/>
          </w:tcPr>
          <w:p w14:paraId="1D2883A1">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3A7D8D1B">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noWrap w:val="0"/>
            <w:vAlign w:val="center"/>
          </w:tcPr>
          <w:p w14:paraId="2E0C47DD">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50C0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noWrap w:val="0"/>
            <w:vAlign w:val="center"/>
          </w:tcPr>
          <w:p w14:paraId="5DCEE6FB">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noWrap w:val="0"/>
            <w:vAlign w:val="center"/>
          </w:tcPr>
          <w:p w14:paraId="26AFD6A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24A64C4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noWrap w:val="0"/>
            <w:vAlign w:val="center"/>
          </w:tcPr>
          <w:p w14:paraId="209AED6A">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1635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noWrap w:val="0"/>
            <w:vAlign w:val="center"/>
          </w:tcPr>
          <w:p w14:paraId="3AA96A06">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noWrap w:val="0"/>
            <w:vAlign w:val="center"/>
          </w:tcPr>
          <w:p w14:paraId="345482D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436111E1">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noWrap w:val="0"/>
            <w:vAlign w:val="center"/>
          </w:tcPr>
          <w:p w14:paraId="531B9FA5">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2500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6092220A">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noWrap w:val="0"/>
            <w:vAlign w:val="center"/>
          </w:tcPr>
          <w:p w14:paraId="72E1F903">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35FFEB68">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noWrap w:val="0"/>
            <w:vAlign w:val="center"/>
          </w:tcPr>
          <w:p w14:paraId="021E700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246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noWrap w:val="0"/>
            <w:vAlign w:val="center"/>
          </w:tcPr>
          <w:p w14:paraId="7763B41C">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noWrap w:val="0"/>
            <w:vAlign w:val="center"/>
          </w:tcPr>
          <w:p w14:paraId="50ECBB25">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38.16</w:t>
            </w:r>
          </w:p>
        </w:tc>
        <w:tc>
          <w:tcPr>
            <w:tcW w:w="2099" w:type="dxa"/>
            <w:gridSpan w:val="2"/>
            <w:noWrap w:val="0"/>
            <w:vAlign w:val="center"/>
          </w:tcPr>
          <w:p w14:paraId="6BED5B0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32.6</w:t>
            </w:r>
          </w:p>
        </w:tc>
        <w:tc>
          <w:tcPr>
            <w:tcW w:w="1838" w:type="dxa"/>
            <w:gridSpan w:val="2"/>
            <w:noWrap w:val="0"/>
            <w:vAlign w:val="center"/>
          </w:tcPr>
          <w:p w14:paraId="1CEBCA53">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11.11</w:t>
            </w:r>
          </w:p>
        </w:tc>
      </w:tr>
      <w:tr w14:paraId="234E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noWrap w:val="0"/>
            <w:vAlign w:val="center"/>
          </w:tcPr>
          <w:p w14:paraId="6CF25A54">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noWrap w:val="0"/>
            <w:vAlign w:val="center"/>
          </w:tcPr>
          <w:p w14:paraId="495D8F2D">
            <w:pPr>
              <w:pStyle w:val="2"/>
              <w:jc w:val="center"/>
              <w:rPr>
                <w:rFonts w:hint="default" w:ascii="仿宋" w:hAnsi="仿宋" w:eastAsia="仿宋" w:cs="仿宋"/>
                <w:b w:val="0"/>
                <w:bCs w:val="0"/>
                <w:kern w:val="0"/>
                <w:sz w:val="18"/>
                <w:szCs w:val="18"/>
                <w:vertAlign w:val="baseline"/>
                <w:lang w:val="en-US" w:eastAsia="zh-CN"/>
              </w:rPr>
            </w:pPr>
          </w:p>
        </w:tc>
        <w:tc>
          <w:tcPr>
            <w:tcW w:w="2099" w:type="dxa"/>
            <w:gridSpan w:val="2"/>
            <w:noWrap w:val="0"/>
            <w:vAlign w:val="center"/>
          </w:tcPr>
          <w:p w14:paraId="2F191C8C">
            <w:pPr>
              <w:pStyle w:val="2"/>
              <w:jc w:val="center"/>
              <w:rPr>
                <w:rFonts w:hint="eastAsia" w:ascii="仿宋" w:hAnsi="仿宋" w:eastAsia="仿宋" w:cs="仿宋"/>
                <w:b w:val="0"/>
                <w:bCs w:val="0"/>
                <w:kern w:val="0"/>
                <w:sz w:val="18"/>
                <w:szCs w:val="18"/>
                <w:vertAlign w:val="baseline"/>
                <w:lang w:eastAsia="zh-CN"/>
              </w:rPr>
            </w:pPr>
          </w:p>
        </w:tc>
        <w:tc>
          <w:tcPr>
            <w:tcW w:w="1838" w:type="dxa"/>
            <w:gridSpan w:val="2"/>
            <w:noWrap w:val="0"/>
            <w:vAlign w:val="center"/>
          </w:tcPr>
          <w:p w14:paraId="693846CF">
            <w:pPr>
              <w:pStyle w:val="2"/>
              <w:jc w:val="center"/>
              <w:rPr>
                <w:rFonts w:hint="eastAsia" w:ascii="仿宋" w:hAnsi="仿宋" w:eastAsia="仿宋" w:cs="仿宋"/>
                <w:b w:val="0"/>
                <w:bCs w:val="0"/>
                <w:kern w:val="0"/>
                <w:sz w:val="18"/>
                <w:szCs w:val="18"/>
                <w:vertAlign w:val="baseline"/>
                <w:lang w:eastAsia="zh-CN"/>
              </w:rPr>
            </w:pPr>
          </w:p>
        </w:tc>
      </w:tr>
      <w:tr w14:paraId="57D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noWrap w:val="0"/>
            <w:vAlign w:val="center"/>
          </w:tcPr>
          <w:p w14:paraId="5C18E01B">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noWrap w:val="0"/>
            <w:vAlign w:val="center"/>
          </w:tcPr>
          <w:p w14:paraId="38D8AEB9">
            <w:pPr>
              <w:pStyle w:val="2"/>
              <w:jc w:val="center"/>
              <w:rPr>
                <w:rFonts w:hint="eastAsia" w:ascii="仿宋" w:hAnsi="仿宋" w:eastAsia="仿宋" w:cs="仿宋"/>
                <w:b w:val="0"/>
                <w:bCs w:val="0"/>
                <w:kern w:val="0"/>
                <w:sz w:val="18"/>
                <w:szCs w:val="18"/>
                <w:vertAlign w:val="baseline"/>
                <w:lang w:eastAsia="zh-CN"/>
              </w:rPr>
            </w:pPr>
          </w:p>
        </w:tc>
        <w:tc>
          <w:tcPr>
            <w:tcW w:w="2099" w:type="dxa"/>
            <w:gridSpan w:val="2"/>
            <w:noWrap w:val="0"/>
            <w:vAlign w:val="center"/>
          </w:tcPr>
          <w:p w14:paraId="5581B5E7">
            <w:pPr>
              <w:pStyle w:val="2"/>
              <w:jc w:val="center"/>
              <w:rPr>
                <w:rFonts w:hint="eastAsia" w:ascii="仿宋" w:hAnsi="仿宋" w:eastAsia="仿宋" w:cs="仿宋"/>
                <w:b w:val="0"/>
                <w:bCs w:val="0"/>
                <w:kern w:val="0"/>
                <w:sz w:val="18"/>
                <w:szCs w:val="18"/>
                <w:vertAlign w:val="baseline"/>
                <w:lang w:eastAsia="zh-CN"/>
              </w:rPr>
            </w:pPr>
          </w:p>
        </w:tc>
        <w:tc>
          <w:tcPr>
            <w:tcW w:w="1838" w:type="dxa"/>
            <w:gridSpan w:val="2"/>
            <w:noWrap w:val="0"/>
            <w:vAlign w:val="center"/>
          </w:tcPr>
          <w:p w14:paraId="3063129E">
            <w:pPr>
              <w:pStyle w:val="2"/>
              <w:jc w:val="center"/>
              <w:rPr>
                <w:rFonts w:hint="eastAsia" w:ascii="仿宋" w:hAnsi="仿宋" w:eastAsia="仿宋" w:cs="仿宋"/>
                <w:b w:val="0"/>
                <w:bCs w:val="0"/>
                <w:kern w:val="0"/>
                <w:sz w:val="18"/>
                <w:szCs w:val="18"/>
                <w:vertAlign w:val="baseline"/>
                <w:lang w:eastAsia="zh-CN"/>
              </w:rPr>
            </w:pPr>
          </w:p>
        </w:tc>
      </w:tr>
      <w:tr w14:paraId="0F0C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636CA82B">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noWrap w:val="0"/>
            <w:vAlign w:val="center"/>
          </w:tcPr>
          <w:p w14:paraId="46CBDF4F">
            <w:pPr>
              <w:pStyle w:val="2"/>
              <w:jc w:val="center"/>
              <w:rPr>
                <w:rFonts w:hint="eastAsia" w:ascii="仿宋" w:hAnsi="仿宋" w:eastAsia="仿宋" w:cs="仿宋"/>
                <w:b w:val="0"/>
                <w:bCs w:val="0"/>
                <w:kern w:val="0"/>
                <w:sz w:val="18"/>
                <w:szCs w:val="18"/>
                <w:vertAlign w:val="baseline"/>
                <w:lang w:eastAsia="zh-CN"/>
              </w:rPr>
            </w:pPr>
          </w:p>
        </w:tc>
        <w:tc>
          <w:tcPr>
            <w:tcW w:w="2099" w:type="dxa"/>
            <w:gridSpan w:val="2"/>
            <w:noWrap w:val="0"/>
            <w:vAlign w:val="center"/>
          </w:tcPr>
          <w:p w14:paraId="4899CAE6">
            <w:pPr>
              <w:pStyle w:val="2"/>
              <w:jc w:val="center"/>
              <w:rPr>
                <w:rFonts w:hint="eastAsia" w:ascii="仿宋" w:hAnsi="仿宋" w:eastAsia="仿宋" w:cs="仿宋"/>
                <w:b w:val="0"/>
                <w:bCs w:val="0"/>
                <w:kern w:val="0"/>
                <w:sz w:val="18"/>
                <w:szCs w:val="18"/>
                <w:vertAlign w:val="baseline"/>
                <w:lang w:eastAsia="zh-CN"/>
              </w:rPr>
            </w:pPr>
          </w:p>
        </w:tc>
        <w:tc>
          <w:tcPr>
            <w:tcW w:w="1838" w:type="dxa"/>
            <w:gridSpan w:val="2"/>
            <w:noWrap w:val="0"/>
            <w:vAlign w:val="center"/>
          </w:tcPr>
          <w:p w14:paraId="54D3732A">
            <w:pPr>
              <w:pStyle w:val="2"/>
              <w:jc w:val="center"/>
              <w:rPr>
                <w:rFonts w:hint="eastAsia" w:ascii="仿宋" w:hAnsi="仿宋" w:eastAsia="仿宋" w:cs="仿宋"/>
                <w:b w:val="0"/>
                <w:bCs w:val="0"/>
                <w:kern w:val="0"/>
                <w:sz w:val="18"/>
                <w:szCs w:val="18"/>
                <w:vertAlign w:val="baseline"/>
                <w:lang w:eastAsia="zh-CN"/>
              </w:rPr>
            </w:pPr>
          </w:p>
        </w:tc>
      </w:tr>
      <w:tr w14:paraId="7D5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2BB0465D">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noWrap w:val="0"/>
            <w:vAlign w:val="center"/>
          </w:tcPr>
          <w:p w14:paraId="2FD44B09">
            <w:pPr>
              <w:pStyle w:val="2"/>
              <w:jc w:val="center"/>
              <w:rPr>
                <w:rFonts w:hint="eastAsia" w:ascii="仿宋" w:hAnsi="仿宋" w:eastAsia="仿宋" w:cs="仿宋"/>
                <w:b w:val="0"/>
                <w:bCs w:val="0"/>
                <w:kern w:val="0"/>
                <w:sz w:val="18"/>
                <w:szCs w:val="18"/>
                <w:vertAlign w:val="baseline"/>
                <w:lang w:eastAsia="zh-CN"/>
              </w:rPr>
            </w:pPr>
          </w:p>
        </w:tc>
        <w:tc>
          <w:tcPr>
            <w:tcW w:w="2099" w:type="dxa"/>
            <w:gridSpan w:val="2"/>
            <w:noWrap w:val="0"/>
            <w:vAlign w:val="center"/>
          </w:tcPr>
          <w:p w14:paraId="56A1115A">
            <w:pPr>
              <w:pStyle w:val="2"/>
              <w:jc w:val="center"/>
              <w:rPr>
                <w:rFonts w:hint="eastAsia" w:ascii="仿宋" w:hAnsi="仿宋" w:eastAsia="仿宋" w:cs="仿宋"/>
                <w:b w:val="0"/>
                <w:bCs w:val="0"/>
                <w:kern w:val="0"/>
                <w:sz w:val="18"/>
                <w:szCs w:val="18"/>
                <w:vertAlign w:val="baseline"/>
                <w:lang w:eastAsia="zh-CN"/>
              </w:rPr>
            </w:pPr>
          </w:p>
        </w:tc>
        <w:tc>
          <w:tcPr>
            <w:tcW w:w="1838" w:type="dxa"/>
            <w:gridSpan w:val="2"/>
            <w:noWrap w:val="0"/>
            <w:vAlign w:val="center"/>
          </w:tcPr>
          <w:p w14:paraId="77C0E47F">
            <w:pPr>
              <w:pStyle w:val="2"/>
              <w:jc w:val="center"/>
              <w:rPr>
                <w:rFonts w:hint="eastAsia" w:ascii="仿宋" w:hAnsi="仿宋" w:eastAsia="仿宋" w:cs="仿宋"/>
                <w:b w:val="0"/>
                <w:bCs w:val="0"/>
                <w:kern w:val="0"/>
                <w:sz w:val="18"/>
                <w:szCs w:val="18"/>
                <w:vertAlign w:val="baseline"/>
                <w:lang w:eastAsia="zh-CN"/>
              </w:rPr>
            </w:pPr>
          </w:p>
        </w:tc>
      </w:tr>
      <w:tr w14:paraId="5EBF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noWrap w:val="0"/>
            <w:vAlign w:val="center"/>
          </w:tcPr>
          <w:p w14:paraId="05AAC2F5">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招商引资专项经费</w:t>
            </w:r>
          </w:p>
        </w:tc>
        <w:tc>
          <w:tcPr>
            <w:tcW w:w="1933" w:type="dxa"/>
            <w:gridSpan w:val="2"/>
            <w:noWrap w:val="0"/>
            <w:vAlign w:val="center"/>
          </w:tcPr>
          <w:p w14:paraId="4FD7945D">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c>
          <w:tcPr>
            <w:tcW w:w="2099" w:type="dxa"/>
            <w:gridSpan w:val="2"/>
            <w:noWrap w:val="0"/>
            <w:vAlign w:val="center"/>
          </w:tcPr>
          <w:p w14:paraId="3B4D69AB">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c>
          <w:tcPr>
            <w:tcW w:w="1838" w:type="dxa"/>
            <w:gridSpan w:val="2"/>
            <w:noWrap w:val="0"/>
            <w:vAlign w:val="center"/>
          </w:tcPr>
          <w:p w14:paraId="621CBC9B">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r>
      <w:tr w14:paraId="7BBA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noWrap w:val="0"/>
            <w:vAlign w:val="center"/>
          </w:tcPr>
          <w:p w14:paraId="19994673">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noWrap w:val="0"/>
            <w:vAlign w:val="center"/>
          </w:tcPr>
          <w:p w14:paraId="46720D8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188.74</w:t>
            </w:r>
          </w:p>
        </w:tc>
        <w:tc>
          <w:tcPr>
            <w:tcW w:w="2099" w:type="dxa"/>
            <w:gridSpan w:val="2"/>
            <w:noWrap w:val="0"/>
            <w:vAlign w:val="center"/>
          </w:tcPr>
          <w:p w14:paraId="4421BC9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69.26</w:t>
            </w:r>
          </w:p>
        </w:tc>
        <w:tc>
          <w:tcPr>
            <w:tcW w:w="1838" w:type="dxa"/>
            <w:gridSpan w:val="2"/>
            <w:noWrap w:val="0"/>
            <w:vAlign w:val="center"/>
          </w:tcPr>
          <w:p w14:paraId="74363ADA">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188.41</w:t>
            </w:r>
          </w:p>
        </w:tc>
      </w:tr>
      <w:tr w14:paraId="5122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noWrap w:val="0"/>
            <w:vAlign w:val="center"/>
          </w:tcPr>
          <w:p w14:paraId="6DFAA176">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noWrap w:val="0"/>
            <w:vAlign w:val="center"/>
          </w:tcPr>
          <w:p w14:paraId="073BAF2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19.79</w:t>
            </w:r>
          </w:p>
        </w:tc>
        <w:tc>
          <w:tcPr>
            <w:tcW w:w="2099" w:type="dxa"/>
            <w:gridSpan w:val="2"/>
            <w:noWrap w:val="0"/>
            <w:vAlign w:val="center"/>
          </w:tcPr>
          <w:p w14:paraId="682B4E5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w:t>
            </w:r>
          </w:p>
        </w:tc>
        <w:tc>
          <w:tcPr>
            <w:tcW w:w="1838" w:type="dxa"/>
            <w:gridSpan w:val="2"/>
            <w:noWrap w:val="0"/>
            <w:vAlign w:val="center"/>
          </w:tcPr>
          <w:p w14:paraId="1C0B9B1A">
            <w:pPr>
              <w:pStyle w:val="2"/>
              <w:tabs>
                <w:tab w:val="left" w:pos="693"/>
                <w:tab w:val="center" w:pos="1051"/>
              </w:tabs>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ab/>
            </w:r>
            <w:r>
              <w:rPr>
                <w:rFonts w:hint="eastAsia" w:ascii="仿宋" w:hAnsi="仿宋" w:eastAsia="仿宋" w:cs="仿宋"/>
                <w:b w:val="0"/>
                <w:bCs w:val="0"/>
                <w:kern w:val="0"/>
                <w:sz w:val="18"/>
                <w:szCs w:val="18"/>
                <w:vertAlign w:val="baseline"/>
                <w:lang w:val="en-US" w:eastAsia="zh-CN"/>
              </w:rPr>
              <w:t>21.73</w:t>
            </w:r>
          </w:p>
        </w:tc>
      </w:tr>
      <w:tr w14:paraId="7176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noWrap w:val="0"/>
            <w:vAlign w:val="center"/>
          </w:tcPr>
          <w:p w14:paraId="1D09FE1B">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noWrap w:val="0"/>
            <w:vAlign w:val="center"/>
          </w:tcPr>
          <w:p w14:paraId="616B581E">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37.77</w:t>
            </w:r>
          </w:p>
        </w:tc>
        <w:tc>
          <w:tcPr>
            <w:tcW w:w="2099" w:type="dxa"/>
            <w:gridSpan w:val="2"/>
            <w:noWrap w:val="0"/>
            <w:vAlign w:val="center"/>
          </w:tcPr>
          <w:p w14:paraId="0DED0175">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9.7</w:t>
            </w:r>
          </w:p>
        </w:tc>
        <w:tc>
          <w:tcPr>
            <w:tcW w:w="1838" w:type="dxa"/>
            <w:gridSpan w:val="2"/>
            <w:noWrap w:val="0"/>
            <w:vAlign w:val="center"/>
          </w:tcPr>
          <w:p w14:paraId="2C2A5C4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44.4</w:t>
            </w:r>
          </w:p>
        </w:tc>
      </w:tr>
      <w:tr w14:paraId="599B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noWrap w:val="0"/>
            <w:vAlign w:val="center"/>
          </w:tcPr>
          <w:p w14:paraId="4B1AF521">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noWrap w:val="0"/>
            <w:vAlign w:val="center"/>
          </w:tcPr>
          <w:p w14:paraId="3E1D977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3.09</w:t>
            </w:r>
          </w:p>
        </w:tc>
        <w:tc>
          <w:tcPr>
            <w:tcW w:w="2099" w:type="dxa"/>
            <w:gridSpan w:val="2"/>
            <w:noWrap w:val="0"/>
            <w:vAlign w:val="center"/>
          </w:tcPr>
          <w:p w14:paraId="099F051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4.06</w:t>
            </w:r>
          </w:p>
        </w:tc>
        <w:tc>
          <w:tcPr>
            <w:tcW w:w="1838" w:type="dxa"/>
            <w:gridSpan w:val="2"/>
            <w:noWrap w:val="0"/>
            <w:vAlign w:val="center"/>
          </w:tcPr>
          <w:p w14:paraId="490647ED">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20.7</w:t>
            </w:r>
          </w:p>
        </w:tc>
      </w:tr>
      <w:tr w14:paraId="45EF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noWrap w:val="0"/>
            <w:vAlign w:val="center"/>
          </w:tcPr>
          <w:p w14:paraId="629D2276">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noWrap w:val="0"/>
            <w:vAlign w:val="center"/>
          </w:tcPr>
          <w:p w14:paraId="583DD9A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3F8DC9F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w:t>
            </w:r>
          </w:p>
        </w:tc>
        <w:tc>
          <w:tcPr>
            <w:tcW w:w="1838" w:type="dxa"/>
            <w:gridSpan w:val="2"/>
            <w:noWrap w:val="0"/>
            <w:vAlign w:val="center"/>
          </w:tcPr>
          <w:p w14:paraId="504574C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w:t>
            </w:r>
          </w:p>
        </w:tc>
      </w:tr>
      <w:tr w14:paraId="6E6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noWrap w:val="0"/>
            <w:vAlign w:val="center"/>
          </w:tcPr>
          <w:p w14:paraId="20FE20A1">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noWrap w:val="0"/>
            <w:vAlign w:val="center"/>
          </w:tcPr>
          <w:p w14:paraId="054DB43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noWrap w:val="0"/>
            <w:vAlign w:val="center"/>
          </w:tcPr>
          <w:p w14:paraId="09CF083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noWrap w:val="0"/>
            <w:vAlign w:val="center"/>
          </w:tcPr>
          <w:p w14:paraId="788B38D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5E0F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noWrap w:val="0"/>
            <w:vAlign w:val="center"/>
          </w:tcPr>
          <w:p w14:paraId="078455B3">
            <w:pPr>
              <w:pStyle w:val="2"/>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noWrap w:val="0"/>
            <w:vAlign w:val="center"/>
          </w:tcPr>
          <w:p w14:paraId="60E891A3">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noWrap w:val="0"/>
            <w:vAlign w:val="center"/>
          </w:tcPr>
          <w:p w14:paraId="346C3B47">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noWrap w:val="0"/>
            <w:vAlign w:val="center"/>
          </w:tcPr>
          <w:p w14:paraId="4A356FBD">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noWrap w:val="0"/>
            <w:vAlign w:val="center"/>
          </w:tcPr>
          <w:p w14:paraId="116043CA">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noWrap w:val="0"/>
            <w:vAlign w:val="center"/>
          </w:tcPr>
          <w:p w14:paraId="77C10E85">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noWrap w:val="0"/>
            <w:vAlign w:val="center"/>
          </w:tcPr>
          <w:p w14:paraId="4FEA818B">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296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noWrap w:val="0"/>
            <w:vAlign w:val="center"/>
          </w:tcPr>
          <w:p w14:paraId="7869642E">
            <w:pPr>
              <w:pStyle w:val="2"/>
              <w:jc w:val="center"/>
              <w:rPr>
                <w:rFonts w:hint="eastAsia" w:ascii="仿宋" w:hAnsi="仿宋" w:eastAsia="仿宋" w:cs="仿宋"/>
                <w:b w:val="0"/>
                <w:bCs w:val="0"/>
                <w:kern w:val="0"/>
                <w:sz w:val="18"/>
                <w:szCs w:val="18"/>
                <w:vertAlign w:val="baseline"/>
                <w:lang w:eastAsia="zh-CN"/>
              </w:rPr>
            </w:pPr>
          </w:p>
        </w:tc>
        <w:tc>
          <w:tcPr>
            <w:tcW w:w="950" w:type="dxa"/>
            <w:noWrap w:val="0"/>
            <w:vAlign w:val="center"/>
          </w:tcPr>
          <w:p w14:paraId="761D018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noWrap w:val="0"/>
            <w:vAlign w:val="center"/>
          </w:tcPr>
          <w:p w14:paraId="41B3BDE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noWrap w:val="0"/>
            <w:vAlign w:val="center"/>
          </w:tcPr>
          <w:p w14:paraId="1D04DFBA">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noWrap w:val="0"/>
            <w:vAlign w:val="center"/>
          </w:tcPr>
          <w:p w14:paraId="29E5A74E">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noWrap w:val="0"/>
            <w:vAlign w:val="center"/>
          </w:tcPr>
          <w:p w14:paraId="6C2D5525">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821" w:type="dxa"/>
            <w:noWrap w:val="0"/>
            <w:vAlign w:val="center"/>
          </w:tcPr>
          <w:p w14:paraId="7CC00BB0">
            <w:pPr>
              <w:pStyle w:val="2"/>
              <w:ind w:left="0" w:leftChars="0" w:firstLine="0" w:firstLineChars="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r>
      <w:tr w14:paraId="1D8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noWrap w:val="0"/>
            <w:vAlign w:val="center"/>
          </w:tcPr>
          <w:p w14:paraId="512FD703">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noWrap w:val="0"/>
            <w:vAlign w:val="center"/>
          </w:tcPr>
          <w:p w14:paraId="241B5541">
            <w:pPr>
              <w:pStyle w:val="2"/>
              <w:ind w:left="0" w:leftChars="0" w:firstLine="0" w:firstLineChars="0"/>
              <w:jc w:val="both"/>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节俭务实办会、严控差旅活动、压减经费开支、节约办公成本、规范公务用餐。</w:t>
            </w:r>
          </w:p>
        </w:tc>
      </w:tr>
    </w:tbl>
    <w:p w14:paraId="7220FC5C">
      <w:pPr>
        <w:pStyle w:val="2"/>
        <w:ind w:left="0" w:leftChars="0" w:firstLine="0" w:firstLineChars="0"/>
        <w:jc w:val="both"/>
        <w:rPr>
          <w:rFonts w:hint="eastAsia" w:ascii="仿宋" w:hAnsi="仿宋" w:eastAsia="仿宋" w:cs="仿宋"/>
          <w:b w:val="0"/>
          <w:bCs w:val="0"/>
          <w:kern w:val="0"/>
          <w:sz w:val="30"/>
          <w:szCs w:val="30"/>
          <w:lang w:eastAsia="zh-CN"/>
        </w:rPr>
      </w:pPr>
    </w:p>
    <w:p w14:paraId="45D909BF">
      <w:pPr>
        <w:pStyle w:val="2"/>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178B191C">
      <w:pPr>
        <w:pStyle w:val="2"/>
        <w:ind w:left="0" w:leftChars="0" w:firstLine="480" w:firstLineChars="200"/>
        <w:jc w:val="both"/>
        <w:rPr>
          <w:rFonts w:hint="eastAsia" w:ascii="仿宋" w:hAnsi="仿宋" w:eastAsia="仿宋" w:cs="仿宋"/>
          <w:b w:val="0"/>
          <w:bCs w:val="0"/>
          <w:kern w:val="0"/>
          <w:sz w:val="24"/>
          <w:szCs w:val="24"/>
          <w:lang w:eastAsia="zh-CN"/>
        </w:rPr>
      </w:pPr>
    </w:p>
    <w:p w14:paraId="643CEA49">
      <w:pPr>
        <w:pStyle w:val="2"/>
        <w:ind w:left="0" w:leftChars="0" w:firstLine="0" w:firstLineChars="0"/>
        <w:jc w:val="both"/>
        <w:rPr>
          <w:rFonts w:hint="eastAsia" w:ascii="仿宋" w:hAnsi="仿宋" w:eastAsia="仿宋" w:cs="仿宋"/>
          <w:b/>
          <w:bCs/>
          <w:kern w:val="0"/>
          <w:sz w:val="24"/>
          <w:szCs w:val="24"/>
          <w:lang w:eastAsia="zh-CN"/>
        </w:rPr>
      </w:pPr>
      <w:r>
        <w:rPr>
          <w:rFonts w:hint="eastAsia" w:ascii="仿宋" w:hAnsi="仿宋" w:eastAsia="仿宋" w:cs="仿宋"/>
          <w:b w:val="0"/>
          <w:bCs w:val="0"/>
          <w:kern w:val="0"/>
          <w:sz w:val="24"/>
          <w:szCs w:val="24"/>
          <w:lang w:eastAsia="zh-CN"/>
        </w:rPr>
        <w:t>填表人陈海燕</w:t>
      </w:r>
      <w:r>
        <w:rPr>
          <w:rFonts w:hint="eastAsia" w:ascii="仿宋" w:hAnsi="仿宋" w:eastAsia="仿宋" w:cs="仿宋"/>
          <w:b w:val="0"/>
          <w:bCs w:val="0"/>
          <w:kern w:val="0"/>
          <w:sz w:val="24"/>
          <w:szCs w:val="24"/>
          <w:lang w:val="en-US" w:eastAsia="zh-CN"/>
        </w:rPr>
        <w:t xml:space="preserve"> 填报日期2025.4.10 联系电话15211924488 单位负责人签字</w:t>
      </w:r>
    </w:p>
    <w:p w14:paraId="4AEEAA25">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BAB3C03">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10"/>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0AF30F98">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1FB31D4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37BFD7B1">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eastAsia="zh-CN"/>
              </w:rPr>
              <w:t>隆回县商务局</w:t>
            </w:r>
            <w:r>
              <w:rPr>
                <w:rFonts w:eastAsia="仿宋_GB2312"/>
                <w:color w:val="000000"/>
                <w:kern w:val="0"/>
                <w:sz w:val="18"/>
                <w:szCs w:val="18"/>
              </w:rPr>
              <w:t>　</w:t>
            </w:r>
          </w:p>
        </w:tc>
      </w:tr>
      <w:tr w14:paraId="1F4FAA3B">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61B5C8BE">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1D74EB89">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7136BBBC">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34815304">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28B0F149">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68C841A2">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09E2AECA">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3DF087D1">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44B633C8">
            <w:pPr>
              <w:spacing w:line="240" w:lineRule="exact"/>
              <w:ind w:firstLine="0" w:firstLineChars="0"/>
              <w:rPr>
                <w:rFonts w:eastAsia="仿宋_GB2312"/>
                <w:sz w:val="18"/>
                <w:szCs w:val="18"/>
              </w:rPr>
            </w:pPr>
            <w:r>
              <w:rPr>
                <w:rFonts w:eastAsia="仿宋_GB2312"/>
                <w:sz w:val="18"/>
                <w:szCs w:val="18"/>
              </w:rPr>
              <w:t>得分</w:t>
            </w:r>
          </w:p>
        </w:tc>
      </w:tr>
      <w:tr w14:paraId="7AAD6892">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6D06E003">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4FDA5303">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6EFA5505">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565.83</w:t>
            </w:r>
          </w:p>
        </w:tc>
        <w:tc>
          <w:tcPr>
            <w:tcW w:w="1161" w:type="dxa"/>
            <w:gridSpan w:val="2"/>
            <w:tcBorders>
              <w:top w:val="nil"/>
              <w:left w:val="nil"/>
              <w:bottom w:val="single" w:color="auto" w:sz="4" w:space="0"/>
              <w:right w:val="single" w:color="auto" w:sz="4" w:space="0"/>
            </w:tcBorders>
            <w:noWrap w:val="0"/>
            <w:vAlign w:val="center"/>
          </w:tcPr>
          <w:p w14:paraId="1B23D37D">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1755.06</w:t>
            </w:r>
          </w:p>
        </w:tc>
        <w:tc>
          <w:tcPr>
            <w:tcW w:w="1146" w:type="dxa"/>
            <w:tcBorders>
              <w:top w:val="nil"/>
              <w:left w:val="nil"/>
              <w:bottom w:val="single" w:color="auto" w:sz="4" w:space="0"/>
              <w:right w:val="single" w:color="auto" w:sz="4" w:space="0"/>
            </w:tcBorders>
            <w:noWrap w:val="0"/>
            <w:vAlign w:val="center"/>
          </w:tcPr>
          <w:p w14:paraId="5D281592">
            <w:pPr>
              <w:spacing w:line="240" w:lineRule="exact"/>
              <w:jc w:val="both"/>
              <w:rPr>
                <w:rFonts w:hint="default" w:eastAsia="仿宋_GB2312"/>
                <w:sz w:val="18"/>
                <w:szCs w:val="18"/>
                <w:lang w:val="en-US" w:eastAsia="zh-CN"/>
              </w:rPr>
            </w:pPr>
            <w:r>
              <w:rPr>
                <w:rFonts w:hint="eastAsia" w:eastAsia="仿宋_GB2312"/>
                <w:sz w:val="18"/>
                <w:szCs w:val="18"/>
                <w:lang w:val="en-US" w:eastAsia="zh-CN"/>
              </w:rPr>
              <w:t>1755.06</w:t>
            </w:r>
          </w:p>
        </w:tc>
        <w:tc>
          <w:tcPr>
            <w:tcW w:w="636" w:type="dxa"/>
            <w:tcBorders>
              <w:top w:val="nil"/>
              <w:left w:val="nil"/>
              <w:bottom w:val="single" w:color="auto" w:sz="4" w:space="0"/>
              <w:right w:val="single" w:color="auto" w:sz="4" w:space="0"/>
            </w:tcBorders>
            <w:noWrap w:val="0"/>
            <w:vAlign w:val="center"/>
          </w:tcPr>
          <w:p w14:paraId="13D960AB">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7B1318F5">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618FFF40">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2457E8C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51EE048">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B15BACF">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539B8977">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30C85B1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3C2B4D3">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D2D696D">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1438.55</w:t>
            </w:r>
          </w:p>
        </w:tc>
        <w:tc>
          <w:tcPr>
            <w:tcW w:w="3895" w:type="dxa"/>
            <w:gridSpan w:val="4"/>
            <w:tcBorders>
              <w:top w:val="nil"/>
              <w:left w:val="nil"/>
              <w:bottom w:val="single" w:color="auto" w:sz="4" w:space="0"/>
              <w:right w:val="single" w:color="auto" w:sz="4" w:space="0"/>
            </w:tcBorders>
            <w:noWrap w:val="0"/>
            <w:vAlign w:val="center"/>
          </w:tcPr>
          <w:p w14:paraId="041ACD19">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704.79</w:t>
            </w:r>
          </w:p>
        </w:tc>
      </w:tr>
      <w:tr w14:paraId="2919FE7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9CF0C0E">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2B8B9DE">
            <w:pPr>
              <w:spacing w:line="240" w:lineRule="exact"/>
              <w:ind w:firstLine="720" w:firstLineChars="400"/>
              <w:jc w:val="left"/>
              <w:rPr>
                <w:rFonts w:hint="default"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316.51</w:t>
            </w:r>
          </w:p>
        </w:tc>
        <w:tc>
          <w:tcPr>
            <w:tcW w:w="3895" w:type="dxa"/>
            <w:gridSpan w:val="4"/>
            <w:tcBorders>
              <w:top w:val="nil"/>
              <w:left w:val="nil"/>
              <w:bottom w:val="single" w:color="auto" w:sz="4" w:space="0"/>
              <w:right w:val="single" w:color="auto" w:sz="4" w:space="0"/>
            </w:tcBorders>
            <w:noWrap w:val="0"/>
            <w:vAlign w:val="center"/>
          </w:tcPr>
          <w:p w14:paraId="25BB9342">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100</w:t>
            </w:r>
          </w:p>
        </w:tc>
      </w:tr>
      <w:tr w14:paraId="6C89937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C70748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00A66CA1">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573BE106">
            <w:pPr>
              <w:spacing w:line="240" w:lineRule="exact"/>
              <w:ind w:firstLine="360"/>
              <w:jc w:val="left"/>
              <w:rPr>
                <w:rFonts w:eastAsia="仿宋_GB2312"/>
                <w:color w:val="000000"/>
                <w:kern w:val="0"/>
                <w:sz w:val="18"/>
                <w:szCs w:val="18"/>
              </w:rPr>
            </w:pPr>
          </w:p>
        </w:tc>
      </w:tr>
      <w:tr w14:paraId="0D2ACD5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70E205C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1DB749D">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794AD736">
            <w:pPr>
              <w:spacing w:line="240" w:lineRule="exact"/>
              <w:ind w:firstLine="360"/>
              <w:jc w:val="left"/>
              <w:rPr>
                <w:rFonts w:eastAsia="仿宋_GB2312"/>
                <w:color w:val="000000"/>
                <w:kern w:val="0"/>
                <w:sz w:val="18"/>
                <w:szCs w:val="18"/>
              </w:rPr>
            </w:pPr>
          </w:p>
        </w:tc>
      </w:tr>
      <w:tr w14:paraId="27182A59">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4B5F26F1">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4DE3FEA6">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0C4395E3">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7D79694C">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455492C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24AFECD2">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eastAsia="zh-CN"/>
              </w:rPr>
              <w:t>全年机关日常工作、招商专项工作正常运行。</w:t>
            </w: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737A45A3">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全年机关日常工作、招商专项工作均达到年初预期目标。</w:t>
            </w:r>
          </w:p>
        </w:tc>
      </w:tr>
      <w:tr w14:paraId="27C1D0D4">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132131A3">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5D9F3DC5">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39986D8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5685DCE9">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63022948">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786B9D7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46928A5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750E1CBD">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46F208C7">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44378097">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7B2EB10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7C807316">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77F004E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58F34DA">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24FE5134">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3A79C9D5">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tcBorders>
              <w:top w:val="nil"/>
              <w:left w:val="nil"/>
              <w:right w:val="single" w:color="auto" w:sz="4" w:space="0"/>
            </w:tcBorders>
            <w:noWrap w:val="0"/>
            <w:tcMar>
              <w:top w:w="0" w:type="dxa"/>
              <w:left w:w="0" w:type="dxa"/>
              <w:bottom w:w="0" w:type="dxa"/>
              <w:right w:w="0" w:type="dxa"/>
            </w:tcMar>
            <w:vAlign w:val="center"/>
          </w:tcPr>
          <w:p w14:paraId="34B3099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5B43CA19">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引进三类五百强企业</w:t>
            </w:r>
          </w:p>
        </w:tc>
        <w:tc>
          <w:tcPr>
            <w:tcW w:w="1077" w:type="dxa"/>
            <w:tcBorders>
              <w:top w:val="nil"/>
              <w:left w:val="nil"/>
              <w:bottom w:val="single" w:color="auto" w:sz="4" w:space="0"/>
              <w:right w:val="single" w:color="auto" w:sz="4" w:space="0"/>
            </w:tcBorders>
            <w:noWrap w:val="0"/>
            <w:vAlign w:val="center"/>
          </w:tcPr>
          <w:p w14:paraId="469CC15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2个</w:t>
            </w:r>
          </w:p>
        </w:tc>
        <w:tc>
          <w:tcPr>
            <w:tcW w:w="1146" w:type="dxa"/>
            <w:tcBorders>
              <w:top w:val="nil"/>
              <w:left w:val="nil"/>
              <w:bottom w:val="single" w:color="auto" w:sz="4" w:space="0"/>
              <w:right w:val="single" w:color="auto" w:sz="4" w:space="0"/>
            </w:tcBorders>
            <w:noWrap w:val="0"/>
            <w:vAlign w:val="center"/>
          </w:tcPr>
          <w:p w14:paraId="3660C97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2个</w:t>
            </w:r>
          </w:p>
        </w:tc>
        <w:tc>
          <w:tcPr>
            <w:tcW w:w="636" w:type="dxa"/>
            <w:tcBorders>
              <w:top w:val="nil"/>
              <w:left w:val="nil"/>
              <w:bottom w:val="single" w:color="auto" w:sz="4" w:space="0"/>
              <w:right w:val="single" w:color="auto" w:sz="4" w:space="0"/>
            </w:tcBorders>
            <w:noWrap w:val="0"/>
            <w:vAlign w:val="center"/>
          </w:tcPr>
          <w:p w14:paraId="315ECD0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0FAE05E4">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78A9D12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4E11B6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EC9695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98FF9E9">
            <w:pPr>
              <w:spacing w:line="240" w:lineRule="exact"/>
              <w:ind w:firstLine="0" w:firstLineChars="0"/>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58A4D40C">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EBD70B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新增限上企业</w:t>
            </w:r>
          </w:p>
        </w:tc>
        <w:tc>
          <w:tcPr>
            <w:tcW w:w="1077" w:type="dxa"/>
            <w:tcBorders>
              <w:top w:val="nil"/>
              <w:left w:val="nil"/>
              <w:bottom w:val="single" w:color="auto" w:sz="4" w:space="0"/>
              <w:right w:val="single" w:color="auto" w:sz="4" w:space="0"/>
            </w:tcBorders>
            <w:noWrap w:val="0"/>
            <w:vAlign w:val="center"/>
          </w:tcPr>
          <w:p w14:paraId="6BF88EA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15家以上</w:t>
            </w:r>
          </w:p>
        </w:tc>
        <w:tc>
          <w:tcPr>
            <w:tcW w:w="1146" w:type="dxa"/>
            <w:tcBorders>
              <w:top w:val="nil"/>
              <w:left w:val="nil"/>
              <w:bottom w:val="single" w:color="auto" w:sz="4" w:space="0"/>
              <w:right w:val="single" w:color="auto" w:sz="4" w:space="0"/>
            </w:tcBorders>
            <w:noWrap w:val="0"/>
            <w:vAlign w:val="center"/>
          </w:tcPr>
          <w:p w14:paraId="67B12BBE">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15家以上</w:t>
            </w:r>
          </w:p>
        </w:tc>
        <w:tc>
          <w:tcPr>
            <w:tcW w:w="636" w:type="dxa"/>
            <w:tcBorders>
              <w:top w:val="nil"/>
              <w:left w:val="nil"/>
              <w:bottom w:val="single" w:color="auto" w:sz="4" w:space="0"/>
              <w:right w:val="single" w:color="auto" w:sz="4" w:space="0"/>
            </w:tcBorders>
            <w:noWrap w:val="0"/>
            <w:vAlign w:val="center"/>
          </w:tcPr>
          <w:p w14:paraId="0C529FE8">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0ECCDDB5">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0B3B06A2">
            <w:pPr>
              <w:spacing w:line="240" w:lineRule="exact"/>
              <w:ind w:firstLine="360"/>
              <w:jc w:val="left"/>
              <w:rPr>
                <w:rFonts w:eastAsia="仿宋_GB2312"/>
                <w:color w:val="000000"/>
                <w:kern w:val="0"/>
                <w:sz w:val="18"/>
                <w:szCs w:val="18"/>
              </w:rPr>
            </w:pPr>
          </w:p>
        </w:tc>
      </w:tr>
      <w:tr w14:paraId="2E166A0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8D3E66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2889F93">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348C821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0E3A220F">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各项工作合格率</w:t>
            </w:r>
          </w:p>
        </w:tc>
        <w:tc>
          <w:tcPr>
            <w:tcW w:w="1077" w:type="dxa"/>
            <w:tcBorders>
              <w:top w:val="nil"/>
              <w:left w:val="nil"/>
              <w:bottom w:val="single" w:color="auto" w:sz="4" w:space="0"/>
              <w:right w:val="single" w:color="auto" w:sz="4" w:space="0"/>
            </w:tcBorders>
            <w:noWrap w:val="0"/>
            <w:vAlign w:val="center"/>
          </w:tcPr>
          <w:p w14:paraId="752D490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2438B1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0E8B9D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1C93477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60FFA0C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A63FFD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D2961E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FE96187">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2688FA57">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598A528">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安全生产隐患排查整改率</w:t>
            </w:r>
          </w:p>
        </w:tc>
        <w:tc>
          <w:tcPr>
            <w:tcW w:w="1077" w:type="dxa"/>
            <w:tcBorders>
              <w:top w:val="nil"/>
              <w:left w:val="nil"/>
              <w:bottom w:val="single" w:color="auto" w:sz="4" w:space="0"/>
              <w:right w:val="single" w:color="auto" w:sz="4" w:space="0"/>
            </w:tcBorders>
            <w:noWrap w:val="0"/>
            <w:vAlign w:val="center"/>
          </w:tcPr>
          <w:p w14:paraId="40A466FB">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1AC843AF">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360A584">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3278E3B4">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7E36C60E">
            <w:pPr>
              <w:spacing w:line="240" w:lineRule="exact"/>
              <w:ind w:firstLine="360"/>
              <w:jc w:val="left"/>
              <w:rPr>
                <w:rFonts w:eastAsia="仿宋_GB2312"/>
                <w:color w:val="000000"/>
                <w:kern w:val="0"/>
                <w:sz w:val="18"/>
                <w:szCs w:val="18"/>
              </w:rPr>
            </w:pPr>
          </w:p>
        </w:tc>
      </w:tr>
      <w:tr w14:paraId="79591CF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4F379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294FFC1">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19CAD1C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1967AFAF">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预算执行率</w:t>
            </w:r>
          </w:p>
        </w:tc>
        <w:tc>
          <w:tcPr>
            <w:tcW w:w="1077" w:type="dxa"/>
            <w:tcBorders>
              <w:top w:val="nil"/>
              <w:left w:val="nil"/>
              <w:bottom w:val="single" w:color="auto" w:sz="4" w:space="0"/>
              <w:right w:val="single" w:color="auto" w:sz="4" w:space="0"/>
            </w:tcBorders>
            <w:noWrap w:val="0"/>
            <w:vAlign w:val="center"/>
          </w:tcPr>
          <w:p w14:paraId="659BA96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BE9A87D">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63BD82C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AD7B72F">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0D8C209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380200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7A2DD5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E4F62CF">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468A69BD">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0C760E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资金到位率</w:t>
            </w:r>
          </w:p>
        </w:tc>
        <w:tc>
          <w:tcPr>
            <w:tcW w:w="1077" w:type="dxa"/>
            <w:tcBorders>
              <w:top w:val="nil"/>
              <w:left w:val="nil"/>
              <w:bottom w:val="single" w:color="auto" w:sz="4" w:space="0"/>
              <w:right w:val="single" w:color="auto" w:sz="4" w:space="0"/>
            </w:tcBorders>
            <w:noWrap w:val="0"/>
            <w:vAlign w:val="center"/>
          </w:tcPr>
          <w:p w14:paraId="523E8BA5">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476B2FE8">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62CC23C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1DFC8E9A">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4FB0002B">
            <w:pPr>
              <w:spacing w:line="240" w:lineRule="exact"/>
              <w:ind w:firstLine="360"/>
              <w:jc w:val="left"/>
              <w:rPr>
                <w:rFonts w:eastAsia="仿宋_GB2312"/>
                <w:color w:val="000000"/>
                <w:kern w:val="0"/>
                <w:sz w:val="18"/>
                <w:szCs w:val="18"/>
              </w:rPr>
            </w:pPr>
          </w:p>
        </w:tc>
      </w:tr>
      <w:tr w14:paraId="0C9C8EA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356949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BC63A85">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611CBE9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1635A6CB">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经费支出</w:t>
            </w:r>
          </w:p>
        </w:tc>
        <w:tc>
          <w:tcPr>
            <w:tcW w:w="1077" w:type="dxa"/>
            <w:tcBorders>
              <w:top w:val="nil"/>
              <w:left w:val="nil"/>
              <w:bottom w:val="single" w:color="auto" w:sz="4" w:space="0"/>
              <w:right w:val="single" w:color="auto" w:sz="4" w:space="0"/>
            </w:tcBorders>
            <w:noWrap w:val="0"/>
            <w:vAlign w:val="center"/>
          </w:tcPr>
          <w:p w14:paraId="342D229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1755.06万元</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FE3299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1755.06万元</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AC4FA2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B6EEC6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8</w:t>
            </w:r>
          </w:p>
        </w:tc>
        <w:tc>
          <w:tcPr>
            <w:tcW w:w="1223" w:type="dxa"/>
            <w:tcBorders>
              <w:top w:val="nil"/>
              <w:left w:val="nil"/>
              <w:bottom w:val="single" w:color="auto" w:sz="4" w:space="0"/>
              <w:right w:val="single" w:color="auto" w:sz="4" w:space="0"/>
            </w:tcBorders>
            <w:noWrap w:val="0"/>
            <w:vAlign w:val="center"/>
          </w:tcPr>
          <w:p w14:paraId="1E29265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F5E33E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2D19109">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0286C6C8">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2CA45021">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nil"/>
              <w:left w:val="nil"/>
              <w:right w:val="single" w:color="auto" w:sz="4" w:space="0"/>
            </w:tcBorders>
            <w:noWrap w:val="0"/>
            <w:tcMar>
              <w:top w:w="0" w:type="dxa"/>
              <w:left w:w="0" w:type="dxa"/>
              <w:bottom w:w="0" w:type="dxa"/>
              <w:right w:w="0" w:type="dxa"/>
            </w:tcMar>
            <w:vAlign w:val="center"/>
          </w:tcPr>
          <w:p w14:paraId="03145BF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477C1617">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创造税收</w:t>
            </w:r>
          </w:p>
        </w:tc>
        <w:tc>
          <w:tcPr>
            <w:tcW w:w="1077" w:type="dxa"/>
            <w:tcBorders>
              <w:top w:val="nil"/>
              <w:left w:val="nil"/>
              <w:bottom w:val="single" w:color="auto" w:sz="4" w:space="0"/>
              <w:right w:val="single" w:color="auto" w:sz="4" w:space="0"/>
            </w:tcBorders>
            <w:noWrap w:val="0"/>
            <w:vAlign w:val="center"/>
          </w:tcPr>
          <w:p w14:paraId="7B7ADC50">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800万元</w:t>
            </w:r>
          </w:p>
        </w:tc>
        <w:tc>
          <w:tcPr>
            <w:tcW w:w="1146" w:type="dxa"/>
            <w:tcBorders>
              <w:top w:val="nil"/>
              <w:left w:val="nil"/>
              <w:bottom w:val="single" w:color="auto" w:sz="4" w:space="0"/>
              <w:right w:val="single" w:color="auto" w:sz="4" w:space="0"/>
            </w:tcBorders>
            <w:noWrap w:val="0"/>
            <w:vAlign w:val="center"/>
          </w:tcPr>
          <w:p w14:paraId="007815F6">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800万元</w:t>
            </w:r>
          </w:p>
        </w:tc>
        <w:tc>
          <w:tcPr>
            <w:tcW w:w="636" w:type="dxa"/>
            <w:tcBorders>
              <w:top w:val="nil"/>
              <w:left w:val="nil"/>
              <w:bottom w:val="single" w:color="auto" w:sz="4" w:space="0"/>
              <w:right w:val="single" w:color="auto" w:sz="4" w:space="0"/>
            </w:tcBorders>
            <w:noWrap w:val="0"/>
            <w:vAlign w:val="center"/>
          </w:tcPr>
          <w:p w14:paraId="28027CEF">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BB5158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9D5CEB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248679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B8484F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173E564">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A6EC25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12385A8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5F82DC7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2B6B8525">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解决劳动就业岗位</w:t>
            </w:r>
          </w:p>
        </w:tc>
        <w:tc>
          <w:tcPr>
            <w:tcW w:w="1077" w:type="dxa"/>
            <w:tcBorders>
              <w:top w:val="nil"/>
              <w:left w:val="nil"/>
              <w:bottom w:val="single" w:color="auto" w:sz="4" w:space="0"/>
              <w:right w:val="single" w:color="auto" w:sz="4" w:space="0"/>
            </w:tcBorders>
            <w:noWrap w:val="0"/>
            <w:vAlign w:val="center"/>
          </w:tcPr>
          <w:p w14:paraId="586E8BA3">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3000个</w:t>
            </w:r>
          </w:p>
        </w:tc>
        <w:tc>
          <w:tcPr>
            <w:tcW w:w="1146" w:type="dxa"/>
            <w:tcBorders>
              <w:top w:val="nil"/>
              <w:left w:val="nil"/>
              <w:bottom w:val="single" w:color="auto" w:sz="4" w:space="0"/>
              <w:right w:val="single" w:color="auto" w:sz="4" w:space="0"/>
            </w:tcBorders>
            <w:noWrap w:val="0"/>
            <w:vAlign w:val="center"/>
          </w:tcPr>
          <w:p w14:paraId="15EF0E72">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3000个</w:t>
            </w:r>
          </w:p>
        </w:tc>
        <w:tc>
          <w:tcPr>
            <w:tcW w:w="636" w:type="dxa"/>
            <w:tcBorders>
              <w:top w:val="nil"/>
              <w:left w:val="nil"/>
              <w:bottom w:val="single" w:color="auto" w:sz="4" w:space="0"/>
              <w:right w:val="single" w:color="auto" w:sz="4" w:space="0"/>
            </w:tcBorders>
            <w:noWrap w:val="0"/>
            <w:vAlign w:val="center"/>
          </w:tcPr>
          <w:p w14:paraId="50B74A0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EF26DB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973C7E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DA41BDC">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4DDF6D04">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3AF7447E">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789EA84">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3BD23A9">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single" w:color="auto" w:sz="4" w:space="0"/>
              <w:left w:val="single" w:color="auto" w:sz="4" w:space="0"/>
              <w:right w:val="single" w:color="auto" w:sz="4" w:space="0"/>
            </w:tcBorders>
            <w:noWrap w:val="0"/>
            <w:vAlign w:val="center"/>
          </w:tcPr>
          <w:p w14:paraId="4CB7EE0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E4305B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428ACCA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A46CC49">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社会消费品零售增长率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19B3EE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明显提升</w:t>
            </w: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E08813">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明显提升</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692E86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BC9C10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DC2D2C0">
            <w:pPr>
              <w:spacing w:line="240" w:lineRule="exact"/>
              <w:jc w:val="left"/>
              <w:rPr>
                <w:rFonts w:eastAsia="仿宋_GB2312"/>
                <w:color w:val="000000"/>
                <w:kern w:val="0"/>
                <w:sz w:val="18"/>
                <w:szCs w:val="18"/>
              </w:rPr>
            </w:pPr>
          </w:p>
        </w:tc>
      </w:tr>
      <w:tr w14:paraId="36D5CB7D">
        <w:tblPrEx>
          <w:tblCellMar>
            <w:top w:w="0" w:type="dxa"/>
            <w:left w:w="108" w:type="dxa"/>
            <w:bottom w:w="0" w:type="dxa"/>
            <w:right w:w="108" w:type="dxa"/>
          </w:tblCellMar>
        </w:tblPrEx>
        <w:trPr>
          <w:trHeight w:val="265" w:hRule="atLeast"/>
          <w:jc w:val="center"/>
        </w:trPr>
        <w:tc>
          <w:tcPr>
            <w:tcW w:w="969" w:type="dxa"/>
            <w:vMerge w:val="continue"/>
            <w:tcBorders>
              <w:left w:val="single" w:color="auto" w:sz="4" w:space="0"/>
              <w:right w:val="single" w:color="auto" w:sz="4" w:space="0"/>
            </w:tcBorders>
            <w:noWrap w:val="0"/>
            <w:vAlign w:val="center"/>
          </w:tcPr>
          <w:p w14:paraId="26140E0E">
            <w:pPr>
              <w:spacing w:line="240" w:lineRule="exact"/>
              <w:ind w:firstLine="360"/>
              <w:jc w:val="center"/>
              <w:rPr>
                <w:rFonts w:eastAsia="仿宋_GB2312"/>
                <w:color w:val="000000"/>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18F6A1A8">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7DD85E4">
            <w:pPr>
              <w:spacing w:line="240" w:lineRule="exact"/>
              <w:ind w:firstLine="0" w:firstLineChars="0"/>
              <w:jc w:val="center"/>
              <w:rPr>
                <w:rFonts w:eastAsia="仿宋_GB2312"/>
                <w:color w:val="000000"/>
                <w:kern w:val="0"/>
                <w:sz w:val="18"/>
                <w:szCs w:val="18"/>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3AD3EF8D">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县乡村物流共同配送</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5D6C484">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持续推进</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A7CFFF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持续推进</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3073CE5">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87F22D8">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B20E009">
            <w:pPr>
              <w:spacing w:line="240" w:lineRule="exact"/>
              <w:jc w:val="left"/>
              <w:rPr>
                <w:rFonts w:hint="eastAsia" w:eastAsia="仿宋_GB2312"/>
                <w:color w:val="000000"/>
                <w:kern w:val="0"/>
                <w:sz w:val="18"/>
                <w:szCs w:val="18"/>
                <w:lang w:eastAsia="zh-CN"/>
              </w:rPr>
            </w:pPr>
          </w:p>
        </w:tc>
      </w:tr>
      <w:tr w14:paraId="5C7EBB46">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0B64A669">
            <w:pPr>
              <w:spacing w:line="240" w:lineRule="exact"/>
              <w:ind w:firstLine="360"/>
              <w:jc w:val="left"/>
              <w:rPr>
                <w:rFonts w:eastAsia="仿宋_GB2312"/>
                <w:color w:val="000000"/>
                <w:kern w:val="0"/>
                <w:sz w:val="18"/>
                <w:szCs w:val="18"/>
              </w:rPr>
            </w:pPr>
          </w:p>
        </w:tc>
        <w:tc>
          <w:tcPr>
            <w:tcW w:w="969" w:type="dxa"/>
            <w:tcBorders>
              <w:top w:val="nil"/>
              <w:left w:val="nil"/>
              <w:right w:val="single" w:color="auto" w:sz="4" w:space="0"/>
            </w:tcBorders>
            <w:noWrap w:val="0"/>
            <w:vAlign w:val="center"/>
          </w:tcPr>
          <w:p w14:paraId="41622469">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tcBorders>
              <w:top w:val="nil"/>
              <w:left w:val="nil"/>
              <w:right w:val="single" w:color="auto" w:sz="4" w:space="0"/>
            </w:tcBorders>
            <w:noWrap w:val="0"/>
            <w:tcMar>
              <w:top w:w="0" w:type="dxa"/>
              <w:left w:w="0" w:type="dxa"/>
              <w:bottom w:w="0" w:type="dxa"/>
              <w:right w:w="0" w:type="dxa"/>
            </w:tcMar>
            <w:vAlign w:val="center"/>
          </w:tcPr>
          <w:p w14:paraId="53B51BC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623B0EE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1E91907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34E17C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32A3B0DB">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服务对象满意度</w:t>
            </w:r>
          </w:p>
        </w:tc>
        <w:tc>
          <w:tcPr>
            <w:tcW w:w="1077" w:type="dxa"/>
            <w:tcBorders>
              <w:top w:val="nil"/>
              <w:left w:val="nil"/>
              <w:bottom w:val="single" w:color="auto" w:sz="4" w:space="0"/>
              <w:right w:val="single" w:color="auto" w:sz="4" w:space="0"/>
            </w:tcBorders>
            <w:noWrap w:val="0"/>
            <w:vAlign w:val="center"/>
          </w:tcPr>
          <w:p w14:paraId="7FA18206">
            <w:pPr>
              <w:tabs>
                <w:tab w:val="center" w:pos="430"/>
              </w:tabs>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ab/>
            </w: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98F7FAA">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4E78F1C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474784D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3377F1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AFB9DE4">
        <w:tblPrEx>
          <w:tblCellMar>
            <w:top w:w="0" w:type="dxa"/>
            <w:left w:w="108" w:type="dxa"/>
            <w:bottom w:w="0" w:type="dxa"/>
            <w:right w:w="108" w:type="dxa"/>
          </w:tblCellMar>
        </w:tblPrEx>
        <w:trPr>
          <w:trHeight w:val="267" w:hRule="atLeast"/>
          <w:jc w:val="center"/>
        </w:trPr>
        <w:tc>
          <w:tcPr>
            <w:tcW w:w="969" w:type="dxa"/>
            <w:tcBorders>
              <w:left w:val="single" w:color="auto" w:sz="4" w:space="0"/>
              <w:right w:val="single" w:color="auto" w:sz="4" w:space="0"/>
            </w:tcBorders>
            <w:noWrap w:val="0"/>
            <w:vAlign w:val="center"/>
          </w:tcPr>
          <w:p w14:paraId="1EA28B07">
            <w:pPr>
              <w:spacing w:line="240" w:lineRule="exact"/>
              <w:ind w:firstLine="360"/>
              <w:jc w:val="left"/>
              <w:rPr>
                <w:rFonts w:eastAsia="仿宋_GB2312"/>
                <w:color w:val="000000"/>
                <w:kern w:val="0"/>
                <w:sz w:val="18"/>
                <w:szCs w:val="18"/>
              </w:rPr>
            </w:pPr>
          </w:p>
        </w:tc>
        <w:tc>
          <w:tcPr>
            <w:tcW w:w="969" w:type="dxa"/>
            <w:tcBorders>
              <w:top w:val="nil"/>
              <w:left w:val="nil"/>
              <w:right w:val="single" w:color="auto" w:sz="4" w:space="0"/>
            </w:tcBorders>
            <w:noWrap w:val="0"/>
            <w:vAlign w:val="center"/>
          </w:tcPr>
          <w:p w14:paraId="4A27E5C0">
            <w:pPr>
              <w:spacing w:line="240" w:lineRule="exact"/>
              <w:ind w:firstLine="0" w:firstLineChars="0"/>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D0DA7B0">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3F0340E">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公众满意度</w:t>
            </w:r>
          </w:p>
        </w:tc>
        <w:tc>
          <w:tcPr>
            <w:tcW w:w="1077" w:type="dxa"/>
            <w:tcBorders>
              <w:top w:val="nil"/>
              <w:left w:val="nil"/>
              <w:bottom w:val="single" w:color="auto" w:sz="4" w:space="0"/>
              <w:right w:val="single" w:color="auto" w:sz="4" w:space="0"/>
            </w:tcBorders>
            <w:noWrap w:val="0"/>
            <w:vAlign w:val="center"/>
          </w:tcPr>
          <w:p w14:paraId="3BE47443">
            <w:pPr>
              <w:tabs>
                <w:tab w:val="center" w:pos="430"/>
              </w:tabs>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90%以上</w:t>
            </w:r>
          </w:p>
        </w:tc>
        <w:tc>
          <w:tcPr>
            <w:tcW w:w="1146" w:type="dxa"/>
            <w:tcBorders>
              <w:top w:val="nil"/>
              <w:left w:val="nil"/>
              <w:bottom w:val="single" w:color="auto" w:sz="4" w:space="0"/>
              <w:right w:val="single" w:color="auto" w:sz="4" w:space="0"/>
            </w:tcBorders>
            <w:noWrap w:val="0"/>
            <w:vAlign w:val="center"/>
          </w:tcPr>
          <w:p w14:paraId="1D9A7DFF">
            <w:pPr>
              <w:spacing w:line="240" w:lineRule="exact"/>
              <w:ind w:firstLine="360"/>
              <w:jc w:val="left"/>
              <w:rPr>
                <w:rFonts w:eastAsia="仿宋_GB2312"/>
                <w:color w:val="000000"/>
                <w:kern w:val="0"/>
                <w:sz w:val="18"/>
                <w:szCs w:val="18"/>
              </w:rPr>
            </w:pPr>
          </w:p>
        </w:tc>
        <w:tc>
          <w:tcPr>
            <w:tcW w:w="636" w:type="dxa"/>
            <w:tcBorders>
              <w:top w:val="nil"/>
              <w:left w:val="nil"/>
              <w:bottom w:val="single" w:color="auto" w:sz="4" w:space="0"/>
              <w:right w:val="single" w:color="auto" w:sz="4" w:space="0"/>
            </w:tcBorders>
            <w:noWrap w:val="0"/>
            <w:vAlign w:val="center"/>
          </w:tcPr>
          <w:p w14:paraId="57AC2B57">
            <w:pPr>
              <w:spacing w:line="240" w:lineRule="exact"/>
              <w:jc w:val="left"/>
              <w:rPr>
                <w:rFonts w:hint="eastAsia" w:eastAsia="仿宋_GB2312"/>
                <w:color w:val="000000"/>
                <w:kern w:val="0"/>
                <w:sz w:val="18"/>
                <w:szCs w:val="18"/>
                <w:lang w:val="en-US" w:eastAsia="zh-CN"/>
              </w:rPr>
            </w:pPr>
          </w:p>
        </w:tc>
        <w:tc>
          <w:tcPr>
            <w:tcW w:w="890" w:type="dxa"/>
            <w:tcBorders>
              <w:top w:val="nil"/>
              <w:left w:val="nil"/>
              <w:bottom w:val="single" w:color="auto" w:sz="4" w:space="0"/>
              <w:right w:val="single" w:color="auto" w:sz="4" w:space="0"/>
            </w:tcBorders>
            <w:noWrap w:val="0"/>
            <w:vAlign w:val="center"/>
          </w:tcPr>
          <w:p w14:paraId="7FE815AB">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0873BB47">
            <w:pPr>
              <w:spacing w:line="240" w:lineRule="exact"/>
              <w:ind w:firstLine="360"/>
              <w:jc w:val="left"/>
              <w:rPr>
                <w:rFonts w:eastAsia="仿宋_GB2312"/>
                <w:color w:val="000000"/>
                <w:kern w:val="0"/>
                <w:sz w:val="18"/>
                <w:szCs w:val="18"/>
              </w:rPr>
            </w:pPr>
          </w:p>
        </w:tc>
      </w:tr>
      <w:tr w14:paraId="056E889C">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76DF35DF">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6B63193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526C55F6">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040F1982">
            <w:pPr>
              <w:spacing w:line="240" w:lineRule="exact"/>
              <w:jc w:val="left"/>
              <w:rPr>
                <w:rFonts w:eastAsia="仿宋_GB2312"/>
                <w:color w:val="000000"/>
                <w:kern w:val="0"/>
                <w:sz w:val="18"/>
                <w:szCs w:val="18"/>
              </w:rPr>
            </w:pPr>
            <w:r>
              <w:rPr>
                <w:rFonts w:eastAsia="仿宋_GB2312"/>
                <w:color w:val="000000"/>
                <w:kern w:val="0"/>
                <w:sz w:val="18"/>
                <w:szCs w:val="18"/>
              </w:rPr>
              <w:t>　</w:t>
            </w:r>
          </w:p>
        </w:tc>
      </w:tr>
    </w:tbl>
    <w:p w14:paraId="7089E0EE">
      <w:pPr>
        <w:spacing w:line="600" w:lineRule="exact"/>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eastAsia="zh-CN"/>
        </w:rPr>
        <w:t>陈海燕</w:t>
      </w:r>
      <w:r>
        <w:rPr>
          <w:rFonts w:eastAsia="仿宋_GB2312"/>
          <w:kern w:val="0"/>
          <w:sz w:val="21"/>
          <w:szCs w:val="21"/>
        </w:rPr>
        <w:t xml:space="preserve">        填报日期：</w:t>
      </w:r>
      <w:r>
        <w:rPr>
          <w:rFonts w:hint="eastAsia" w:eastAsia="仿宋_GB2312"/>
          <w:kern w:val="0"/>
          <w:sz w:val="21"/>
          <w:szCs w:val="21"/>
          <w:lang w:val="en-US" w:eastAsia="zh-CN"/>
        </w:rPr>
        <w:t>2025.4.10</w:t>
      </w:r>
      <w:r>
        <w:rPr>
          <w:rFonts w:eastAsia="仿宋_GB2312"/>
          <w:kern w:val="0"/>
          <w:sz w:val="21"/>
          <w:szCs w:val="21"/>
        </w:rPr>
        <w:t xml:space="preserve">          联系电话：</w:t>
      </w:r>
      <w:r>
        <w:rPr>
          <w:rFonts w:hint="eastAsia" w:eastAsia="仿宋_GB2312"/>
          <w:kern w:val="0"/>
          <w:sz w:val="21"/>
          <w:szCs w:val="21"/>
          <w:lang w:val="en-US" w:eastAsia="zh-CN"/>
        </w:rPr>
        <w:t>15211924488</w:t>
      </w:r>
      <w:r>
        <w:rPr>
          <w:rFonts w:eastAsia="仿宋_GB2312"/>
          <w:kern w:val="0"/>
          <w:sz w:val="21"/>
          <w:szCs w:val="21"/>
        </w:rPr>
        <w:t xml:space="preserve">          单位负责人签字：</w:t>
      </w:r>
    </w:p>
    <w:p w14:paraId="01950346">
      <w:pPr>
        <w:spacing w:line="600" w:lineRule="exact"/>
        <w:jc w:val="left"/>
        <w:rPr>
          <w:rFonts w:hint="eastAsia" w:ascii="仿宋_GB2312" w:hAnsi="仿宋_GB2312" w:eastAsia="仿宋_GB2312" w:cs="仿宋_GB2312"/>
          <w:b w:val="0"/>
          <w:bCs/>
          <w:kern w:val="0"/>
          <w:sz w:val="32"/>
          <w:szCs w:val="32"/>
          <w:lang w:val="en-US" w:eastAsia="zh-CN"/>
        </w:rPr>
      </w:pPr>
    </w:p>
    <w:p w14:paraId="49537787">
      <w:pPr>
        <w:spacing w:line="600" w:lineRule="exact"/>
        <w:jc w:val="left"/>
        <w:rPr>
          <w:rFonts w:hint="eastAsia" w:ascii="仿宋_GB2312" w:hAnsi="仿宋_GB2312" w:eastAsia="仿宋_GB2312" w:cs="仿宋_GB2312"/>
          <w:b w:val="0"/>
          <w:bCs/>
          <w:kern w:val="0"/>
          <w:sz w:val="32"/>
          <w:szCs w:val="32"/>
          <w:lang w:val="en-US" w:eastAsia="zh-CN"/>
        </w:rPr>
      </w:pPr>
    </w:p>
    <w:p w14:paraId="03BBFF3D">
      <w:pPr>
        <w:spacing w:line="600" w:lineRule="exact"/>
        <w:jc w:val="left"/>
        <w:rPr>
          <w:rFonts w:hint="eastAsia" w:ascii="仿宋_GB2312" w:hAnsi="仿宋_GB2312" w:eastAsia="仿宋_GB2312" w:cs="仿宋_GB2312"/>
          <w:b w:val="0"/>
          <w:bCs/>
          <w:kern w:val="0"/>
          <w:sz w:val="32"/>
          <w:szCs w:val="32"/>
          <w:lang w:val="en-US" w:eastAsia="zh-CN"/>
        </w:rPr>
      </w:pPr>
    </w:p>
    <w:p w14:paraId="7F8E6AE3">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附件5</w:t>
      </w:r>
    </w:p>
    <w:p w14:paraId="411FDC2B">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eastAsia="zh-CN"/>
        </w:rPr>
        <w:t>县级专项资金</w:t>
      </w:r>
      <w:r>
        <w:rPr>
          <w:rFonts w:hint="eastAsia" w:ascii="方正大标宋简体" w:hAnsi="方正大标宋简体" w:eastAsia="方正大标宋简体" w:cs="方正大标宋简体"/>
          <w:b w:val="0"/>
          <w:bCs/>
          <w:kern w:val="0"/>
          <w:sz w:val="44"/>
          <w:szCs w:val="44"/>
        </w:rPr>
        <w:t>绩效</w:t>
      </w:r>
      <w:r>
        <w:rPr>
          <w:rFonts w:hint="eastAsia" w:ascii="方正大标宋简体" w:hAnsi="方正大标宋简体" w:eastAsia="方正大标宋简体" w:cs="方正大标宋简体"/>
          <w:b w:val="0"/>
          <w:bCs/>
          <w:kern w:val="0"/>
          <w:sz w:val="44"/>
          <w:szCs w:val="44"/>
          <w:lang w:eastAsia="zh-CN"/>
        </w:rPr>
        <w:t>部门评价</w:t>
      </w:r>
      <w:r>
        <w:rPr>
          <w:rFonts w:hint="eastAsia" w:ascii="方正大标宋简体" w:hAnsi="方正大标宋简体" w:eastAsia="方正大标宋简体" w:cs="方正大标宋简体"/>
          <w:b w:val="0"/>
          <w:bCs/>
          <w:kern w:val="0"/>
          <w:sz w:val="44"/>
          <w:szCs w:val="44"/>
        </w:rPr>
        <w:t>报告</w:t>
      </w:r>
    </w:p>
    <w:p w14:paraId="6BEE254B">
      <w:pPr>
        <w:pStyle w:val="4"/>
        <w:adjustRightInd w:val="0"/>
        <w:snapToGrid w:val="0"/>
        <w:spacing w:before="0" w:after="0" w:line="600" w:lineRule="exact"/>
        <w:jc w:val="center"/>
        <w:rPr>
          <w:rFonts w:hint="eastAsia" w:ascii="楷体" w:hAnsi="楷体" w:eastAsia="楷体" w:cs="楷体"/>
          <w:b/>
          <w:bCs w:val="0"/>
        </w:rPr>
      </w:pPr>
    </w:p>
    <w:p w14:paraId="23088F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一、项目概况</w:t>
      </w:r>
    </w:p>
    <w:p w14:paraId="57EDC269">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（一）我局是负责全县招商引资、内外贸易、市场体系建设、电子商务、市场秩序、成品油管理等工作的政府组成部门，</w:t>
      </w:r>
      <w:r>
        <w:rPr>
          <w:rFonts w:hint="eastAsia" w:ascii="仿宋" w:hAnsi="仿宋" w:eastAsia="仿宋" w:cs="仿宋"/>
          <w:sz w:val="32"/>
          <w:szCs w:val="32"/>
          <w:lang w:val="en-US" w:eastAsia="zh-CN"/>
        </w:rPr>
        <w:t>2024</w:t>
      </w:r>
      <w:r>
        <w:rPr>
          <w:rFonts w:hint="eastAsia" w:ascii="仿宋" w:hAnsi="仿宋" w:eastAsia="仿宋" w:cs="仿宋"/>
          <w:sz w:val="32"/>
          <w:szCs w:val="32"/>
        </w:rPr>
        <w:t>年安排招商引资专项经费1</w:t>
      </w:r>
      <w:r>
        <w:rPr>
          <w:rFonts w:hint="eastAsia" w:ascii="仿宋" w:hAnsi="仿宋" w:eastAsia="仿宋" w:cs="仿宋"/>
          <w:sz w:val="32"/>
          <w:szCs w:val="32"/>
          <w:lang w:val="en-US" w:eastAsia="zh-CN"/>
        </w:rPr>
        <w:t>00</w:t>
      </w:r>
      <w:r>
        <w:rPr>
          <w:rFonts w:hint="eastAsia" w:ascii="仿宋" w:hAnsi="仿宋" w:eastAsia="仿宋" w:cs="仿宋"/>
          <w:sz w:val="32"/>
          <w:szCs w:val="32"/>
        </w:rPr>
        <w:t>万元，实际支出 1</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在专项经费使用过程中，我们虚心听取和吸纳各方面对招商引资专项经费使用的意见，主动接受县人大和县财政局的监督，厉行节约，不铺张浪费，最大限度地发挥了招商引资专项经费的作用。</w:t>
      </w:r>
    </w:p>
    <w:p w14:paraId="3AC76B6F">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（二）项目预期达到的经济、政治和社会效益等。</w:t>
      </w:r>
    </w:p>
    <w:p w14:paraId="3BF7F87B">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安排招商引资专项资金目的在于推进我县招商引资工作，促进我县经济发展。</w:t>
      </w:r>
    </w:p>
    <w:p w14:paraId="5FB4B3E8">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sz w:val="32"/>
          <w:szCs w:val="32"/>
        </w:rPr>
      </w:pPr>
    </w:p>
    <w:p w14:paraId="28828FB3">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二、项目资金使用及管理情况</w:t>
      </w:r>
    </w:p>
    <w:p w14:paraId="16CC66E8">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（一）项目资金到位、投入等情况分析。</w:t>
      </w:r>
    </w:p>
    <w:p w14:paraId="5412462B">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年县财政安排招商引资工作专项经费100万元，</w:t>
      </w:r>
      <w:r>
        <w:rPr>
          <w:rFonts w:hint="eastAsia" w:ascii="仿宋" w:hAnsi="仿宋" w:eastAsia="仿宋" w:cs="仿宋"/>
          <w:sz w:val="32"/>
          <w:szCs w:val="32"/>
          <w:lang w:eastAsia="zh-CN"/>
        </w:rPr>
        <w:t>实际到位</w:t>
      </w:r>
      <w:r>
        <w:rPr>
          <w:rFonts w:hint="eastAsia" w:ascii="仿宋" w:hAnsi="仿宋" w:eastAsia="仿宋" w:cs="仿宋"/>
          <w:sz w:val="32"/>
          <w:szCs w:val="32"/>
          <w:lang w:val="en-US" w:eastAsia="zh-CN"/>
        </w:rPr>
        <w:t>100万元。</w:t>
      </w:r>
    </w:p>
    <w:p w14:paraId="5E2C5CB2">
      <w:pPr>
        <w:keepNext w:val="0"/>
        <w:keepLines w:val="0"/>
        <w:pageBreakBefore w:val="0"/>
        <w:numPr>
          <w:ilvl w:val="0"/>
          <w:numId w:val="3"/>
        </w:numPr>
        <w:kinsoku/>
        <w:wordWrap/>
        <w:overflowPunct/>
        <w:topLinePunct w:val="0"/>
        <w:autoSpaceDE/>
        <w:autoSpaceDN/>
        <w:bidi w:val="0"/>
        <w:spacing w:line="30" w:lineRule="atLeas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项目资金实际使用情况分析。</w:t>
      </w:r>
    </w:p>
    <w:p w14:paraId="490A435B">
      <w:pPr>
        <w:keepNext w:val="0"/>
        <w:keepLines w:val="0"/>
        <w:pageBreakBefore w:val="0"/>
        <w:numPr>
          <w:ilvl w:val="0"/>
          <w:numId w:val="0"/>
        </w:numPr>
        <w:kinsoku/>
        <w:wordWrap/>
        <w:overflowPunct/>
        <w:topLinePunct w:val="0"/>
        <w:autoSpaceDE/>
        <w:autoSpaceDN/>
        <w:bidi w:val="0"/>
        <w:spacing w:line="30" w:lineRule="atLeast"/>
        <w:ind w:leftChars="200" w:firstLine="320" w:firstLineChars="100"/>
        <w:rPr>
          <w:rFonts w:hint="eastAsia" w:ascii="仿宋" w:hAnsi="仿宋" w:eastAsia="仿宋" w:cs="仿宋"/>
          <w:sz w:val="32"/>
          <w:szCs w:val="32"/>
        </w:rPr>
      </w:pPr>
      <w:r>
        <w:rPr>
          <w:rFonts w:hint="eastAsia" w:ascii="仿宋" w:hAnsi="仿宋" w:eastAsia="仿宋" w:cs="仿宋"/>
          <w:sz w:val="32"/>
          <w:szCs w:val="32"/>
        </w:rPr>
        <w:t>使用计划经县人大财经委审核通过，具体使用</w:t>
      </w:r>
      <w:r>
        <w:rPr>
          <w:rFonts w:hint="eastAsia" w:ascii="仿宋" w:hAnsi="仿宋" w:eastAsia="仿宋" w:cs="仿宋"/>
          <w:sz w:val="32"/>
          <w:szCs w:val="32"/>
          <w:lang w:eastAsia="zh-CN"/>
        </w:rPr>
        <w:t>情况</w:t>
      </w:r>
      <w:r>
        <w:rPr>
          <w:rFonts w:hint="eastAsia" w:ascii="仿宋" w:hAnsi="仿宋" w:eastAsia="仿宋" w:cs="仿宋"/>
          <w:sz w:val="32"/>
          <w:szCs w:val="32"/>
        </w:rPr>
        <w:t>如下：</w:t>
      </w:r>
    </w:p>
    <w:p w14:paraId="7CF48401">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1、投资促进事务中心运行经费6万元；</w:t>
      </w:r>
    </w:p>
    <w:p w14:paraId="2DE711FC">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2、接待来隆客商考察经费30万元；</w:t>
      </w:r>
    </w:p>
    <w:p w14:paraId="4877BF20">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3、异地招商考察经费（含小分队招商、商会活动、对接“三个500强”专题招商费用等）30万元；</w:t>
      </w:r>
    </w:p>
    <w:p w14:paraId="725C49CB">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4、经贸洽谈活动、招商推介等会务经费16万元；</w:t>
      </w:r>
    </w:p>
    <w:p w14:paraId="554E0EB9">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5、招商业务经费(含招商指南制作、网络媒体宣传费、项目包装、资料打印、办公用品等）10万元；</w:t>
      </w:r>
    </w:p>
    <w:p w14:paraId="341F107F">
      <w:pPr>
        <w:keepNext w:val="0"/>
        <w:keepLines w:val="0"/>
        <w:pageBreakBefore w:val="0"/>
        <w:kinsoku/>
        <w:wordWrap/>
        <w:overflowPunct/>
        <w:topLinePunct w:val="0"/>
        <w:autoSpaceDE/>
        <w:autoSpaceDN/>
        <w:bidi w:val="0"/>
        <w:spacing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6、外资企业注册审批、验资费用8万元。</w:t>
      </w:r>
    </w:p>
    <w:p w14:paraId="10CB0B56">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sz w:val="32"/>
          <w:szCs w:val="32"/>
        </w:rPr>
      </w:pPr>
    </w:p>
    <w:p w14:paraId="3FDA15E6">
      <w:pPr>
        <w:keepNext w:val="0"/>
        <w:keepLines w:val="0"/>
        <w:pageBreakBefore w:val="0"/>
        <w:numPr>
          <w:ilvl w:val="0"/>
          <w:numId w:val="3"/>
        </w:numPr>
        <w:kinsoku/>
        <w:wordWrap/>
        <w:overflowPunct/>
        <w:topLinePunct w:val="0"/>
        <w:autoSpaceDE/>
        <w:autoSpaceDN/>
        <w:bidi w:val="0"/>
        <w:spacing w:line="30" w:lineRule="atLeas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项目资金管理情况分析。</w:t>
      </w:r>
    </w:p>
    <w:p w14:paraId="57572DAD">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Chars="20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本项资金实行“专户管理，逐项审批，集中支付，专款专用”的监管办法。资金使用单位根据使用计划，逐项提出专项资金用款申请，经财政部门审核后，依次报县政府分管副县长、常务副县长、县长批准，县财政部门下达专项资金指标，并将专项资金拨入国库集中支付特设专户。使用单位申请付款时，提供手续齐全合法的有关付款依据，填写专项资金结算报账审批表，报项目主管部门和财政部门审核后，通过国库集中支付系统办理专项资金拨付手续。</w:t>
      </w:r>
    </w:p>
    <w:p w14:paraId="5D92E96E">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sz w:val="32"/>
          <w:szCs w:val="32"/>
        </w:rPr>
      </w:pPr>
    </w:p>
    <w:p w14:paraId="5E006AC7">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三、项目组织实施情况</w:t>
      </w:r>
    </w:p>
    <w:p w14:paraId="6702E835">
      <w:pPr>
        <w:keepNext w:val="0"/>
        <w:keepLines w:val="0"/>
        <w:pageBreakBefore w:val="0"/>
        <w:kinsoku/>
        <w:wordWrap/>
        <w:overflowPunct/>
        <w:topLinePunct w:val="0"/>
        <w:autoSpaceDE/>
        <w:autoSpaceDN/>
        <w:bidi w:val="0"/>
        <w:spacing w:line="30" w:lineRule="atLeast"/>
        <w:ind w:firstLine="480" w:firstLineChars="150"/>
        <w:rPr>
          <w:rFonts w:hint="eastAsia" w:ascii="仿宋" w:hAnsi="仿宋" w:eastAsia="仿宋" w:cs="仿宋"/>
          <w:sz w:val="32"/>
          <w:szCs w:val="32"/>
        </w:rPr>
      </w:pPr>
      <w:r>
        <w:rPr>
          <w:rFonts w:hint="eastAsia" w:ascii="仿宋" w:hAnsi="仿宋" w:eastAsia="仿宋" w:cs="仿宋"/>
          <w:sz w:val="32"/>
          <w:szCs w:val="32"/>
        </w:rPr>
        <w:t>本年度县人大、财政局、审计局对我局招商引资专项资金进行了检查和监督。检查和监督的内容主要为计划执行情况、资金使用情况等，并对检查监督中指出的问题，提出书面整改措施和整改时限，并积极整改。在检查监督中未发现有使用不合理、挪用、挤占招商引资专项资金等情况，最大限度地发挥了招商引资专项经费的作用。</w:t>
      </w:r>
    </w:p>
    <w:p w14:paraId="7E2AFECA">
      <w:pPr>
        <w:keepNext w:val="0"/>
        <w:keepLines w:val="0"/>
        <w:pageBreakBefore w:val="0"/>
        <w:widowControl w:val="0"/>
        <w:numPr>
          <w:ilvl w:val="0"/>
          <w:numId w:val="7"/>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项目绩效情况</w:t>
      </w:r>
    </w:p>
    <w:p w14:paraId="75CF9EFB">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w:t>
      </w:r>
      <w:r>
        <w:rPr>
          <w:rFonts w:hint="eastAsia" w:ascii="仿宋" w:hAnsi="仿宋" w:eastAsia="仿宋" w:cs="仿宋"/>
          <w:b w:val="0"/>
          <w:bCs w:val="0"/>
          <w:sz w:val="32"/>
          <w:szCs w:val="32"/>
          <w:lang w:val="en-US" w:eastAsia="zh-CN"/>
        </w:rPr>
        <w:t>工作完成</w:t>
      </w:r>
      <w:r>
        <w:rPr>
          <w:rFonts w:hint="eastAsia" w:ascii="仿宋" w:hAnsi="仿宋" w:eastAsia="仿宋" w:cs="仿宋"/>
          <w:b w:val="0"/>
          <w:bCs w:val="0"/>
          <w:sz w:val="32"/>
          <w:szCs w:val="32"/>
        </w:rPr>
        <w:t>情况</w:t>
      </w:r>
    </w:p>
    <w:p w14:paraId="4C100F7D">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jc w:val="left"/>
        <w:textAlignment w:val="auto"/>
        <w:rPr>
          <w:rFonts w:hint="eastAsia" w:ascii="仿宋" w:hAnsi="仿宋" w:eastAsia="仿宋" w:cs="仿宋"/>
          <w:b/>
          <w:bCs w:val="0"/>
          <w:kern w:val="2"/>
          <w:sz w:val="32"/>
          <w:szCs w:val="32"/>
          <w:lang w:val="en-US" w:eastAsia="zh-CN" w:bidi="ar-SA"/>
        </w:rPr>
      </w:pPr>
      <w:r>
        <w:rPr>
          <w:rStyle w:val="14"/>
          <w:rFonts w:hint="eastAsia" w:ascii="仿宋" w:hAnsi="仿宋" w:eastAsia="仿宋" w:cs="仿宋"/>
          <w:sz w:val="32"/>
          <w:szCs w:val="32"/>
        </w:rPr>
        <w:t>2024</w:t>
      </w:r>
      <w:r>
        <w:rPr>
          <w:rFonts w:hint="eastAsia" w:ascii="仿宋" w:hAnsi="仿宋" w:eastAsia="仿宋" w:cs="仿宋"/>
          <w:sz w:val="32"/>
          <w:szCs w:val="32"/>
        </w:rPr>
        <w:t>年来，隆回县坚持“招大”与“引强”并重，强化“以实绩论英雄”导向，精准出击，靶向发力，</w:t>
      </w:r>
      <w:r>
        <w:rPr>
          <w:rStyle w:val="14"/>
          <w:rFonts w:hint="eastAsia" w:ascii="仿宋" w:hAnsi="仿宋" w:eastAsia="仿宋" w:cs="仿宋"/>
          <w:sz w:val="32"/>
          <w:szCs w:val="32"/>
        </w:rPr>
        <w:t>引进项目19个，总投资29.5</w:t>
      </w:r>
      <w:r>
        <w:rPr>
          <w:rStyle w:val="14"/>
          <w:rFonts w:hint="eastAsia" w:ascii="仿宋" w:hAnsi="仿宋" w:eastAsia="仿宋" w:cs="仿宋"/>
          <w:sz w:val="32"/>
          <w:szCs w:val="32"/>
          <w:lang w:val="en-US" w:eastAsia="zh-CN"/>
        </w:rPr>
        <w:t>5</w:t>
      </w:r>
      <w:r>
        <w:rPr>
          <w:rStyle w:val="14"/>
          <w:rFonts w:hint="eastAsia" w:ascii="仿宋" w:hAnsi="仿宋" w:eastAsia="仿宋" w:cs="仿宋"/>
          <w:sz w:val="32"/>
          <w:szCs w:val="32"/>
        </w:rPr>
        <w:t>亿元，其中亿元以上项目1</w:t>
      </w:r>
      <w:r>
        <w:rPr>
          <w:rStyle w:val="14"/>
          <w:rFonts w:hint="eastAsia" w:ascii="仿宋" w:hAnsi="仿宋" w:eastAsia="仿宋" w:cs="仿宋"/>
          <w:sz w:val="32"/>
          <w:szCs w:val="32"/>
          <w:lang w:val="en-US" w:eastAsia="zh-CN"/>
        </w:rPr>
        <w:t>5</w:t>
      </w:r>
      <w:r>
        <w:rPr>
          <w:rStyle w:val="14"/>
          <w:rFonts w:hint="eastAsia" w:ascii="仿宋" w:hAnsi="仿宋" w:eastAsia="仿宋" w:cs="仿宋"/>
          <w:sz w:val="32"/>
          <w:szCs w:val="32"/>
        </w:rPr>
        <w:t>个。</w:t>
      </w:r>
      <w:r>
        <w:rPr>
          <w:rStyle w:val="14"/>
          <w:rFonts w:hint="eastAsia" w:ascii="仿宋" w:hAnsi="仿宋" w:eastAsia="仿宋" w:cs="仿宋"/>
          <w:b w:val="0"/>
          <w:bCs w:val="0"/>
          <w:i w:val="0"/>
          <w:caps w:val="0"/>
          <w:color w:val="auto"/>
          <w:spacing w:val="0"/>
          <w:w w:val="100"/>
          <w:sz w:val="32"/>
          <w:szCs w:val="32"/>
          <w:lang w:val="en-US" w:eastAsia="zh-CN"/>
        </w:rPr>
        <w:t>湘商回归投资新签约项目16个，总投资25.55亿元，</w:t>
      </w:r>
      <w:r>
        <w:rPr>
          <w:rStyle w:val="14"/>
          <w:rFonts w:hint="eastAsia" w:ascii="仿宋" w:hAnsi="仿宋" w:eastAsia="仿宋" w:cs="仿宋"/>
          <w:sz w:val="32"/>
          <w:szCs w:val="32"/>
          <w:lang w:val="en-US" w:eastAsia="zh-CN"/>
        </w:rPr>
        <w:t>湘商回归投资新注册企业9个，新涉税主体任务数6个，湘商回归投资累计到位资金30.79亿元；外商直接投资完成178万美元；2024年5月28日成功注册湖南百钰顺有限公司（外商直接投资），完成“三类500强”1个。</w:t>
      </w:r>
    </w:p>
    <w:p w14:paraId="6AFF2508">
      <w:pPr>
        <w:keepNext w:val="0"/>
        <w:keepLines w:val="0"/>
        <w:pageBreakBefore w:val="0"/>
        <w:widowControl w:val="0"/>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二、工作开展情况</w:t>
      </w:r>
    </w:p>
    <w:p w14:paraId="63104F60">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3" w:firstLineChars="200"/>
        <w:jc w:val="both"/>
        <w:textAlignment w:val="center"/>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领导挂帅带头抓</w:t>
      </w:r>
    </w:p>
    <w:p w14:paraId="562A6C14">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县委、县政府把招商引资作为“一号工程”，出台《隆回县落实全市招商引资“大比拼”活动实施方案》《隆回县关于加强统筹联动构建大招商格局工作推进机制方案》，调动全县各单位领导及干部和全民招商的积极性。县领导带领招商小分队，前往长三角、粤港澳大湾区、长株潭等重点地区开展点对点招商、产业链招商1</w:t>
      </w:r>
      <w:r>
        <w:rPr>
          <w:rStyle w:val="14"/>
          <w:rFonts w:hint="eastAsia" w:ascii="仿宋" w:hAnsi="仿宋" w:eastAsia="仿宋" w:cs="仿宋"/>
          <w:sz w:val="32"/>
          <w:szCs w:val="32"/>
          <w:lang w:val="en-US" w:eastAsia="zh-CN"/>
        </w:rPr>
        <w:t>9</w:t>
      </w:r>
      <w:r>
        <w:rPr>
          <w:rStyle w:val="14"/>
          <w:rFonts w:hint="eastAsia" w:ascii="仿宋" w:hAnsi="仿宋" w:eastAsia="仿宋" w:cs="仿宋"/>
          <w:sz w:val="32"/>
          <w:szCs w:val="32"/>
        </w:rPr>
        <w:t>次，走访对接重点企业，引进了猫人电商产业园、泓坤箱包生产线等系列项目。协调湖南盛世丰花生物科技股份有限公司、湖南省现代许丰农业股份有限公司与阿里巴巴1688签订2024年年度头部商家战略协议。进一步形成了“人人思招商、个个谋招商”，你追我赶的生动局面。</w:t>
      </w:r>
    </w:p>
    <w:p w14:paraId="3FA4EB07">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3" w:firstLineChars="200"/>
        <w:jc w:val="both"/>
        <w:textAlignment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）紧扣产业精准招</w:t>
      </w:r>
    </w:p>
    <w:p w14:paraId="45CDDC45">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突出招大引强，把引进一批重大产业、高科技含量、名牌企业、创税能力高的项目作为招商引资的主攻方向和重点，提高项目引进的质量，增强项目带动力。紧紧围绕轻工智能制造、富硒农产品加工“一主一特”等重点产业链，以龙头企业带动、链族企业共同招商，吸引同行企业入驻、推动产业链发展，打造产业集群。以三百运动为龙头，签约高尔夫企业8家，入驻高尔夫国际科创园，其中6家已投产；以湖南世为光电科技有限公司为龙头，签约光电配套企业6家。有效提升产业的配套能力，增强企业的根植性，为推动县域经济高质量发展蓄势赋能。</w:t>
      </w:r>
    </w:p>
    <w:p w14:paraId="6964B62E">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3" w:firstLineChars="200"/>
        <w:jc w:val="both"/>
        <w:textAlignment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）内修外借强力引</w:t>
      </w:r>
    </w:p>
    <w:p w14:paraId="29A41A27">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建立在外企业家信息库，聘请异地隆回商会10名优秀企业家代表为隆回招商大使。坚持“走出去”和“请进来”，围绕“迎老乡、回故乡、建家乡”这根主线，密切加强与各地商会、隆回籍企业家的沟通与联系。成功举办了2024隆回县招商引资大会暨“湘商回归”推进会、民营企业家座谈会、校友回乡企业家代表座谈会等大型活动。接待客商62次，召开招商引资座谈会34次。“湘商回归”签约项目1</w:t>
      </w:r>
      <w:r>
        <w:rPr>
          <w:rStyle w:val="14"/>
          <w:rFonts w:hint="eastAsia" w:ascii="仿宋" w:hAnsi="仿宋" w:eastAsia="仿宋" w:cs="仿宋"/>
          <w:sz w:val="32"/>
          <w:szCs w:val="32"/>
          <w:lang w:val="en-US" w:eastAsia="zh-CN"/>
        </w:rPr>
        <w:t>6</w:t>
      </w:r>
      <w:r>
        <w:rPr>
          <w:rStyle w:val="14"/>
          <w:rFonts w:hint="eastAsia" w:ascii="仿宋" w:hAnsi="仿宋" w:eastAsia="仿宋" w:cs="仿宋"/>
          <w:sz w:val="32"/>
          <w:szCs w:val="32"/>
        </w:rPr>
        <w:t>个，新注册企业9个，累计到位资金33亿元。各乡镇（街道）、各相关职能部门充分利用春节客商回乡过年、清明返乡祭祖的机会，拜访走访企业家，用多种形式、从各个角度宣传推介隆回。在邵阳市纪念魏源诞辰230 周年读书会暨首届邵阳市人才日项目签约活动中成功签约惠州市泓坤箱包生产线项目。</w:t>
      </w:r>
    </w:p>
    <w:p w14:paraId="57C00A89">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3" w:firstLineChars="200"/>
        <w:jc w:val="both"/>
        <w:textAlignment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跟踪服务优保障</w:t>
      </w:r>
    </w:p>
    <w:p w14:paraId="1B221F8F">
      <w:pPr>
        <w:pStyle w:val="9"/>
        <w:keepNext w:val="0"/>
        <w:keepLines w:val="0"/>
        <w:pageBreakBefore w:val="0"/>
        <w:widowControl/>
        <w:kinsoku/>
        <w:wordWrap/>
        <w:overflowPunct/>
        <w:topLinePunct w:val="0"/>
        <w:autoSpaceDE/>
        <w:autoSpaceDN/>
        <w:bidi w:val="0"/>
        <w:adjustRightInd/>
        <w:snapToGrid/>
        <w:spacing w:beforeAutospacing="0" w:afterAutospacing="0" w:line="30" w:lineRule="atLeast"/>
        <w:ind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牢牢抓住重点项目这个“牛鼻子”，紧扣项目谋划、招引、签约、落地、建成、投产等关键环节，提供系统化、精细化、动态化的全流程、全方位、全周期服务。全面摸排梳理2016年以来签约的项目，重点跟踪签约未履约和履约进度缓慢项目，对接了解投资方掌握项目未履约或进展滞后的原因。深入开展“两重”“两新”送解优等活动，努力营造成本最低、效率最高、信誉最好、回报最快的投资环境，为企业做好用工、用地、金融等方面保障。出台《隆回县服务招商引资项目落地全程帮代办工作方案》，建立“帮办代办、无缝对接、全程服务、调度会商”四项机制，实行“一个项目一个工作组”工作模式，着力解决项目落地过程中的各种困难问题，推进项目快落地、快建设、快投产、快达效。省市签约项目的履约率78.6 %、开工率78.57%、投产率42.85%、资金到位率51.42%。</w:t>
      </w:r>
    </w:p>
    <w:p w14:paraId="5D43BB57">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存在的问题</w:t>
      </w:r>
    </w:p>
    <w:p w14:paraId="4930656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（一）“配套不优”的问题</w:t>
      </w:r>
    </w:p>
    <w:p w14:paraId="075FBDCF">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color w:val="auto"/>
          <w:kern w:val="2"/>
          <w:sz w:val="32"/>
          <w:szCs w:val="32"/>
          <w:lang w:val="en-US" w:eastAsia="zh-CN" w:bidi="ar-SA"/>
        </w:rPr>
        <w:t>围绕补齐短板扎实做好打基础利长远的大事难事。园区需进一步完善基础设施和生活配套，加强公共技术平台建设，着力引进科技创新人才，重点在研发设计、检验检测、成果转化、招工培训、信息服务、商贸物流等方面增强服务支撑能力，推进生产性服务业与先进制造业深度融合，努力构建企业集聚、产业集群、要素集约、技术集成、服务集中的产业生态体系。</w:t>
      </w:r>
    </w:p>
    <w:p w14:paraId="0574906D">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（二）“产业链不完善”的问题</w:t>
      </w:r>
    </w:p>
    <w:p w14:paraId="75F9E1F9">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i w:val="0"/>
          <w:iCs w:val="0"/>
          <w:color w:val="0000FF"/>
          <w:spacing w:val="0"/>
          <w:sz w:val="32"/>
          <w:szCs w:val="32"/>
          <w:vertAlign w:val="baseline"/>
          <w:lang w:val="en-US" w:eastAsia="zh-CN"/>
        </w:rPr>
      </w:pPr>
      <w:r>
        <w:rPr>
          <w:rFonts w:hint="eastAsia" w:ascii="仿宋" w:hAnsi="仿宋" w:eastAsia="仿宋" w:cs="仿宋"/>
          <w:b w:val="0"/>
          <w:bCs w:val="0"/>
          <w:kern w:val="2"/>
          <w:sz w:val="32"/>
          <w:szCs w:val="32"/>
          <w:lang w:val="en-US" w:eastAsia="zh-CN" w:bidi="ar-SA"/>
        </w:rPr>
        <w:t>因园区相关配套不足，导致产业链脆弱，甚至出现只要遭受轻微外部冲击即面临全链崩盘的风险，</w:t>
      </w:r>
      <w:r>
        <w:rPr>
          <w:rStyle w:val="14"/>
          <w:rFonts w:hint="eastAsia" w:ascii="仿宋" w:hAnsi="仿宋" w:eastAsia="仿宋" w:cs="仿宋"/>
          <w:b w:val="0"/>
          <w:bCs w:val="0"/>
          <w:i w:val="0"/>
          <w:color w:val="000000"/>
          <w:spacing w:val="0"/>
          <w:w w:val="100"/>
          <w:kern w:val="0"/>
          <w:sz w:val="32"/>
          <w:szCs w:val="32"/>
          <w:lang w:val="en-US" w:eastAsia="zh-CN"/>
        </w:rPr>
        <w:t>上下游企业加大补链、强链、延链、建链力度等方面，需夯实产业基础，建强产业链条，增强产业链韧性，提升产业链水平，形成更强创新力、更高附加值的产业链。</w:t>
      </w:r>
    </w:p>
    <w:p w14:paraId="47D264F5">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（三）“人才储备不足”的问题</w:t>
      </w:r>
    </w:p>
    <w:p w14:paraId="15FA687C">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今年来，随着招商引资力度不断加大，园区有了很大的发展，聚集了大批企业，用工规模也不断扩大，目前光电产业、智能制造、农产品加工等企业，均存在招工难，留人难的问题，特别是技术工人和部分管理、销售人员。</w:t>
      </w:r>
    </w:p>
    <w:p w14:paraId="2AE3E3BE">
      <w:pPr>
        <w:keepNext w:val="0"/>
        <w:keepLines w:val="0"/>
        <w:pageBreakBefore w:val="0"/>
        <w:widowControl w:val="0"/>
        <w:numPr>
          <w:ilvl w:val="0"/>
          <w:numId w:val="8"/>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“土地储备不足”的问题</w:t>
      </w:r>
    </w:p>
    <w:p w14:paraId="4628568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受政策影响，征地拆迁工作越来越难做。补偿标准不断提高，报批手续越来越复杂，用地指标和占补平衡难以落实。在谈的项目很多，但具备开工条件的土地比较少，园区项目等地、项目落地难的问题较为明显。</w:t>
      </w:r>
    </w:p>
    <w:p w14:paraId="23333D5C">
      <w:pPr>
        <w:keepNext w:val="0"/>
        <w:keepLines w:val="0"/>
        <w:pageBreakBefore w:val="0"/>
        <w:widowControl w:val="0"/>
        <w:numPr>
          <w:ilvl w:val="0"/>
          <w:numId w:val="8"/>
        </w:numPr>
        <w:kinsoku/>
        <w:wordWrap/>
        <w:overflowPunct/>
        <w:topLinePunct w:val="0"/>
        <w:autoSpaceDE/>
        <w:autoSpaceDN/>
        <w:bidi w:val="0"/>
        <w:adjustRightInd/>
        <w:snapToGrid/>
        <w:spacing w:line="30" w:lineRule="atLeas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lang w:val="en-US" w:eastAsia="zh-CN" w:bidi="ar-SA"/>
        </w:rPr>
        <w:t>“招大引强难”的问题</w:t>
      </w:r>
    </w:p>
    <w:p w14:paraId="4FF52186">
      <w:pPr>
        <w:keepNext w:val="0"/>
        <w:keepLines w:val="0"/>
        <w:pageBreakBefore w:val="0"/>
        <w:widowControl w:val="0"/>
        <w:kinsoku/>
        <w:wordWrap/>
        <w:overflowPunct/>
        <w:topLinePunct w:val="0"/>
        <w:autoSpaceDE/>
        <w:autoSpaceDN/>
        <w:bidi w:val="0"/>
        <w:adjustRightInd w:val="0"/>
        <w:snapToGrid w:val="0"/>
        <w:spacing w:line="3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bidi="ar-SA"/>
        </w:rPr>
        <w:t>因经济大环境及招商引资优惠政策调整，</w:t>
      </w:r>
      <w:r>
        <w:rPr>
          <w:rFonts w:hint="eastAsia" w:ascii="仿宋" w:hAnsi="仿宋" w:eastAsia="仿宋" w:cs="仿宋"/>
          <w:b w:val="0"/>
          <w:bCs w:val="0"/>
          <w:kern w:val="2"/>
          <w:sz w:val="32"/>
          <w:szCs w:val="32"/>
          <w:lang w:val="en-US" w:eastAsia="zh-CN" w:bidi="ar-SA"/>
        </w:rPr>
        <w:t>财政奖补与税收优惠等传统性的招商方式已被取缔，目前我县出台招商引资优惠政策20条已终止使用，如何创新招商引资方式，如何加快培育和发展新质生产力，已成为一道难题。</w:t>
      </w:r>
    </w:p>
    <w:p w14:paraId="6D446F43">
      <w:pPr>
        <w:keepNext w:val="0"/>
        <w:keepLines w:val="0"/>
        <w:pageBreakBefore w:val="0"/>
        <w:widowControl w:val="0"/>
        <w:numPr>
          <w:ilvl w:val="0"/>
          <w:numId w:val="2"/>
        </w:numPr>
        <w:kinsoku/>
        <w:wordWrap/>
        <w:overflowPunct/>
        <w:topLinePunct w:val="0"/>
        <w:autoSpaceDE/>
        <w:autoSpaceDN/>
        <w:bidi w:val="0"/>
        <w:adjustRightInd w:val="0"/>
        <w:snapToGrid w:val="0"/>
        <w:spacing w:line="30" w:lineRule="atLeas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有关建议</w:t>
      </w:r>
    </w:p>
    <w:p w14:paraId="363A963F">
      <w:pPr>
        <w:keepNext w:val="0"/>
        <w:keepLines w:val="0"/>
        <w:pageBreakBefore w:val="0"/>
        <w:kinsoku/>
        <w:wordWrap/>
        <w:overflowPunct/>
        <w:topLinePunct w:val="0"/>
        <w:autoSpaceDE/>
        <w:autoSpaceDN/>
        <w:bidi w:val="0"/>
        <w:spacing w:line="30" w:lineRule="atLeast"/>
        <w:ind w:firstLine="480" w:firstLineChars="150"/>
        <w:rPr>
          <w:rFonts w:hint="eastAsia" w:ascii="仿宋" w:hAnsi="仿宋" w:eastAsia="仿宋" w:cs="仿宋"/>
          <w:sz w:val="30"/>
          <w:szCs w:val="30"/>
        </w:rPr>
      </w:pPr>
      <w:r>
        <w:rPr>
          <w:rFonts w:hint="eastAsia" w:ascii="仿宋" w:hAnsi="仿宋" w:eastAsia="仿宋" w:cs="仿宋"/>
          <w:color w:val="000000"/>
          <w:kern w:val="0"/>
          <w:sz w:val="32"/>
          <w:szCs w:val="32"/>
        </w:rPr>
        <w:t>招商引资专项资金实行“专户管理，逐项审批，集中支付，专款专用”。在专项资金使用过程中，强化资金预算管理，优化资金支出结构，突出支出重点，加强资金拨付后的监管，提</w:t>
      </w:r>
      <w:r>
        <w:rPr>
          <w:rFonts w:hint="eastAsia" w:ascii="仿宋" w:hAnsi="仿宋" w:eastAsia="仿宋" w:cs="仿宋"/>
          <w:color w:val="000000"/>
          <w:kern w:val="0"/>
          <w:sz w:val="30"/>
          <w:szCs w:val="30"/>
        </w:rPr>
        <w:t>高预算执行效率。</w:t>
      </w:r>
    </w:p>
    <w:p w14:paraId="5AC2AAF8">
      <w:pPr>
        <w:keepNext w:val="0"/>
        <w:keepLines w:val="0"/>
        <w:pageBreakBefore w:val="0"/>
        <w:widowControl w:val="0"/>
        <w:numPr>
          <w:ilvl w:val="0"/>
          <w:numId w:val="0"/>
        </w:numPr>
        <w:kinsoku/>
        <w:wordWrap/>
        <w:overflowPunct/>
        <w:topLinePunct w:val="0"/>
        <w:autoSpaceDE/>
        <w:autoSpaceDN/>
        <w:bidi w:val="0"/>
        <w:adjustRightInd w:val="0"/>
        <w:snapToGrid w:val="0"/>
        <w:spacing w:line="30" w:lineRule="atLeast"/>
        <w:ind w:leftChars="200"/>
        <w:textAlignment w:val="auto"/>
        <w:rPr>
          <w:rFonts w:hint="eastAsia" w:ascii="仿宋" w:hAnsi="仿宋" w:eastAsia="仿宋" w:cs="仿宋"/>
          <w:b w:val="0"/>
          <w:bCs w:val="0"/>
          <w:sz w:val="32"/>
          <w:szCs w:val="32"/>
        </w:rPr>
      </w:pPr>
    </w:p>
    <w:p w14:paraId="7C148FC6">
      <w:pPr>
        <w:pStyle w:val="5"/>
        <w:keepNext w:val="0"/>
        <w:keepLines w:val="0"/>
        <w:pageBreakBefore w:val="0"/>
        <w:kinsoku/>
        <w:wordWrap/>
        <w:overflowPunct/>
        <w:topLinePunct w:val="0"/>
        <w:autoSpaceDE/>
        <w:autoSpaceDN/>
        <w:bidi w:val="0"/>
        <w:spacing w:line="30" w:lineRule="atLeast"/>
        <w:rPr>
          <w:rFonts w:hint="eastAsia" w:ascii="仿宋" w:hAnsi="仿宋" w:eastAsia="仿宋" w:cs="仿宋"/>
          <w:b w:val="0"/>
          <w:bCs w:val="0"/>
          <w:sz w:val="32"/>
          <w:szCs w:val="32"/>
        </w:rPr>
      </w:pPr>
    </w:p>
    <w:p w14:paraId="31D9551F">
      <w:pPr>
        <w:spacing w:line="600" w:lineRule="exact"/>
        <w:ind w:left="0" w:leftChars="0" w:firstLine="0" w:firstLineChars="0"/>
        <w:jc w:val="left"/>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w:br w:type="pag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72B38197">
      <w:pPr>
        <w:spacing w:line="60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县级专项资金</w:t>
      </w:r>
      <w:r>
        <w:rPr>
          <w:rFonts w:ascii="方正小标宋简体" w:hAnsi="方正小标宋简体" w:eastAsia="方正小标宋简体" w:cs="方正小标宋简体"/>
          <w:sz w:val="44"/>
          <w:szCs w:val="44"/>
        </w:rPr>
        <w:t>绩效自评表</w:t>
      </w:r>
    </w:p>
    <w:tbl>
      <w:tblPr>
        <w:tblStyle w:val="10"/>
        <w:tblW w:w="8999" w:type="dxa"/>
        <w:jc w:val="center"/>
        <w:tblLayout w:type="fixed"/>
        <w:tblCellMar>
          <w:top w:w="0" w:type="dxa"/>
          <w:left w:w="108" w:type="dxa"/>
          <w:bottom w:w="0" w:type="dxa"/>
          <w:right w:w="108" w:type="dxa"/>
        </w:tblCellMar>
      </w:tblPr>
      <w:tblGrid>
        <w:gridCol w:w="986"/>
        <w:gridCol w:w="986"/>
        <w:gridCol w:w="986"/>
        <w:gridCol w:w="1118"/>
        <w:gridCol w:w="1037"/>
        <w:gridCol w:w="1035"/>
        <w:gridCol w:w="756"/>
        <w:gridCol w:w="797"/>
        <w:gridCol w:w="1298"/>
      </w:tblGrid>
      <w:tr w14:paraId="221FD5C0">
        <w:tblPrEx>
          <w:tblCellMar>
            <w:top w:w="0" w:type="dxa"/>
            <w:left w:w="108" w:type="dxa"/>
            <w:bottom w:w="0" w:type="dxa"/>
            <w:right w:w="108" w:type="dxa"/>
          </w:tblCellMar>
        </w:tblPrEx>
        <w:trPr>
          <w:trHeight w:val="578" w:hRule="exac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1A2B1E3B">
            <w:pPr>
              <w:spacing w:line="260" w:lineRule="exact"/>
              <w:ind w:firstLine="0" w:firstLineChars="0"/>
              <w:jc w:val="center"/>
              <w:rPr>
                <w:rFonts w:eastAsia="仿宋_GB2312"/>
                <w:color w:val="000000"/>
                <w:kern w:val="0"/>
                <w:sz w:val="18"/>
                <w:szCs w:val="18"/>
              </w:rPr>
            </w:pPr>
            <w:r>
              <w:rPr>
                <w:rFonts w:hint="eastAsia" w:eastAsia="仿宋_GB2312"/>
                <w:color w:val="000000"/>
                <w:kern w:val="0"/>
                <w:sz w:val="18"/>
                <w:szCs w:val="18"/>
                <w:lang w:eastAsia="zh-CN"/>
              </w:rPr>
              <w:t>县级专项资金</w:t>
            </w:r>
            <w:r>
              <w:rPr>
                <w:rFonts w:eastAsia="仿宋_GB2312"/>
                <w:color w:val="000000"/>
                <w:kern w:val="0"/>
                <w:sz w:val="18"/>
                <w:szCs w:val="18"/>
              </w:rPr>
              <w:t>名称</w:t>
            </w:r>
          </w:p>
        </w:tc>
        <w:tc>
          <w:tcPr>
            <w:tcW w:w="8013" w:type="dxa"/>
            <w:gridSpan w:val="8"/>
            <w:tcBorders>
              <w:top w:val="single" w:color="auto" w:sz="4" w:space="0"/>
              <w:left w:val="nil"/>
              <w:bottom w:val="single" w:color="auto" w:sz="4" w:space="0"/>
              <w:right w:val="single" w:color="auto" w:sz="4" w:space="0"/>
            </w:tcBorders>
            <w:noWrap w:val="0"/>
            <w:vAlign w:val="center"/>
          </w:tcPr>
          <w:p w14:paraId="4418969E">
            <w:pPr>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招商引资专项资金</w:t>
            </w:r>
          </w:p>
        </w:tc>
      </w:tr>
      <w:tr w14:paraId="04CE8028">
        <w:tblPrEx>
          <w:tblCellMar>
            <w:top w:w="0" w:type="dxa"/>
            <w:left w:w="108" w:type="dxa"/>
            <w:bottom w:w="0" w:type="dxa"/>
            <w:right w:w="108" w:type="dxa"/>
          </w:tblCellMar>
        </w:tblPrEx>
        <w:trPr>
          <w:trHeight w:val="415" w:hRule="atLeast"/>
          <w:jc w:val="center"/>
        </w:trPr>
        <w:tc>
          <w:tcPr>
            <w:tcW w:w="986" w:type="dxa"/>
            <w:tcBorders>
              <w:top w:val="nil"/>
              <w:left w:val="single" w:color="auto" w:sz="4" w:space="0"/>
              <w:bottom w:val="single" w:color="auto" w:sz="4" w:space="0"/>
              <w:right w:val="single" w:color="auto" w:sz="4" w:space="0"/>
            </w:tcBorders>
            <w:noWrap w:val="0"/>
            <w:vAlign w:val="center"/>
          </w:tcPr>
          <w:p w14:paraId="4CD22079">
            <w:pPr>
              <w:ind w:firstLine="0" w:firstLineChars="0"/>
              <w:jc w:val="center"/>
              <w:rPr>
                <w:rFonts w:eastAsia="仿宋_GB2312"/>
                <w:color w:val="000000"/>
                <w:kern w:val="0"/>
                <w:sz w:val="18"/>
                <w:szCs w:val="18"/>
              </w:rPr>
            </w:pPr>
            <w:r>
              <w:rPr>
                <w:rFonts w:eastAsia="仿宋_GB2312"/>
                <w:color w:val="000000"/>
                <w:kern w:val="0"/>
                <w:sz w:val="18"/>
                <w:szCs w:val="18"/>
              </w:rPr>
              <w:t>主管部门</w:t>
            </w:r>
          </w:p>
        </w:tc>
        <w:tc>
          <w:tcPr>
            <w:tcW w:w="4127" w:type="dxa"/>
            <w:gridSpan w:val="4"/>
            <w:tcBorders>
              <w:top w:val="single" w:color="auto" w:sz="4" w:space="0"/>
              <w:left w:val="nil"/>
              <w:bottom w:val="single" w:color="auto" w:sz="4" w:space="0"/>
              <w:right w:val="single" w:color="auto" w:sz="4" w:space="0"/>
            </w:tcBorders>
            <w:noWrap w:val="0"/>
            <w:vAlign w:val="center"/>
          </w:tcPr>
          <w:p w14:paraId="68486794">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隆回县商务局</w:t>
            </w:r>
          </w:p>
        </w:tc>
        <w:tc>
          <w:tcPr>
            <w:tcW w:w="1035" w:type="dxa"/>
            <w:tcBorders>
              <w:top w:val="single" w:color="auto" w:sz="4" w:space="0"/>
              <w:left w:val="nil"/>
              <w:bottom w:val="single" w:color="auto" w:sz="4" w:space="0"/>
              <w:right w:val="single" w:color="000000" w:sz="4" w:space="0"/>
            </w:tcBorders>
            <w:noWrap w:val="0"/>
            <w:vAlign w:val="center"/>
          </w:tcPr>
          <w:p w14:paraId="69B13E87">
            <w:pPr>
              <w:ind w:firstLine="0" w:firstLineChars="0"/>
              <w:jc w:val="center"/>
              <w:rPr>
                <w:rFonts w:eastAsia="仿宋_GB2312"/>
                <w:color w:val="000000"/>
                <w:kern w:val="0"/>
                <w:sz w:val="18"/>
                <w:szCs w:val="18"/>
              </w:rPr>
            </w:pPr>
            <w:r>
              <w:rPr>
                <w:rFonts w:eastAsia="仿宋_GB2312"/>
                <w:color w:val="000000"/>
                <w:kern w:val="0"/>
                <w:sz w:val="18"/>
                <w:szCs w:val="18"/>
              </w:rPr>
              <w:t>实施单位</w:t>
            </w:r>
          </w:p>
        </w:tc>
        <w:tc>
          <w:tcPr>
            <w:tcW w:w="2851" w:type="dxa"/>
            <w:gridSpan w:val="3"/>
            <w:tcBorders>
              <w:top w:val="single" w:color="auto" w:sz="4" w:space="0"/>
              <w:left w:val="nil"/>
              <w:bottom w:val="single" w:color="auto" w:sz="4" w:space="0"/>
              <w:right w:val="single" w:color="auto" w:sz="4" w:space="0"/>
            </w:tcBorders>
            <w:noWrap w:val="0"/>
            <w:vAlign w:val="center"/>
          </w:tcPr>
          <w:p w14:paraId="6ACAC740">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隆回县投资促进事务中心</w:t>
            </w:r>
          </w:p>
        </w:tc>
      </w:tr>
      <w:tr w14:paraId="01D3DC93">
        <w:tblPrEx>
          <w:tblCellMar>
            <w:top w:w="0" w:type="dxa"/>
            <w:left w:w="108" w:type="dxa"/>
            <w:bottom w:w="0" w:type="dxa"/>
            <w:right w:w="108" w:type="dxa"/>
          </w:tblCellMar>
        </w:tblPrEx>
        <w:trPr>
          <w:trHeight w:val="590" w:hRule="exact"/>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3B81CDCC">
            <w:pPr>
              <w:ind w:firstLine="0" w:firstLineChars="0"/>
              <w:jc w:val="center"/>
              <w:rPr>
                <w:rFonts w:eastAsia="仿宋_GB2312"/>
                <w:color w:val="000000"/>
                <w:kern w:val="0"/>
                <w:sz w:val="18"/>
                <w:szCs w:val="18"/>
              </w:rPr>
            </w:pPr>
            <w:r>
              <w:rPr>
                <w:rFonts w:eastAsia="仿宋_GB2312"/>
                <w:color w:val="000000"/>
                <w:kern w:val="0"/>
                <w:sz w:val="18"/>
                <w:szCs w:val="18"/>
              </w:rPr>
              <w:t>项目资金</w:t>
            </w:r>
            <w:r>
              <w:rPr>
                <w:rFonts w:eastAsia="仿宋_GB2312"/>
                <w:color w:val="000000"/>
                <w:kern w:val="0"/>
                <w:sz w:val="18"/>
                <w:szCs w:val="18"/>
              </w:rPr>
              <w:br w:type="textWrapping"/>
            </w:r>
            <w:r>
              <w:rPr>
                <w:rFonts w:eastAsia="仿宋_GB2312"/>
                <w:color w:val="000000"/>
                <w:kern w:val="0"/>
                <w:sz w:val="18"/>
                <w:szCs w:val="18"/>
              </w:rPr>
              <w:t>（万元）</w:t>
            </w:r>
          </w:p>
        </w:tc>
        <w:tc>
          <w:tcPr>
            <w:tcW w:w="1972" w:type="dxa"/>
            <w:gridSpan w:val="2"/>
            <w:tcBorders>
              <w:top w:val="nil"/>
              <w:left w:val="nil"/>
              <w:bottom w:val="single" w:color="auto" w:sz="4" w:space="0"/>
              <w:right w:val="single" w:color="auto" w:sz="4" w:space="0"/>
            </w:tcBorders>
            <w:noWrap w:val="0"/>
            <w:vAlign w:val="center"/>
          </w:tcPr>
          <w:p w14:paraId="657BE021">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5FEADB90">
            <w:pPr>
              <w:ind w:firstLine="0" w:firstLineChars="0"/>
              <w:jc w:val="center"/>
              <w:rPr>
                <w:rFonts w:eastAsia="仿宋_GB2312"/>
                <w:color w:val="000000"/>
                <w:kern w:val="0"/>
                <w:sz w:val="18"/>
                <w:szCs w:val="18"/>
              </w:rPr>
            </w:pPr>
            <w:r>
              <w:rPr>
                <w:rFonts w:eastAsia="仿宋_GB2312"/>
                <w:color w:val="000000"/>
                <w:kern w:val="0"/>
                <w:sz w:val="18"/>
                <w:szCs w:val="18"/>
              </w:rPr>
              <w:t>年初预算数</w:t>
            </w:r>
          </w:p>
        </w:tc>
        <w:tc>
          <w:tcPr>
            <w:tcW w:w="1037" w:type="dxa"/>
            <w:tcBorders>
              <w:top w:val="nil"/>
              <w:left w:val="nil"/>
              <w:bottom w:val="single" w:color="auto" w:sz="4" w:space="0"/>
              <w:right w:val="single" w:color="auto" w:sz="4" w:space="0"/>
            </w:tcBorders>
            <w:noWrap w:val="0"/>
            <w:vAlign w:val="center"/>
          </w:tcPr>
          <w:p w14:paraId="017165C9">
            <w:pPr>
              <w:ind w:firstLine="0" w:firstLineChars="0"/>
              <w:jc w:val="center"/>
              <w:rPr>
                <w:rFonts w:eastAsia="仿宋_GB2312"/>
                <w:color w:val="000000"/>
                <w:kern w:val="0"/>
                <w:sz w:val="18"/>
                <w:szCs w:val="18"/>
              </w:rPr>
            </w:pPr>
            <w:r>
              <w:rPr>
                <w:rFonts w:eastAsia="仿宋_GB2312"/>
                <w:color w:val="000000"/>
                <w:kern w:val="0"/>
                <w:sz w:val="18"/>
                <w:szCs w:val="18"/>
              </w:rPr>
              <w:t>全年预算数</w:t>
            </w:r>
          </w:p>
        </w:tc>
        <w:tc>
          <w:tcPr>
            <w:tcW w:w="1035" w:type="dxa"/>
            <w:tcBorders>
              <w:top w:val="nil"/>
              <w:left w:val="nil"/>
              <w:bottom w:val="single" w:color="auto" w:sz="4" w:space="0"/>
              <w:right w:val="single" w:color="auto" w:sz="4" w:space="0"/>
            </w:tcBorders>
            <w:noWrap w:val="0"/>
            <w:vAlign w:val="center"/>
          </w:tcPr>
          <w:p w14:paraId="319353C3">
            <w:pPr>
              <w:ind w:firstLine="0" w:firstLineChars="0"/>
              <w:jc w:val="center"/>
              <w:rPr>
                <w:rFonts w:eastAsia="仿宋_GB2312"/>
                <w:sz w:val="18"/>
                <w:szCs w:val="18"/>
              </w:rPr>
            </w:pPr>
            <w:r>
              <w:rPr>
                <w:rFonts w:eastAsia="仿宋_GB2312"/>
                <w:sz w:val="18"/>
                <w:szCs w:val="18"/>
              </w:rPr>
              <w:t>全年执行数</w:t>
            </w:r>
          </w:p>
        </w:tc>
        <w:tc>
          <w:tcPr>
            <w:tcW w:w="756" w:type="dxa"/>
            <w:tcBorders>
              <w:top w:val="nil"/>
              <w:left w:val="nil"/>
              <w:bottom w:val="single" w:color="auto" w:sz="4" w:space="0"/>
              <w:right w:val="single" w:color="auto" w:sz="4" w:space="0"/>
            </w:tcBorders>
            <w:noWrap w:val="0"/>
            <w:vAlign w:val="center"/>
          </w:tcPr>
          <w:p w14:paraId="13FF3A16">
            <w:pPr>
              <w:ind w:firstLine="0" w:firstLineChars="0"/>
              <w:jc w:val="center"/>
              <w:rPr>
                <w:rFonts w:eastAsia="仿宋_GB2312"/>
                <w:sz w:val="18"/>
                <w:szCs w:val="18"/>
              </w:rPr>
            </w:pPr>
            <w:r>
              <w:rPr>
                <w:rFonts w:eastAsia="仿宋_GB2312"/>
                <w:sz w:val="18"/>
                <w:szCs w:val="18"/>
              </w:rPr>
              <w:t>分值</w:t>
            </w:r>
          </w:p>
        </w:tc>
        <w:tc>
          <w:tcPr>
            <w:tcW w:w="797" w:type="dxa"/>
            <w:tcBorders>
              <w:top w:val="nil"/>
              <w:left w:val="nil"/>
              <w:bottom w:val="single" w:color="auto" w:sz="4" w:space="0"/>
              <w:right w:val="single" w:color="auto" w:sz="4" w:space="0"/>
            </w:tcBorders>
            <w:noWrap w:val="0"/>
            <w:vAlign w:val="center"/>
          </w:tcPr>
          <w:p w14:paraId="2E942E0A">
            <w:pPr>
              <w:ind w:firstLine="0" w:firstLineChars="0"/>
              <w:jc w:val="center"/>
              <w:rPr>
                <w:rFonts w:eastAsia="仿宋_GB2312"/>
                <w:sz w:val="18"/>
                <w:szCs w:val="18"/>
              </w:rPr>
            </w:pPr>
            <w:r>
              <w:rPr>
                <w:rFonts w:eastAsia="仿宋_GB2312"/>
                <w:sz w:val="18"/>
                <w:szCs w:val="18"/>
              </w:rPr>
              <w:t>执行率</w:t>
            </w:r>
          </w:p>
        </w:tc>
        <w:tc>
          <w:tcPr>
            <w:tcW w:w="1298" w:type="dxa"/>
            <w:tcBorders>
              <w:top w:val="nil"/>
              <w:left w:val="nil"/>
              <w:bottom w:val="single" w:color="auto" w:sz="4" w:space="0"/>
              <w:right w:val="single" w:color="auto" w:sz="4" w:space="0"/>
            </w:tcBorders>
            <w:noWrap w:val="0"/>
            <w:vAlign w:val="center"/>
          </w:tcPr>
          <w:p w14:paraId="3A4BF957">
            <w:pPr>
              <w:ind w:firstLine="360"/>
              <w:jc w:val="center"/>
              <w:rPr>
                <w:rFonts w:eastAsia="仿宋_GB2312"/>
                <w:sz w:val="18"/>
                <w:szCs w:val="18"/>
              </w:rPr>
            </w:pPr>
            <w:r>
              <w:rPr>
                <w:rFonts w:eastAsia="仿宋_GB2312"/>
                <w:sz w:val="18"/>
                <w:szCs w:val="18"/>
              </w:rPr>
              <w:t>得分</w:t>
            </w:r>
          </w:p>
        </w:tc>
      </w:tr>
      <w:tr w14:paraId="5513F9D3">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7C7C2754">
            <w:pPr>
              <w:ind w:firstLine="360"/>
              <w:jc w:val="center"/>
              <w:rPr>
                <w:rFonts w:eastAsia="仿宋_GB2312"/>
                <w:color w:val="000000"/>
                <w:kern w:val="0"/>
                <w:sz w:val="18"/>
                <w:szCs w:val="18"/>
              </w:rPr>
            </w:pPr>
          </w:p>
        </w:tc>
        <w:tc>
          <w:tcPr>
            <w:tcW w:w="1972" w:type="dxa"/>
            <w:gridSpan w:val="2"/>
            <w:tcBorders>
              <w:top w:val="nil"/>
              <w:left w:val="nil"/>
              <w:bottom w:val="single" w:color="auto" w:sz="4" w:space="0"/>
              <w:right w:val="single" w:color="auto" w:sz="4" w:space="0"/>
            </w:tcBorders>
            <w:noWrap w:val="0"/>
            <w:vAlign w:val="center"/>
          </w:tcPr>
          <w:p w14:paraId="7F3D4E8C">
            <w:pPr>
              <w:ind w:firstLine="0" w:firstLineChars="0"/>
              <w:jc w:val="center"/>
              <w:rPr>
                <w:rFonts w:eastAsia="仿宋_GB2312"/>
                <w:color w:val="000000"/>
                <w:kern w:val="0"/>
                <w:sz w:val="18"/>
                <w:szCs w:val="18"/>
              </w:rPr>
            </w:pPr>
            <w:r>
              <w:rPr>
                <w:rFonts w:eastAsia="仿宋_GB2312"/>
                <w:color w:val="000000"/>
                <w:kern w:val="0"/>
                <w:sz w:val="18"/>
                <w:szCs w:val="18"/>
              </w:rPr>
              <w:t>年度资金总额</w:t>
            </w:r>
          </w:p>
        </w:tc>
        <w:tc>
          <w:tcPr>
            <w:tcW w:w="1118" w:type="dxa"/>
            <w:tcBorders>
              <w:top w:val="nil"/>
              <w:left w:val="nil"/>
              <w:bottom w:val="single" w:color="auto" w:sz="4" w:space="0"/>
              <w:right w:val="single" w:color="auto" w:sz="4" w:space="0"/>
            </w:tcBorders>
            <w:noWrap w:val="0"/>
            <w:vAlign w:val="center"/>
          </w:tcPr>
          <w:p w14:paraId="5678E2F7">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037" w:type="dxa"/>
            <w:tcBorders>
              <w:top w:val="nil"/>
              <w:left w:val="nil"/>
              <w:bottom w:val="single" w:color="auto" w:sz="4" w:space="0"/>
              <w:right w:val="single" w:color="auto" w:sz="4" w:space="0"/>
            </w:tcBorders>
            <w:noWrap w:val="0"/>
            <w:vAlign w:val="center"/>
          </w:tcPr>
          <w:p w14:paraId="3C1FC126">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035" w:type="dxa"/>
            <w:tcBorders>
              <w:top w:val="nil"/>
              <w:left w:val="nil"/>
              <w:bottom w:val="single" w:color="auto" w:sz="4" w:space="0"/>
              <w:right w:val="single" w:color="auto" w:sz="4" w:space="0"/>
            </w:tcBorders>
            <w:noWrap w:val="0"/>
            <w:vAlign w:val="center"/>
          </w:tcPr>
          <w:p w14:paraId="04D1D259">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756" w:type="dxa"/>
            <w:tcBorders>
              <w:top w:val="nil"/>
              <w:left w:val="nil"/>
              <w:bottom w:val="single" w:color="auto" w:sz="4" w:space="0"/>
              <w:right w:val="single" w:color="auto" w:sz="4" w:space="0"/>
            </w:tcBorders>
            <w:noWrap w:val="0"/>
            <w:vAlign w:val="center"/>
          </w:tcPr>
          <w:p w14:paraId="18E7B2DD">
            <w:pPr>
              <w:ind w:firstLine="0" w:firstLineChars="0"/>
              <w:jc w:val="center"/>
              <w:rPr>
                <w:rFonts w:eastAsia="仿宋_GB2312"/>
                <w:color w:val="000000"/>
                <w:kern w:val="0"/>
                <w:sz w:val="18"/>
                <w:szCs w:val="18"/>
              </w:rPr>
            </w:pPr>
            <w:r>
              <w:rPr>
                <w:rFonts w:eastAsia="仿宋_GB2312"/>
                <w:color w:val="000000"/>
                <w:kern w:val="0"/>
                <w:sz w:val="18"/>
                <w:szCs w:val="18"/>
              </w:rPr>
              <w:t>10</w:t>
            </w:r>
          </w:p>
        </w:tc>
        <w:tc>
          <w:tcPr>
            <w:tcW w:w="797" w:type="dxa"/>
            <w:tcBorders>
              <w:top w:val="nil"/>
              <w:left w:val="nil"/>
              <w:bottom w:val="single" w:color="auto" w:sz="4" w:space="0"/>
              <w:right w:val="single" w:color="auto" w:sz="4" w:space="0"/>
            </w:tcBorders>
            <w:noWrap w:val="0"/>
            <w:vAlign w:val="center"/>
          </w:tcPr>
          <w:p w14:paraId="0B92DB32">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6E78C122">
            <w:pPr>
              <w:ind w:firstLine="360"/>
              <w:jc w:val="center"/>
              <w:rPr>
                <w:rFonts w:eastAsia="仿宋_GB2312"/>
                <w:color w:val="000000"/>
                <w:kern w:val="0"/>
                <w:sz w:val="18"/>
                <w:szCs w:val="18"/>
              </w:rPr>
            </w:pPr>
          </w:p>
        </w:tc>
      </w:tr>
      <w:tr w14:paraId="561492C8">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278E25D4">
            <w:pPr>
              <w:ind w:firstLine="360"/>
              <w:jc w:val="center"/>
              <w:rPr>
                <w:rFonts w:eastAsia="仿宋_GB2312"/>
                <w:color w:val="000000"/>
                <w:kern w:val="0"/>
                <w:sz w:val="18"/>
                <w:szCs w:val="18"/>
              </w:rPr>
            </w:pPr>
          </w:p>
        </w:tc>
        <w:tc>
          <w:tcPr>
            <w:tcW w:w="1972" w:type="dxa"/>
            <w:gridSpan w:val="2"/>
            <w:tcBorders>
              <w:top w:val="nil"/>
              <w:left w:val="nil"/>
              <w:bottom w:val="single" w:color="auto" w:sz="4" w:space="0"/>
              <w:right w:val="single" w:color="auto" w:sz="4" w:space="0"/>
            </w:tcBorders>
            <w:noWrap w:val="0"/>
            <w:vAlign w:val="center"/>
          </w:tcPr>
          <w:p w14:paraId="37C641C0">
            <w:pPr>
              <w:ind w:firstLine="0" w:firstLineChars="0"/>
              <w:jc w:val="center"/>
              <w:rPr>
                <w:rFonts w:eastAsia="仿宋_GB2312"/>
                <w:color w:val="000000"/>
                <w:kern w:val="0"/>
                <w:sz w:val="18"/>
                <w:szCs w:val="18"/>
              </w:rPr>
            </w:pPr>
            <w:r>
              <w:rPr>
                <w:rFonts w:eastAsia="仿宋_GB2312"/>
                <w:color w:val="000000"/>
                <w:kern w:val="0"/>
                <w:sz w:val="18"/>
                <w:szCs w:val="18"/>
              </w:rPr>
              <w:t>其中：当年财政拨款</w:t>
            </w:r>
          </w:p>
        </w:tc>
        <w:tc>
          <w:tcPr>
            <w:tcW w:w="1118" w:type="dxa"/>
            <w:tcBorders>
              <w:top w:val="nil"/>
              <w:left w:val="nil"/>
              <w:bottom w:val="single" w:color="auto" w:sz="4" w:space="0"/>
              <w:right w:val="single" w:color="auto" w:sz="4" w:space="0"/>
            </w:tcBorders>
            <w:noWrap w:val="0"/>
            <w:vAlign w:val="center"/>
          </w:tcPr>
          <w:p w14:paraId="18C3ECBD">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037" w:type="dxa"/>
            <w:tcBorders>
              <w:top w:val="nil"/>
              <w:left w:val="nil"/>
              <w:bottom w:val="single" w:color="auto" w:sz="4" w:space="0"/>
              <w:right w:val="single" w:color="auto" w:sz="4" w:space="0"/>
            </w:tcBorders>
            <w:noWrap w:val="0"/>
            <w:vAlign w:val="center"/>
          </w:tcPr>
          <w:p w14:paraId="1153F0BB">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035" w:type="dxa"/>
            <w:tcBorders>
              <w:top w:val="nil"/>
              <w:left w:val="nil"/>
              <w:bottom w:val="single" w:color="auto" w:sz="4" w:space="0"/>
              <w:right w:val="single" w:color="auto" w:sz="4" w:space="0"/>
            </w:tcBorders>
            <w:noWrap w:val="0"/>
            <w:vAlign w:val="center"/>
          </w:tcPr>
          <w:p w14:paraId="1F322E31">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756" w:type="dxa"/>
            <w:tcBorders>
              <w:top w:val="nil"/>
              <w:left w:val="nil"/>
              <w:bottom w:val="single" w:color="auto" w:sz="4" w:space="0"/>
              <w:right w:val="single" w:color="auto" w:sz="4" w:space="0"/>
            </w:tcBorders>
            <w:noWrap w:val="0"/>
            <w:vAlign w:val="center"/>
          </w:tcPr>
          <w:p w14:paraId="0A0F350B">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3DEAC19">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53F63477">
            <w:pPr>
              <w:ind w:firstLine="360"/>
              <w:jc w:val="center"/>
              <w:rPr>
                <w:rFonts w:eastAsia="仿宋_GB2312"/>
                <w:color w:val="000000"/>
                <w:kern w:val="0"/>
                <w:sz w:val="18"/>
                <w:szCs w:val="18"/>
              </w:rPr>
            </w:pPr>
          </w:p>
        </w:tc>
      </w:tr>
      <w:tr w14:paraId="6B02A69F">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09D2F8F2">
            <w:pPr>
              <w:ind w:firstLine="360"/>
              <w:jc w:val="center"/>
              <w:rPr>
                <w:rFonts w:eastAsia="仿宋_GB2312"/>
                <w:color w:val="000000"/>
                <w:kern w:val="0"/>
                <w:sz w:val="18"/>
                <w:szCs w:val="18"/>
              </w:rPr>
            </w:pPr>
          </w:p>
        </w:tc>
        <w:tc>
          <w:tcPr>
            <w:tcW w:w="1972" w:type="dxa"/>
            <w:gridSpan w:val="2"/>
            <w:tcBorders>
              <w:top w:val="nil"/>
              <w:left w:val="nil"/>
              <w:bottom w:val="single" w:color="auto" w:sz="4" w:space="0"/>
              <w:right w:val="single" w:color="auto" w:sz="4" w:space="0"/>
            </w:tcBorders>
            <w:noWrap w:val="0"/>
            <w:vAlign w:val="center"/>
          </w:tcPr>
          <w:p w14:paraId="0A39CA79">
            <w:pPr>
              <w:ind w:firstLine="540" w:firstLineChars="300"/>
              <w:jc w:val="center"/>
              <w:rPr>
                <w:rFonts w:eastAsia="仿宋_GB2312"/>
                <w:color w:val="000000"/>
                <w:kern w:val="0"/>
                <w:sz w:val="18"/>
                <w:szCs w:val="18"/>
              </w:rPr>
            </w:pPr>
            <w:r>
              <w:rPr>
                <w:rFonts w:eastAsia="仿宋_GB2312"/>
                <w:color w:val="000000"/>
                <w:kern w:val="0"/>
                <w:sz w:val="18"/>
                <w:szCs w:val="18"/>
              </w:rPr>
              <w:t>上年结转资金</w:t>
            </w:r>
          </w:p>
        </w:tc>
        <w:tc>
          <w:tcPr>
            <w:tcW w:w="1118" w:type="dxa"/>
            <w:tcBorders>
              <w:top w:val="nil"/>
              <w:left w:val="nil"/>
              <w:bottom w:val="single" w:color="auto" w:sz="4" w:space="0"/>
              <w:right w:val="single" w:color="auto" w:sz="4" w:space="0"/>
            </w:tcBorders>
            <w:noWrap w:val="0"/>
            <w:vAlign w:val="center"/>
          </w:tcPr>
          <w:p w14:paraId="0186335E">
            <w:pPr>
              <w:ind w:firstLine="360"/>
              <w:jc w:val="center"/>
              <w:rPr>
                <w:rFonts w:eastAsia="仿宋_GB2312"/>
                <w:color w:val="000000"/>
                <w:kern w:val="0"/>
                <w:sz w:val="18"/>
                <w:szCs w:val="18"/>
              </w:rPr>
            </w:pPr>
          </w:p>
        </w:tc>
        <w:tc>
          <w:tcPr>
            <w:tcW w:w="1037" w:type="dxa"/>
            <w:tcBorders>
              <w:top w:val="nil"/>
              <w:left w:val="nil"/>
              <w:bottom w:val="single" w:color="auto" w:sz="4" w:space="0"/>
              <w:right w:val="single" w:color="auto" w:sz="4" w:space="0"/>
            </w:tcBorders>
            <w:noWrap w:val="0"/>
            <w:vAlign w:val="center"/>
          </w:tcPr>
          <w:p w14:paraId="7520E6A9">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388C6DCB">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356B48B3">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59F9C520">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DADC8AF">
            <w:pPr>
              <w:ind w:firstLine="360"/>
              <w:jc w:val="center"/>
              <w:rPr>
                <w:rFonts w:eastAsia="仿宋_GB2312"/>
                <w:color w:val="000000"/>
                <w:kern w:val="0"/>
                <w:sz w:val="18"/>
                <w:szCs w:val="18"/>
              </w:rPr>
            </w:pPr>
          </w:p>
        </w:tc>
      </w:tr>
      <w:tr w14:paraId="28D0C19B">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473C425A">
            <w:pPr>
              <w:ind w:firstLine="360"/>
              <w:jc w:val="center"/>
              <w:rPr>
                <w:rFonts w:eastAsia="仿宋_GB2312"/>
                <w:color w:val="000000"/>
                <w:kern w:val="0"/>
                <w:sz w:val="18"/>
                <w:szCs w:val="18"/>
              </w:rPr>
            </w:pPr>
          </w:p>
        </w:tc>
        <w:tc>
          <w:tcPr>
            <w:tcW w:w="1972" w:type="dxa"/>
            <w:gridSpan w:val="2"/>
            <w:tcBorders>
              <w:top w:val="nil"/>
              <w:left w:val="nil"/>
              <w:bottom w:val="single" w:color="auto" w:sz="4" w:space="0"/>
              <w:right w:val="single" w:color="auto" w:sz="4" w:space="0"/>
            </w:tcBorders>
            <w:noWrap w:val="0"/>
            <w:vAlign w:val="center"/>
          </w:tcPr>
          <w:p w14:paraId="1FA42A35">
            <w:pPr>
              <w:ind w:firstLine="540" w:firstLineChars="300"/>
              <w:jc w:val="center"/>
              <w:rPr>
                <w:rFonts w:eastAsia="仿宋_GB2312"/>
                <w:color w:val="000000"/>
                <w:kern w:val="0"/>
                <w:sz w:val="18"/>
                <w:szCs w:val="18"/>
              </w:rPr>
            </w:pPr>
            <w:r>
              <w:rPr>
                <w:rFonts w:eastAsia="仿宋_GB2312"/>
                <w:color w:val="000000"/>
                <w:kern w:val="0"/>
                <w:sz w:val="18"/>
                <w:szCs w:val="18"/>
              </w:rPr>
              <w:t>其他资金</w:t>
            </w:r>
          </w:p>
        </w:tc>
        <w:tc>
          <w:tcPr>
            <w:tcW w:w="1118" w:type="dxa"/>
            <w:tcBorders>
              <w:top w:val="nil"/>
              <w:left w:val="nil"/>
              <w:bottom w:val="single" w:color="auto" w:sz="4" w:space="0"/>
              <w:right w:val="single" w:color="auto" w:sz="4" w:space="0"/>
            </w:tcBorders>
            <w:noWrap w:val="0"/>
            <w:vAlign w:val="center"/>
          </w:tcPr>
          <w:p w14:paraId="6D92B4C0">
            <w:pPr>
              <w:ind w:firstLine="360"/>
              <w:jc w:val="center"/>
              <w:rPr>
                <w:rFonts w:eastAsia="仿宋_GB2312"/>
                <w:color w:val="000000"/>
                <w:kern w:val="0"/>
                <w:sz w:val="18"/>
                <w:szCs w:val="18"/>
              </w:rPr>
            </w:pPr>
          </w:p>
        </w:tc>
        <w:tc>
          <w:tcPr>
            <w:tcW w:w="1037" w:type="dxa"/>
            <w:tcBorders>
              <w:top w:val="nil"/>
              <w:left w:val="nil"/>
              <w:bottom w:val="single" w:color="auto" w:sz="4" w:space="0"/>
              <w:right w:val="single" w:color="auto" w:sz="4" w:space="0"/>
            </w:tcBorders>
            <w:noWrap w:val="0"/>
            <w:vAlign w:val="center"/>
          </w:tcPr>
          <w:p w14:paraId="49620539">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71D35239">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37DC0379">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1645A57E">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01CC8444">
            <w:pPr>
              <w:ind w:firstLine="360"/>
              <w:jc w:val="center"/>
              <w:rPr>
                <w:rFonts w:eastAsia="仿宋_GB2312"/>
                <w:color w:val="000000"/>
                <w:kern w:val="0"/>
                <w:sz w:val="18"/>
                <w:szCs w:val="18"/>
              </w:rPr>
            </w:pPr>
          </w:p>
        </w:tc>
      </w:tr>
      <w:tr w14:paraId="33BD273B">
        <w:tblPrEx>
          <w:tblCellMar>
            <w:top w:w="0" w:type="dxa"/>
            <w:left w:w="108" w:type="dxa"/>
            <w:bottom w:w="0" w:type="dxa"/>
            <w:right w:w="108" w:type="dxa"/>
          </w:tblCellMar>
        </w:tblPrEx>
        <w:trPr>
          <w:trHeight w:val="306" w:hRule="exact"/>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7C800116">
            <w:pPr>
              <w:ind w:firstLine="0" w:firstLineChars="0"/>
              <w:jc w:val="center"/>
              <w:rPr>
                <w:rFonts w:eastAsia="仿宋_GB2312"/>
                <w:color w:val="000000"/>
                <w:kern w:val="0"/>
                <w:sz w:val="18"/>
                <w:szCs w:val="18"/>
              </w:rPr>
            </w:pPr>
            <w:r>
              <w:rPr>
                <w:rFonts w:eastAsia="仿宋_GB2312"/>
                <w:color w:val="000000"/>
                <w:kern w:val="0"/>
                <w:sz w:val="18"/>
                <w:szCs w:val="18"/>
              </w:rPr>
              <w:t>年度总体目标</w:t>
            </w:r>
          </w:p>
        </w:tc>
        <w:tc>
          <w:tcPr>
            <w:tcW w:w="4127" w:type="dxa"/>
            <w:gridSpan w:val="4"/>
            <w:tcBorders>
              <w:top w:val="single" w:color="auto" w:sz="4" w:space="0"/>
              <w:left w:val="nil"/>
              <w:bottom w:val="single" w:color="auto" w:sz="4" w:space="0"/>
              <w:right w:val="single" w:color="000000" w:sz="4" w:space="0"/>
            </w:tcBorders>
            <w:noWrap w:val="0"/>
            <w:vAlign w:val="center"/>
          </w:tcPr>
          <w:p w14:paraId="169DE55E">
            <w:pPr>
              <w:ind w:firstLine="360"/>
              <w:jc w:val="center"/>
              <w:rPr>
                <w:rFonts w:eastAsia="仿宋_GB2312"/>
                <w:color w:val="000000"/>
                <w:kern w:val="0"/>
                <w:sz w:val="18"/>
                <w:szCs w:val="18"/>
              </w:rPr>
            </w:pPr>
            <w:r>
              <w:rPr>
                <w:rFonts w:eastAsia="仿宋_GB2312"/>
                <w:color w:val="000000"/>
                <w:kern w:val="0"/>
                <w:sz w:val="18"/>
                <w:szCs w:val="18"/>
              </w:rPr>
              <w:t>预期目标</w:t>
            </w:r>
          </w:p>
        </w:tc>
        <w:tc>
          <w:tcPr>
            <w:tcW w:w="3886" w:type="dxa"/>
            <w:gridSpan w:val="4"/>
            <w:tcBorders>
              <w:top w:val="single" w:color="auto" w:sz="4" w:space="0"/>
              <w:left w:val="nil"/>
              <w:bottom w:val="single" w:color="auto" w:sz="4" w:space="0"/>
              <w:right w:val="single" w:color="auto" w:sz="4" w:space="0"/>
            </w:tcBorders>
            <w:noWrap w:val="0"/>
            <w:vAlign w:val="center"/>
          </w:tcPr>
          <w:p w14:paraId="31EC616E">
            <w:pPr>
              <w:ind w:firstLine="360"/>
              <w:jc w:val="center"/>
              <w:rPr>
                <w:rFonts w:eastAsia="仿宋_GB2312"/>
                <w:color w:val="000000"/>
                <w:kern w:val="0"/>
                <w:sz w:val="18"/>
                <w:szCs w:val="18"/>
              </w:rPr>
            </w:pPr>
            <w:r>
              <w:rPr>
                <w:rFonts w:eastAsia="仿宋_GB2312"/>
                <w:color w:val="000000"/>
                <w:kern w:val="0"/>
                <w:sz w:val="18"/>
                <w:szCs w:val="18"/>
              </w:rPr>
              <w:t>实际完成情况</w:t>
            </w:r>
          </w:p>
        </w:tc>
      </w:tr>
      <w:tr w14:paraId="662897F7">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48558F47">
            <w:pPr>
              <w:ind w:firstLine="360"/>
              <w:jc w:val="center"/>
              <w:rPr>
                <w:rFonts w:eastAsia="仿宋_GB2312"/>
                <w:color w:val="000000"/>
                <w:kern w:val="0"/>
                <w:sz w:val="18"/>
                <w:szCs w:val="18"/>
              </w:rPr>
            </w:pPr>
          </w:p>
        </w:tc>
        <w:tc>
          <w:tcPr>
            <w:tcW w:w="4127" w:type="dxa"/>
            <w:gridSpan w:val="4"/>
            <w:tcBorders>
              <w:top w:val="single" w:color="auto" w:sz="4" w:space="0"/>
              <w:left w:val="nil"/>
              <w:bottom w:val="single" w:color="auto" w:sz="4" w:space="0"/>
              <w:right w:val="single" w:color="000000" w:sz="4" w:space="0"/>
            </w:tcBorders>
            <w:noWrap w:val="0"/>
            <w:vAlign w:val="center"/>
          </w:tcPr>
          <w:p w14:paraId="2C479C0C">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扎实推进基础工作，想方设法招大引强，积极跟踪在谈项目，精心组织招商活动。</w:t>
            </w:r>
          </w:p>
        </w:tc>
        <w:tc>
          <w:tcPr>
            <w:tcW w:w="3886" w:type="dxa"/>
            <w:gridSpan w:val="4"/>
            <w:tcBorders>
              <w:top w:val="single" w:color="auto" w:sz="4" w:space="0"/>
              <w:left w:val="nil"/>
              <w:bottom w:val="single" w:color="auto" w:sz="4" w:space="0"/>
              <w:right w:val="single" w:color="auto" w:sz="4" w:space="0"/>
            </w:tcBorders>
            <w:noWrap w:val="0"/>
            <w:vAlign w:val="center"/>
          </w:tcPr>
          <w:p w14:paraId="652A3AC0">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已完成</w:t>
            </w:r>
          </w:p>
        </w:tc>
      </w:tr>
      <w:tr w14:paraId="3D771C16">
        <w:tblPrEx>
          <w:tblCellMar>
            <w:top w:w="0" w:type="dxa"/>
            <w:left w:w="108" w:type="dxa"/>
            <w:bottom w:w="0" w:type="dxa"/>
            <w:right w:w="108" w:type="dxa"/>
          </w:tblCellMar>
        </w:tblPrEx>
        <w:trPr>
          <w:trHeight w:val="646" w:hRule="exact"/>
          <w:jc w:val="center"/>
        </w:trPr>
        <w:tc>
          <w:tcPr>
            <w:tcW w:w="986" w:type="dxa"/>
            <w:vMerge w:val="restart"/>
            <w:tcBorders>
              <w:top w:val="nil"/>
              <w:left w:val="single" w:color="auto" w:sz="4" w:space="0"/>
              <w:right w:val="single" w:color="auto" w:sz="4" w:space="0"/>
            </w:tcBorders>
            <w:noWrap w:val="0"/>
            <w:vAlign w:val="center"/>
          </w:tcPr>
          <w:p w14:paraId="0E943D39">
            <w:pPr>
              <w:ind w:firstLine="360"/>
              <w:jc w:val="center"/>
              <w:rPr>
                <w:rFonts w:eastAsia="仿宋_GB2312"/>
                <w:color w:val="000000"/>
                <w:kern w:val="0"/>
                <w:sz w:val="18"/>
                <w:szCs w:val="18"/>
              </w:rPr>
            </w:pPr>
            <w:r>
              <w:rPr>
                <w:rFonts w:eastAsia="仿宋_GB2312"/>
                <w:color w:val="000000"/>
                <w:kern w:val="0"/>
                <w:sz w:val="18"/>
                <w:szCs w:val="18"/>
              </w:rPr>
              <w:t>绩</w:t>
            </w:r>
          </w:p>
          <w:p w14:paraId="0E10861C">
            <w:pPr>
              <w:ind w:firstLine="360"/>
              <w:jc w:val="center"/>
              <w:rPr>
                <w:rFonts w:eastAsia="仿宋_GB2312"/>
                <w:color w:val="000000"/>
                <w:kern w:val="0"/>
                <w:sz w:val="18"/>
                <w:szCs w:val="18"/>
              </w:rPr>
            </w:pPr>
            <w:r>
              <w:rPr>
                <w:rFonts w:eastAsia="仿宋_GB2312"/>
                <w:color w:val="000000"/>
                <w:kern w:val="0"/>
                <w:sz w:val="18"/>
                <w:szCs w:val="18"/>
              </w:rPr>
              <w:t>效</w:t>
            </w:r>
          </w:p>
          <w:p w14:paraId="35CC6D5C">
            <w:pPr>
              <w:ind w:firstLine="360"/>
              <w:jc w:val="center"/>
              <w:rPr>
                <w:rFonts w:eastAsia="仿宋_GB2312"/>
                <w:color w:val="000000"/>
                <w:kern w:val="0"/>
                <w:sz w:val="18"/>
                <w:szCs w:val="18"/>
              </w:rPr>
            </w:pPr>
            <w:r>
              <w:rPr>
                <w:rFonts w:eastAsia="仿宋_GB2312"/>
                <w:color w:val="000000"/>
                <w:kern w:val="0"/>
                <w:sz w:val="18"/>
                <w:szCs w:val="18"/>
              </w:rPr>
              <w:t>指</w:t>
            </w:r>
          </w:p>
          <w:p w14:paraId="4026513F">
            <w:pPr>
              <w:ind w:firstLine="360"/>
              <w:jc w:val="center"/>
              <w:rPr>
                <w:rFonts w:eastAsia="仿宋_GB2312"/>
                <w:color w:val="000000"/>
                <w:kern w:val="0"/>
                <w:sz w:val="18"/>
                <w:szCs w:val="18"/>
              </w:rPr>
            </w:pPr>
            <w:r>
              <w:rPr>
                <w:rFonts w:eastAsia="仿宋_GB2312"/>
                <w:color w:val="000000"/>
                <w:kern w:val="0"/>
                <w:sz w:val="18"/>
                <w:szCs w:val="18"/>
              </w:rPr>
              <w:t>标</w:t>
            </w:r>
          </w:p>
        </w:tc>
        <w:tc>
          <w:tcPr>
            <w:tcW w:w="986" w:type="dxa"/>
            <w:tcBorders>
              <w:top w:val="nil"/>
              <w:left w:val="nil"/>
              <w:bottom w:val="single" w:color="auto" w:sz="4" w:space="0"/>
              <w:right w:val="single" w:color="auto" w:sz="4" w:space="0"/>
            </w:tcBorders>
            <w:noWrap w:val="0"/>
            <w:vAlign w:val="center"/>
          </w:tcPr>
          <w:p w14:paraId="10E99EB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一级指标</w:t>
            </w:r>
          </w:p>
        </w:tc>
        <w:tc>
          <w:tcPr>
            <w:tcW w:w="986" w:type="dxa"/>
            <w:tcBorders>
              <w:top w:val="nil"/>
              <w:left w:val="nil"/>
              <w:bottom w:val="single" w:color="auto" w:sz="4" w:space="0"/>
              <w:right w:val="single" w:color="auto" w:sz="4" w:space="0"/>
            </w:tcBorders>
            <w:noWrap w:val="0"/>
            <w:vAlign w:val="center"/>
          </w:tcPr>
          <w:p w14:paraId="113EBCE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118" w:type="dxa"/>
            <w:tcBorders>
              <w:top w:val="nil"/>
              <w:left w:val="nil"/>
              <w:bottom w:val="single" w:color="auto" w:sz="4" w:space="0"/>
              <w:right w:val="single" w:color="auto" w:sz="4" w:space="0"/>
            </w:tcBorders>
            <w:noWrap w:val="0"/>
            <w:vAlign w:val="center"/>
          </w:tcPr>
          <w:p w14:paraId="5505F73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37" w:type="dxa"/>
            <w:tcBorders>
              <w:top w:val="nil"/>
              <w:left w:val="nil"/>
              <w:bottom w:val="single" w:color="auto" w:sz="4" w:space="0"/>
              <w:right w:val="single" w:color="auto" w:sz="4" w:space="0"/>
            </w:tcBorders>
            <w:noWrap w:val="0"/>
            <w:vAlign w:val="center"/>
          </w:tcPr>
          <w:p w14:paraId="5F0B599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年度指标值</w:t>
            </w:r>
          </w:p>
        </w:tc>
        <w:tc>
          <w:tcPr>
            <w:tcW w:w="1035" w:type="dxa"/>
            <w:tcBorders>
              <w:top w:val="nil"/>
              <w:left w:val="nil"/>
              <w:bottom w:val="single" w:color="auto" w:sz="4" w:space="0"/>
              <w:right w:val="single" w:color="auto" w:sz="4" w:space="0"/>
            </w:tcBorders>
            <w:noWrap w:val="0"/>
            <w:vAlign w:val="center"/>
          </w:tcPr>
          <w:p w14:paraId="5FAF8F2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实际完成值</w:t>
            </w:r>
          </w:p>
        </w:tc>
        <w:tc>
          <w:tcPr>
            <w:tcW w:w="756" w:type="dxa"/>
            <w:tcBorders>
              <w:top w:val="nil"/>
              <w:left w:val="nil"/>
              <w:bottom w:val="single" w:color="auto" w:sz="4" w:space="0"/>
              <w:right w:val="single" w:color="auto" w:sz="4" w:space="0"/>
            </w:tcBorders>
            <w:noWrap w:val="0"/>
            <w:vAlign w:val="center"/>
          </w:tcPr>
          <w:p w14:paraId="4B276D0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分值</w:t>
            </w:r>
          </w:p>
        </w:tc>
        <w:tc>
          <w:tcPr>
            <w:tcW w:w="797" w:type="dxa"/>
            <w:tcBorders>
              <w:top w:val="nil"/>
              <w:left w:val="nil"/>
              <w:bottom w:val="single" w:color="auto" w:sz="4" w:space="0"/>
              <w:right w:val="single" w:color="auto" w:sz="4" w:space="0"/>
            </w:tcBorders>
            <w:noWrap w:val="0"/>
            <w:vAlign w:val="center"/>
          </w:tcPr>
          <w:p w14:paraId="78535AE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98" w:type="dxa"/>
            <w:tcBorders>
              <w:top w:val="nil"/>
              <w:left w:val="nil"/>
              <w:bottom w:val="single" w:color="auto" w:sz="4" w:space="0"/>
              <w:right w:val="single" w:color="auto" w:sz="4" w:space="0"/>
            </w:tcBorders>
            <w:noWrap w:val="0"/>
            <w:vAlign w:val="center"/>
          </w:tcPr>
          <w:p w14:paraId="483086E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偏差原因分析及改进措施</w:t>
            </w:r>
          </w:p>
        </w:tc>
      </w:tr>
      <w:tr w14:paraId="77B1EB7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9383716">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3CA346B9">
            <w:pPr>
              <w:ind w:firstLine="0" w:firstLineChars="0"/>
              <w:jc w:val="center"/>
              <w:rPr>
                <w:rFonts w:eastAsia="仿宋_GB2312"/>
                <w:color w:val="000000"/>
                <w:kern w:val="0"/>
                <w:sz w:val="18"/>
                <w:szCs w:val="18"/>
              </w:rPr>
            </w:pPr>
            <w:r>
              <w:rPr>
                <w:rFonts w:eastAsia="仿宋_GB2312"/>
                <w:color w:val="000000"/>
                <w:kern w:val="0"/>
                <w:sz w:val="18"/>
                <w:szCs w:val="18"/>
              </w:rPr>
              <w:t>产出指标</w:t>
            </w:r>
          </w:p>
          <w:p w14:paraId="6367A42A">
            <w:pPr>
              <w:ind w:firstLine="0" w:firstLineChars="0"/>
              <w:jc w:val="center"/>
              <w:rPr>
                <w:rFonts w:eastAsia="仿宋_GB2312"/>
                <w:color w:val="000000"/>
                <w:kern w:val="0"/>
                <w:sz w:val="18"/>
                <w:szCs w:val="18"/>
              </w:rPr>
            </w:pPr>
            <w:r>
              <w:rPr>
                <w:rFonts w:eastAsia="仿宋_GB2312"/>
                <w:color w:val="000000"/>
                <w:kern w:val="0"/>
                <w:sz w:val="18"/>
                <w:szCs w:val="18"/>
              </w:rPr>
              <w:t>(50分)</w:t>
            </w:r>
          </w:p>
        </w:tc>
        <w:tc>
          <w:tcPr>
            <w:tcW w:w="986" w:type="dxa"/>
            <w:vMerge w:val="restart"/>
            <w:tcBorders>
              <w:top w:val="nil"/>
              <w:left w:val="nil"/>
              <w:right w:val="single" w:color="auto" w:sz="4" w:space="0"/>
            </w:tcBorders>
            <w:noWrap w:val="0"/>
            <w:vAlign w:val="center"/>
          </w:tcPr>
          <w:p w14:paraId="03BB4893">
            <w:pPr>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118" w:type="dxa"/>
            <w:tcBorders>
              <w:top w:val="nil"/>
              <w:left w:val="nil"/>
              <w:bottom w:val="single" w:color="auto" w:sz="4" w:space="0"/>
              <w:right w:val="single" w:color="auto" w:sz="4" w:space="0"/>
            </w:tcBorders>
            <w:noWrap w:val="0"/>
            <w:vAlign w:val="center"/>
          </w:tcPr>
          <w:p w14:paraId="2DFC5F1F">
            <w:pPr>
              <w:ind w:firstLine="360"/>
              <w:jc w:val="center"/>
              <w:rPr>
                <w:rFonts w:eastAsia="仿宋_GB2312"/>
                <w:color w:val="000000"/>
                <w:kern w:val="0"/>
                <w:sz w:val="18"/>
                <w:szCs w:val="18"/>
              </w:rPr>
            </w:pPr>
            <w:r>
              <w:rPr>
                <w:rFonts w:eastAsia="仿宋_GB2312"/>
                <w:color w:val="000000"/>
                <w:kern w:val="0"/>
                <w:sz w:val="18"/>
                <w:szCs w:val="18"/>
              </w:rPr>
              <w:t>指标1：</w:t>
            </w:r>
          </w:p>
        </w:tc>
        <w:tc>
          <w:tcPr>
            <w:tcW w:w="1037" w:type="dxa"/>
            <w:tcBorders>
              <w:top w:val="nil"/>
              <w:left w:val="nil"/>
              <w:bottom w:val="single" w:color="auto" w:sz="4" w:space="0"/>
              <w:right w:val="single" w:color="auto" w:sz="4" w:space="0"/>
            </w:tcBorders>
            <w:noWrap w:val="0"/>
            <w:vAlign w:val="center"/>
          </w:tcPr>
          <w:p w14:paraId="371350BC">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B0CD880">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69197F2A">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4304114D">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1527DD9">
            <w:pPr>
              <w:ind w:firstLine="360"/>
              <w:jc w:val="center"/>
              <w:rPr>
                <w:rFonts w:eastAsia="仿宋_GB2312"/>
                <w:color w:val="000000"/>
                <w:kern w:val="0"/>
                <w:sz w:val="18"/>
                <w:szCs w:val="18"/>
              </w:rPr>
            </w:pPr>
          </w:p>
        </w:tc>
      </w:tr>
      <w:tr w14:paraId="55255ACF">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942C330">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1BF11243">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575FE3AB">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0EAE4FD8">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1856F704">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728FFBB1">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290D23EE">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49E9CBFC">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1F5F4C7">
            <w:pPr>
              <w:ind w:firstLine="360"/>
              <w:jc w:val="center"/>
              <w:rPr>
                <w:rFonts w:eastAsia="仿宋_GB2312"/>
                <w:color w:val="000000"/>
                <w:kern w:val="0"/>
                <w:sz w:val="18"/>
                <w:szCs w:val="18"/>
              </w:rPr>
            </w:pPr>
          </w:p>
        </w:tc>
      </w:tr>
      <w:tr w14:paraId="0415F85B">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FB371C0">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0F210BA9">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4C980E96">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339EAC1E">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24DE82E0">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E6C4B7D">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376D7C3C">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3B606A96">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76B2DA56">
            <w:pPr>
              <w:ind w:firstLine="360"/>
              <w:jc w:val="center"/>
              <w:rPr>
                <w:rFonts w:eastAsia="仿宋_GB2312"/>
                <w:color w:val="000000"/>
                <w:kern w:val="0"/>
                <w:sz w:val="18"/>
                <w:szCs w:val="18"/>
              </w:rPr>
            </w:pPr>
          </w:p>
        </w:tc>
      </w:tr>
      <w:tr w14:paraId="7EE4754D">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FC39EB4">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3C56E2CD">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144B01BB">
            <w:pPr>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118" w:type="dxa"/>
            <w:tcBorders>
              <w:top w:val="nil"/>
              <w:left w:val="nil"/>
              <w:bottom w:val="single" w:color="auto" w:sz="4" w:space="0"/>
              <w:right w:val="single" w:color="auto" w:sz="4" w:space="0"/>
            </w:tcBorders>
            <w:noWrap w:val="0"/>
            <w:vAlign w:val="center"/>
          </w:tcPr>
          <w:p w14:paraId="215361F4">
            <w:pPr>
              <w:ind w:firstLine="360"/>
              <w:jc w:val="center"/>
              <w:rPr>
                <w:rFonts w:eastAsia="仿宋_GB2312"/>
                <w:color w:val="000000"/>
                <w:kern w:val="0"/>
                <w:sz w:val="18"/>
                <w:szCs w:val="18"/>
              </w:rPr>
            </w:pPr>
            <w:r>
              <w:rPr>
                <w:rFonts w:eastAsia="仿宋_GB2312"/>
                <w:color w:val="000000"/>
                <w:kern w:val="0"/>
                <w:sz w:val="18"/>
                <w:szCs w:val="18"/>
              </w:rPr>
              <w:t>指标1：</w:t>
            </w:r>
          </w:p>
        </w:tc>
        <w:tc>
          <w:tcPr>
            <w:tcW w:w="1037" w:type="dxa"/>
            <w:tcBorders>
              <w:top w:val="nil"/>
              <w:left w:val="nil"/>
              <w:bottom w:val="single" w:color="auto" w:sz="4" w:space="0"/>
              <w:right w:val="single" w:color="auto" w:sz="4" w:space="0"/>
            </w:tcBorders>
            <w:noWrap w:val="0"/>
            <w:vAlign w:val="center"/>
          </w:tcPr>
          <w:p w14:paraId="6EBEBAE3">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2C1B6C18">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0F052905">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BB17004">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E762A66">
            <w:pPr>
              <w:ind w:firstLine="360"/>
              <w:jc w:val="center"/>
              <w:rPr>
                <w:rFonts w:eastAsia="仿宋_GB2312"/>
                <w:color w:val="000000"/>
                <w:kern w:val="0"/>
                <w:sz w:val="18"/>
                <w:szCs w:val="18"/>
              </w:rPr>
            </w:pPr>
          </w:p>
        </w:tc>
      </w:tr>
      <w:tr w14:paraId="7A875801">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3490944F">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25DD68D1">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171E7F3B">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3F377B92">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6FBBA966">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3BE91474">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02650218">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49019D07">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E711D49">
            <w:pPr>
              <w:ind w:firstLine="360"/>
              <w:jc w:val="center"/>
              <w:rPr>
                <w:rFonts w:eastAsia="仿宋_GB2312"/>
                <w:color w:val="000000"/>
                <w:kern w:val="0"/>
                <w:sz w:val="18"/>
                <w:szCs w:val="18"/>
              </w:rPr>
            </w:pPr>
          </w:p>
        </w:tc>
      </w:tr>
      <w:tr w14:paraId="3F5E5C1F">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53AF906">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70A18A61">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74C5EC61">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19E545B4">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749A53D4">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547BD40">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262319DB">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1CEFAB82">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266796C3">
            <w:pPr>
              <w:ind w:firstLine="360"/>
              <w:jc w:val="center"/>
              <w:rPr>
                <w:rFonts w:eastAsia="仿宋_GB2312"/>
                <w:color w:val="000000"/>
                <w:kern w:val="0"/>
                <w:sz w:val="18"/>
                <w:szCs w:val="18"/>
              </w:rPr>
            </w:pPr>
          </w:p>
        </w:tc>
      </w:tr>
      <w:tr w14:paraId="17B3E52D">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5B06D54">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0AAFABC8">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14CABDE7">
            <w:pPr>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118" w:type="dxa"/>
            <w:tcBorders>
              <w:top w:val="nil"/>
              <w:left w:val="nil"/>
              <w:bottom w:val="single" w:color="auto" w:sz="4" w:space="0"/>
              <w:right w:val="single" w:color="auto" w:sz="4" w:space="0"/>
            </w:tcBorders>
            <w:noWrap w:val="0"/>
            <w:vAlign w:val="center"/>
          </w:tcPr>
          <w:p w14:paraId="524CF774">
            <w:pPr>
              <w:ind w:firstLine="360"/>
              <w:jc w:val="center"/>
              <w:rPr>
                <w:rFonts w:eastAsia="仿宋_GB2312"/>
                <w:color w:val="000000"/>
                <w:kern w:val="0"/>
                <w:sz w:val="18"/>
                <w:szCs w:val="18"/>
              </w:rPr>
            </w:pPr>
            <w:r>
              <w:rPr>
                <w:rFonts w:eastAsia="仿宋_GB2312"/>
                <w:color w:val="000000"/>
                <w:kern w:val="0"/>
                <w:sz w:val="18"/>
                <w:szCs w:val="18"/>
              </w:rPr>
              <w:t>指标1：</w:t>
            </w:r>
          </w:p>
        </w:tc>
        <w:tc>
          <w:tcPr>
            <w:tcW w:w="1037" w:type="dxa"/>
            <w:tcBorders>
              <w:top w:val="nil"/>
              <w:left w:val="nil"/>
              <w:bottom w:val="single" w:color="auto" w:sz="4" w:space="0"/>
              <w:right w:val="single" w:color="auto" w:sz="4" w:space="0"/>
            </w:tcBorders>
            <w:noWrap w:val="0"/>
            <w:vAlign w:val="center"/>
          </w:tcPr>
          <w:p w14:paraId="3D90B4CA">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2AC19393">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7C957355">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0737E161">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6BB2CEE8">
            <w:pPr>
              <w:ind w:firstLine="360"/>
              <w:jc w:val="center"/>
              <w:rPr>
                <w:rFonts w:eastAsia="仿宋_GB2312"/>
                <w:color w:val="000000"/>
                <w:kern w:val="0"/>
                <w:sz w:val="18"/>
                <w:szCs w:val="18"/>
              </w:rPr>
            </w:pPr>
          </w:p>
        </w:tc>
      </w:tr>
      <w:tr w14:paraId="6FE6745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294FD09">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331EC336">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2FDB7DE1">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0BBFC886">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6BD2A95A">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3F67CFA2">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51291413">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14FEA2E7">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B7C8C66">
            <w:pPr>
              <w:ind w:firstLine="360"/>
              <w:jc w:val="center"/>
              <w:rPr>
                <w:rFonts w:eastAsia="仿宋_GB2312"/>
                <w:color w:val="000000"/>
                <w:kern w:val="0"/>
                <w:sz w:val="18"/>
                <w:szCs w:val="18"/>
              </w:rPr>
            </w:pPr>
          </w:p>
        </w:tc>
      </w:tr>
      <w:tr w14:paraId="46071961">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2413532E">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415CC79C">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1EB20F47">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34EF00FF">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69B1072B">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2B56C259">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440179FD">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176B8388">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130A3F25">
            <w:pPr>
              <w:ind w:firstLine="360"/>
              <w:jc w:val="center"/>
              <w:rPr>
                <w:rFonts w:eastAsia="仿宋_GB2312"/>
                <w:color w:val="000000"/>
                <w:kern w:val="0"/>
                <w:sz w:val="18"/>
                <w:szCs w:val="18"/>
              </w:rPr>
            </w:pPr>
          </w:p>
        </w:tc>
      </w:tr>
      <w:tr w14:paraId="6A0CBB7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7DE8DEA">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10F98C06">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6B55912B">
            <w:pPr>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118" w:type="dxa"/>
            <w:tcBorders>
              <w:top w:val="nil"/>
              <w:left w:val="nil"/>
              <w:bottom w:val="single" w:color="auto" w:sz="4" w:space="0"/>
              <w:right w:val="single" w:color="auto" w:sz="4" w:space="0"/>
            </w:tcBorders>
            <w:noWrap w:val="0"/>
            <w:vAlign w:val="center"/>
          </w:tcPr>
          <w:p w14:paraId="542B17D5">
            <w:pPr>
              <w:jc w:val="both"/>
              <w:rPr>
                <w:rFonts w:hint="eastAsia" w:eastAsia="仿宋_GB2312"/>
                <w:color w:val="000000"/>
                <w:kern w:val="0"/>
                <w:sz w:val="18"/>
                <w:szCs w:val="18"/>
                <w:lang w:eastAsia="zh-CN"/>
              </w:rPr>
            </w:pPr>
            <w:r>
              <w:rPr>
                <w:rFonts w:hint="eastAsia" w:eastAsia="仿宋_GB2312"/>
                <w:color w:val="000000"/>
                <w:kern w:val="0"/>
                <w:sz w:val="18"/>
                <w:szCs w:val="18"/>
                <w:lang w:eastAsia="zh-CN"/>
              </w:rPr>
              <w:t>经济成本指标</w:t>
            </w:r>
          </w:p>
        </w:tc>
        <w:tc>
          <w:tcPr>
            <w:tcW w:w="1037" w:type="dxa"/>
            <w:tcBorders>
              <w:top w:val="nil"/>
              <w:left w:val="nil"/>
              <w:bottom w:val="single" w:color="auto" w:sz="4" w:space="0"/>
              <w:right w:val="single" w:color="auto" w:sz="4" w:space="0"/>
            </w:tcBorders>
            <w:noWrap w:val="0"/>
            <w:vAlign w:val="center"/>
          </w:tcPr>
          <w:p w14:paraId="19E75CF8">
            <w:pPr>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100万元</w:t>
            </w:r>
          </w:p>
        </w:tc>
        <w:tc>
          <w:tcPr>
            <w:tcW w:w="1035" w:type="dxa"/>
            <w:tcBorders>
              <w:top w:val="nil"/>
              <w:left w:val="nil"/>
              <w:bottom w:val="single" w:color="auto" w:sz="4" w:space="0"/>
              <w:right w:val="single" w:color="auto" w:sz="4" w:space="0"/>
            </w:tcBorders>
            <w:noWrap w:val="0"/>
            <w:vAlign w:val="center"/>
          </w:tcPr>
          <w:p w14:paraId="6F1BFE07">
            <w:pPr>
              <w:jc w:val="both"/>
              <w:rPr>
                <w:rFonts w:hint="default"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bidi="ar-SA"/>
              </w:rPr>
              <w:t>100万元</w:t>
            </w:r>
          </w:p>
        </w:tc>
        <w:tc>
          <w:tcPr>
            <w:tcW w:w="756" w:type="dxa"/>
            <w:tcBorders>
              <w:top w:val="nil"/>
              <w:left w:val="nil"/>
              <w:bottom w:val="single" w:color="auto" w:sz="4" w:space="0"/>
              <w:right w:val="single" w:color="auto" w:sz="4" w:space="0"/>
            </w:tcBorders>
            <w:noWrap w:val="0"/>
            <w:vAlign w:val="center"/>
          </w:tcPr>
          <w:p w14:paraId="3037AA32">
            <w:pPr>
              <w:jc w:val="both"/>
              <w:rPr>
                <w:rFonts w:hint="default" w:ascii="Times New Roman" w:hAnsi="Times New Roman" w:eastAsia="仿宋_GB2312" w:cs="Times New Roman"/>
                <w:color w:val="000000"/>
                <w:kern w:val="0"/>
                <w:sz w:val="18"/>
                <w:szCs w:val="18"/>
                <w:lang w:val="en-US" w:eastAsia="zh-CN" w:bidi="ar-SA"/>
              </w:rPr>
            </w:pPr>
          </w:p>
        </w:tc>
        <w:tc>
          <w:tcPr>
            <w:tcW w:w="797" w:type="dxa"/>
            <w:tcBorders>
              <w:top w:val="nil"/>
              <w:left w:val="nil"/>
              <w:bottom w:val="single" w:color="auto" w:sz="4" w:space="0"/>
              <w:right w:val="single" w:color="auto" w:sz="4" w:space="0"/>
            </w:tcBorders>
            <w:noWrap w:val="0"/>
            <w:vAlign w:val="center"/>
          </w:tcPr>
          <w:p w14:paraId="47BD2DD6">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1481607">
            <w:pPr>
              <w:ind w:firstLine="360"/>
              <w:jc w:val="center"/>
              <w:rPr>
                <w:rFonts w:eastAsia="仿宋_GB2312"/>
                <w:color w:val="000000"/>
                <w:kern w:val="0"/>
                <w:sz w:val="18"/>
                <w:szCs w:val="18"/>
              </w:rPr>
            </w:pPr>
          </w:p>
        </w:tc>
      </w:tr>
      <w:tr w14:paraId="4C434B5D">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160E5ED">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7A950D58">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7B8B8D0F">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5904972C">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社会成本指标</w:t>
            </w:r>
          </w:p>
        </w:tc>
        <w:tc>
          <w:tcPr>
            <w:tcW w:w="1037" w:type="dxa"/>
            <w:tcBorders>
              <w:top w:val="nil"/>
              <w:left w:val="nil"/>
              <w:bottom w:val="single" w:color="auto" w:sz="4" w:space="0"/>
              <w:right w:val="single" w:color="auto" w:sz="4" w:space="0"/>
            </w:tcBorders>
            <w:noWrap w:val="0"/>
            <w:vAlign w:val="center"/>
          </w:tcPr>
          <w:p w14:paraId="5EB96B12">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无</w:t>
            </w:r>
          </w:p>
        </w:tc>
        <w:tc>
          <w:tcPr>
            <w:tcW w:w="1035" w:type="dxa"/>
            <w:tcBorders>
              <w:top w:val="nil"/>
              <w:left w:val="nil"/>
              <w:bottom w:val="single" w:color="auto" w:sz="4" w:space="0"/>
              <w:right w:val="single" w:color="auto" w:sz="4" w:space="0"/>
            </w:tcBorders>
            <w:noWrap w:val="0"/>
            <w:vAlign w:val="center"/>
          </w:tcPr>
          <w:p w14:paraId="5B9A621C">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4512F183">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5170358A">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6F016B52">
            <w:pPr>
              <w:ind w:firstLine="360"/>
              <w:jc w:val="center"/>
              <w:rPr>
                <w:rFonts w:eastAsia="仿宋_GB2312"/>
                <w:color w:val="000000"/>
                <w:kern w:val="0"/>
                <w:sz w:val="18"/>
                <w:szCs w:val="18"/>
              </w:rPr>
            </w:pPr>
          </w:p>
        </w:tc>
      </w:tr>
      <w:tr w14:paraId="0941BD6A">
        <w:tblPrEx>
          <w:tblCellMar>
            <w:top w:w="0" w:type="dxa"/>
            <w:left w:w="108" w:type="dxa"/>
            <w:bottom w:w="0" w:type="dxa"/>
            <w:right w:w="108" w:type="dxa"/>
          </w:tblCellMar>
        </w:tblPrEx>
        <w:trPr>
          <w:trHeight w:val="239" w:hRule="exact"/>
          <w:jc w:val="center"/>
        </w:trPr>
        <w:tc>
          <w:tcPr>
            <w:tcW w:w="986" w:type="dxa"/>
            <w:vMerge w:val="continue"/>
            <w:tcBorders>
              <w:left w:val="single" w:color="auto" w:sz="4" w:space="0"/>
              <w:right w:val="single" w:color="auto" w:sz="4" w:space="0"/>
            </w:tcBorders>
            <w:noWrap w:val="0"/>
            <w:vAlign w:val="center"/>
          </w:tcPr>
          <w:p w14:paraId="2753FFE2">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0B4C3B79">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38FF99AD">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26DFCF88">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生态环境成本指标</w:t>
            </w:r>
          </w:p>
        </w:tc>
        <w:tc>
          <w:tcPr>
            <w:tcW w:w="1037" w:type="dxa"/>
            <w:tcBorders>
              <w:top w:val="nil"/>
              <w:left w:val="nil"/>
              <w:bottom w:val="single" w:color="auto" w:sz="4" w:space="0"/>
              <w:right w:val="single" w:color="auto" w:sz="4" w:space="0"/>
            </w:tcBorders>
            <w:noWrap w:val="0"/>
            <w:vAlign w:val="center"/>
          </w:tcPr>
          <w:p w14:paraId="068A2588">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无</w:t>
            </w:r>
          </w:p>
        </w:tc>
        <w:tc>
          <w:tcPr>
            <w:tcW w:w="1035" w:type="dxa"/>
            <w:tcBorders>
              <w:top w:val="nil"/>
              <w:left w:val="nil"/>
              <w:bottom w:val="single" w:color="auto" w:sz="4" w:space="0"/>
              <w:right w:val="single" w:color="auto" w:sz="4" w:space="0"/>
            </w:tcBorders>
            <w:noWrap w:val="0"/>
            <w:vAlign w:val="center"/>
          </w:tcPr>
          <w:p w14:paraId="7C08BA0B">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7CC0EF4E">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51D7B322">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7173213">
            <w:pPr>
              <w:ind w:firstLine="360"/>
              <w:jc w:val="center"/>
              <w:rPr>
                <w:rFonts w:eastAsia="仿宋_GB2312"/>
                <w:color w:val="000000"/>
                <w:kern w:val="0"/>
                <w:sz w:val="18"/>
                <w:szCs w:val="18"/>
              </w:rPr>
            </w:pPr>
          </w:p>
        </w:tc>
      </w:tr>
      <w:tr w14:paraId="54C46160">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18DE887">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34C3985B">
            <w:pPr>
              <w:ind w:firstLine="0" w:firstLineChars="0"/>
              <w:jc w:val="center"/>
              <w:rPr>
                <w:rFonts w:eastAsia="仿宋_GB2312"/>
                <w:color w:val="000000"/>
                <w:kern w:val="0"/>
                <w:sz w:val="18"/>
                <w:szCs w:val="18"/>
              </w:rPr>
            </w:pPr>
            <w:r>
              <w:rPr>
                <w:rFonts w:eastAsia="仿宋_GB2312"/>
                <w:color w:val="000000"/>
                <w:kern w:val="0"/>
                <w:sz w:val="18"/>
                <w:szCs w:val="18"/>
              </w:rPr>
              <w:t>效益指标</w:t>
            </w:r>
          </w:p>
          <w:p w14:paraId="4604AE39">
            <w:pPr>
              <w:ind w:firstLine="0" w:firstLineChars="0"/>
              <w:jc w:val="center"/>
              <w:rPr>
                <w:rFonts w:eastAsia="仿宋_GB2312"/>
                <w:color w:val="000000"/>
                <w:kern w:val="0"/>
                <w:sz w:val="18"/>
                <w:szCs w:val="18"/>
              </w:rPr>
            </w:pPr>
            <w:r>
              <w:rPr>
                <w:rFonts w:eastAsia="仿宋_GB2312"/>
                <w:color w:val="000000"/>
                <w:kern w:val="0"/>
                <w:sz w:val="18"/>
                <w:szCs w:val="18"/>
              </w:rPr>
              <w:t>（30分）</w:t>
            </w:r>
          </w:p>
        </w:tc>
        <w:tc>
          <w:tcPr>
            <w:tcW w:w="986" w:type="dxa"/>
            <w:vMerge w:val="restart"/>
            <w:tcBorders>
              <w:top w:val="nil"/>
              <w:left w:val="nil"/>
              <w:right w:val="single" w:color="auto" w:sz="4" w:space="0"/>
            </w:tcBorders>
            <w:noWrap w:val="0"/>
            <w:vAlign w:val="center"/>
          </w:tcPr>
          <w:p w14:paraId="2E2EE771">
            <w:pPr>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118" w:type="dxa"/>
            <w:tcBorders>
              <w:top w:val="nil"/>
              <w:left w:val="nil"/>
              <w:bottom w:val="single" w:color="auto" w:sz="4" w:space="0"/>
              <w:right w:val="single" w:color="auto" w:sz="4" w:space="0"/>
            </w:tcBorders>
            <w:noWrap w:val="0"/>
            <w:vAlign w:val="center"/>
          </w:tcPr>
          <w:p w14:paraId="0D0B03B9">
            <w:pPr>
              <w:ind w:firstLine="36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创造税收</w:t>
            </w:r>
          </w:p>
        </w:tc>
        <w:tc>
          <w:tcPr>
            <w:tcW w:w="1037" w:type="dxa"/>
            <w:tcBorders>
              <w:top w:val="nil"/>
              <w:left w:val="nil"/>
              <w:bottom w:val="single" w:color="auto" w:sz="4" w:space="0"/>
              <w:right w:val="single" w:color="auto" w:sz="4" w:space="0"/>
            </w:tcBorders>
            <w:noWrap w:val="0"/>
            <w:vAlign w:val="center"/>
          </w:tcPr>
          <w:p w14:paraId="44ABB001">
            <w:pPr>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1000万元</w:t>
            </w:r>
          </w:p>
        </w:tc>
        <w:tc>
          <w:tcPr>
            <w:tcW w:w="1035" w:type="dxa"/>
            <w:tcBorders>
              <w:top w:val="nil"/>
              <w:left w:val="nil"/>
              <w:bottom w:val="single" w:color="auto" w:sz="4" w:space="0"/>
              <w:right w:val="single" w:color="auto" w:sz="4" w:space="0"/>
            </w:tcBorders>
            <w:noWrap w:val="0"/>
            <w:vAlign w:val="center"/>
          </w:tcPr>
          <w:p w14:paraId="5A9A700A">
            <w:pPr>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1000万元</w:t>
            </w:r>
          </w:p>
        </w:tc>
        <w:tc>
          <w:tcPr>
            <w:tcW w:w="756" w:type="dxa"/>
            <w:tcBorders>
              <w:top w:val="nil"/>
              <w:left w:val="nil"/>
              <w:bottom w:val="single" w:color="auto" w:sz="4" w:space="0"/>
              <w:right w:val="single" w:color="auto" w:sz="4" w:space="0"/>
            </w:tcBorders>
            <w:noWrap w:val="0"/>
            <w:vAlign w:val="center"/>
          </w:tcPr>
          <w:p w14:paraId="30A6E92A">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4DAA44A6">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4B9DA27F">
            <w:pPr>
              <w:ind w:firstLine="360"/>
              <w:jc w:val="center"/>
              <w:rPr>
                <w:rFonts w:eastAsia="仿宋_GB2312"/>
                <w:color w:val="000000"/>
                <w:kern w:val="0"/>
                <w:sz w:val="18"/>
                <w:szCs w:val="18"/>
              </w:rPr>
            </w:pPr>
          </w:p>
        </w:tc>
      </w:tr>
      <w:tr w14:paraId="1E449D40">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241BBC2B">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73A64D81">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3C0788E5">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606EAFFF">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1BC3EA4D">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089D8683">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03206329">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13615816">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60DD7B02">
            <w:pPr>
              <w:ind w:firstLine="360"/>
              <w:jc w:val="center"/>
              <w:rPr>
                <w:rFonts w:eastAsia="仿宋_GB2312"/>
                <w:color w:val="000000"/>
                <w:kern w:val="0"/>
                <w:sz w:val="18"/>
                <w:szCs w:val="18"/>
              </w:rPr>
            </w:pPr>
          </w:p>
        </w:tc>
      </w:tr>
      <w:tr w14:paraId="5A353945">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C015222">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0E54D7C3">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2C135A16">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0662243F">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7DD8A786">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3FAD406">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73A12457">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ACE2095">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50037BBF">
            <w:pPr>
              <w:ind w:firstLine="360"/>
              <w:jc w:val="center"/>
              <w:rPr>
                <w:rFonts w:eastAsia="仿宋_GB2312"/>
                <w:color w:val="000000"/>
                <w:kern w:val="0"/>
                <w:sz w:val="18"/>
                <w:szCs w:val="18"/>
              </w:rPr>
            </w:pPr>
          </w:p>
        </w:tc>
      </w:tr>
      <w:tr w14:paraId="5715E99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AC7043C">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6BCA8DC7">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3413F038">
            <w:pPr>
              <w:ind w:firstLine="0" w:firstLineChars="0"/>
              <w:jc w:val="center"/>
              <w:rPr>
                <w:rFonts w:eastAsia="仿宋_GB2312"/>
                <w:color w:val="000000"/>
                <w:kern w:val="0"/>
                <w:sz w:val="18"/>
                <w:szCs w:val="18"/>
              </w:rPr>
            </w:pPr>
            <w:r>
              <w:rPr>
                <w:rFonts w:eastAsia="仿宋_GB2312"/>
                <w:color w:val="000000"/>
                <w:kern w:val="0"/>
                <w:sz w:val="18"/>
                <w:szCs w:val="18"/>
              </w:rPr>
              <w:t>社会效益指标</w:t>
            </w:r>
          </w:p>
        </w:tc>
        <w:tc>
          <w:tcPr>
            <w:tcW w:w="1118" w:type="dxa"/>
            <w:tcBorders>
              <w:top w:val="nil"/>
              <w:left w:val="nil"/>
              <w:bottom w:val="single" w:color="auto" w:sz="4" w:space="0"/>
              <w:right w:val="single" w:color="auto" w:sz="4" w:space="0"/>
            </w:tcBorders>
            <w:noWrap w:val="0"/>
            <w:vAlign w:val="center"/>
          </w:tcPr>
          <w:p w14:paraId="503CFE57">
            <w:pPr>
              <w:jc w:val="both"/>
              <w:rPr>
                <w:rFonts w:eastAsia="仿宋_GB2312"/>
                <w:color w:val="000000"/>
                <w:kern w:val="0"/>
                <w:sz w:val="18"/>
                <w:szCs w:val="18"/>
              </w:rPr>
            </w:pPr>
            <w:r>
              <w:rPr>
                <w:rFonts w:hint="eastAsia" w:eastAsia="仿宋_GB2312"/>
                <w:color w:val="000000"/>
                <w:kern w:val="0"/>
                <w:sz w:val="18"/>
                <w:szCs w:val="18"/>
                <w:lang w:eastAsia="zh-CN"/>
              </w:rPr>
              <w:t>解决工劳动就业岗位位</w:t>
            </w:r>
            <w:r>
              <w:rPr>
                <w:rFonts w:hint="eastAsia" w:eastAsia="仿宋_GB2312"/>
                <w:color w:val="000000"/>
                <w:kern w:val="0"/>
                <w:sz w:val="18"/>
                <w:szCs w:val="18"/>
                <w:lang w:val="en-US" w:eastAsia="zh-CN"/>
              </w:rPr>
              <w:t>]</w:t>
            </w:r>
            <w:r>
              <w:rPr>
                <w:rFonts w:eastAsia="仿宋_GB2312"/>
                <w:color w:val="000000"/>
                <w:kern w:val="0"/>
                <w:sz w:val="18"/>
                <w:szCs w:val="18"/>
              </w:rPr>
              <w:t>1：</w:t>
            </w:r>
          </w:p>
        </w:tc>
        <w:tc>
          <w:tcPr>
            <w:tcW w:w="1037" w:type="dxa"/>
            <w:tcBorders>
              <w:top w:val="nil"/>
              <w:left w:val="nil"/>
              <w:bottom w:val="single" w:color="auto" w:sz="4" w:space="0"/>
              <w:right w:val="single" w:color="auto" w:sz="4" w:space="0"/>
            </w:tcBorders>
            <w:noWrap w:val="0"/>
            <w:vAlign w:val="center"/>
          </w:tcPr>
          <w:p w14:paraId="73BBD507">
            <w:pPr>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3000个</w:t>
            </w:r>
          </w:p>
        </w:tc>
        <w:tc>
          <w:tcPr>
            <w:tcW w:w="1035" w:type="dxa"/>
            <w:tcBorders>
              <w:top w:val="nil"/>
              <w:left w:val="nil"/>
              <w:bottom w:val="single" w:color="auto" w:sz="4" w:space="0"/>
              <w:right w:val="single" w:color="auto" w:sz="4" w:space="0"/>
            </w:tcBorders>
            <w:noWrap w:val="0"/>
            <w:vAlign w:val="center"/>
          </w:tcPr>
          <w:p w14:paraId="18DC1E39">
            <w:pPr>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3000个</w:t>
            </w:r>
          </w:p>
        </w:tc>
        <w:tc>
          <w:tcPr>
            <w:tcW w:w="756" w:type="dxa"/>
            <w:tcBorders>
              <w:top w:val="nil"/>
              <w:left w:val="nil"/>
              <w:bottom w:val="single" w:color="auto" w:sz="4" w:space="0"/>
              <w:right w:val="single" w:color="auto" w:sz="4" w:space="0"/>
            </w:tcBorders>
            <w:noWrap w:val="0"/>
            <w:vAlign w:val="center"/>
          </w:tcPr>
          <w:p w14:paraId="288CDADC">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394C5DA6">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2F6C50AB">
            <w:pPr>
              <w:ind w:firstLine="360"/>
              <w:jc w:val="center"/>
              <w:rPr>
                <w:rFonts w:eastAsia="仿宋_GB2312"/>
                <w:color w:val="000000"/>
                <w:kern w:val="0"/>
                <w:sz w:val="18"/>
                <w:szCs w:val="18"/>
              </w:rPr>
            </w:pPr>
          </w:p>
        </w:tc>
      </w:tr>
      <w:tr w14:paraId="45737E8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25F2E20D">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621A00DB">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6E9F296B">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65A6AB3C">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4B464C68">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67B56251">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1758164A">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CCC7061">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25F2734E">
            <w:pPr>
              <w:ind w:firstLine="360"/>
              <w:jc w:val="center"/>
              <w:rPr>
                <w:rFonts w:eastAsia="仿宋_GB2312"/>
                <w:color w:val="000000"/>
                <w:kern w:val="0"/>
                <w:sz w:val="18"/>
                <w:szCs w:val="18"/>
              </w:rPr>
            </w:pPr>
          </w:p>
        </w:tc>
      </w:tr>
      <w:tr w14:paraId="33E892FD">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F6EBB35">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0CA22A66">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3E9C9826">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3BD44A77">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5F28D6ED">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742D167">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4569E9F8">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BADD9B2">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DB2343E">
            <w:pPr>
              <w:ind w:firstLine="360"/>
              <w:jc w:val="center"/>
              <w:rPr>
                <w:rFonts w:eastAsia="仿宋_GB2312"/>
                <w:color w:val="000000"/>
                <w:kern w:val="0"/>
                <w:sz w:val="18"/>
                <w:szCs w:val="18"/>
              </w:rPr>
            </w:pPr>
          </w:p>
        </w:tc>
      </w:tr>
      <w:tr w14:paraId="6570C660">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B28994D">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62B7921F">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1B8BE9D1">
            <w:pPr>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118" w:type="dxa"/>
            <w:tcBorders>
              <w:top w:val="nil"/>
              <w:left w:val="nil"/>
              <w:bottom w:val="single" w:color="auto" w:sz="4" w:space="0"/>
              <w:right w:val="single" w:color="auto" w:sz="4" w:space="0"/>
            </w:tcBorders>
            <w:noWrap w:val="0"/>
            <w:vAlign w:val="center"/>
          </w:tcPr>
          <w:p w14:paraId="26D88654">
            <w:pPr>
              <w:ind w:firstLine="360"/>
              <w:jc w:val="center"/>
              <w:rPr>
                <w:rFonts w:eastAsia="仿宋_GB2312"/>
                <w:color w:val="000000"/>
                <w:kern w:val="0"/>
                <w:sz w:val="18"/>
                <w:szCs w:val="18"/>
              </w:rPr>
            </w:pPr>
            <w:r>
              <w:rPr>
                <w:rFonts w:eastAsia="仿宋_GB2312"/>
                <w:color w:val="000000"/>
                <w:kern w:val="0"/>
                <w:sz w:val="18"/>
                <w:szCs w:val="18"/>
              </w:rPr>
              <w:t>指标1：</w:t>
            </w:r>
          </w:p>
        </w:tc>
        <w:tc>
          <w:tcPr>
            <w:tcW w:w="1037" w:type="dxa"/>
            <w:tcBorders>
              <w:top w:val="nil"/>
              <w:left w:val="nil"/>
              <w:bottom w:val="single" w:color="auto" w:sz="4" w:space="0"/>
              <w:right w:val="single" w:color="auto" w:sz="4" w:space="0"/>
            </w:tcBorders>
            <w:noWrap w:val="0"/>
            <w:vAlign w:val="center"/>
          </w:tcPr>
          <w:p w14:paraId="42CFB824">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27B2034C">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094D0AC9">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0E422609">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42BEEE2">
            <w:pPr>
              <w:ind w:firstLine="360"/>
              <w:jc w:val="center"/>
              <w:rPr>
                <w:rFonts w:eastAsia="仿宋_GB2312"/>
                <w:color w:val="000000"/>
                <w:kern w:val="0"/>
                <w:sz w:val="18"/>
                <w:szCs w:val="18"/>
              </w:rPr>
            </w:pPr>
          </w:p>
        </w:tc>
      </w:tr>
      <w:tr w14:paraId="7905103C">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6FB3A15F">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11910C82">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6A962112">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25DBBA58">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6CE0C479">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210DBBD5">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1E4D22CE">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0DADB1A9">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19A48FD2">
            <w:pPr>
              <w:ind w:firstLine="360"/>
              <w:jc w:val="center"/>
              <w:rPr>
                <w:rFonts w:eastAsia="仿宋_GB2312"/>
                <w:color w:val="000000"/>
                <w:kern w:val="0"/>
                <w:sz w:val="18"/>
                <w:szCs w:val="18"/>
              </w:rPr>
            </w:pPr>
          </w:p>
        </w:tc>
      </w:tr>
      <w:tr w14:paraId="38FC9A2E">
        <w:tblPrEx>
          <w:tblCellMar>
            <w:top w:w="0" w:type="dxa"/>
            <w:left w:w="108" w:type="dxa"/>
            <w:bottom w:w="0" w:type="dxa"/>
            <w:right w:w="108" w:type="dxa"/>
          </w:tblCellMar>
        </w:tblPrEx>
        <w:trPr>
          <w:trHeight w:val="195" w:hRule="exact"/>
          <w:jc w:val="center"/>
        </w:trPr>
        <w:tc>
          <w:tcPr>
            <w:tcW w:w="986" w:type="dxa"/>
            <w:vMerge w:val="continue"/>
            <w:tcBorders>
              <w:left w:val="single" w:color="auto" w:sz="4" w:space="0"/>
              <w:bottom w:val="single" w:color="auto" w:sz="4" w:space="0"/>
              <w:right w:val="single" w:color="auto" w:sz="4" w:space="0"/>
            </w:tcBorders>
            <w:noWrap w:val="0"/>
            <w:vAlign w:val="center"/>
          </w:tcPr>
          <w:p w14:paraId="0AB4FEF5">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7DE78648">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0778E47B">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0FFF17A9">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5652C5F1">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1819FDDA">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67AFB00C">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FE76A24">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0FC3DD9D">
            <w:pPr>
              <w:ind w:firstLine="360"/>
              <w:jc w:val="center"/>
              <w:rPr>
                <w:rFonts w:eastAsia="仿宋_GB2312"/>
                <w:color w:val="000000"/>
                <w:kern w:val="0"/>
                <w:sz w:val="18"/>
                <w:szCs w:val="18"/>
              </w:rPr>
            </w:pPr>
          </w:p>
        </w:tc>
      </w:tr>
      <w:tr w14:paraId="009B59FD">
        <w:tblPrEx>
          <w:tblCellMar>
            <w:top w:w="0" w:type="dxa"/>
            <w:left w:w="108" w:type="dxa"/>
            <w:bottom w:w="0" w:type="dxa"/>
            <w:right w:w="108" w:type="dxa"/>
          </w:tblCellMar>
        </w:tblPrEx>
        <w:trPr>
          <w:trHeight w:val="272" w:hRule="exact"/>
          <w:jc w:val="center"/>
        </w:trPr>
        <w:tc>
          <w:tcPr>
            <w:tcW w:w="986" w:type="dxa"/>
            <w:vMerge w:val="restart"/>
            <w:tcBorders>
              <w:top w:val="single" w:color="auto" w:sz="4" w:space="0"/>
              <w:left w:val="single" w:color="auto" w:sz="4" w:space="0"/>
              <w:right w:val="single" w:color="auto" w:sz="4" w:space="0"/>
            </w:tcBorders>
            <w:noWrap w:val="0"/>
            <w:vAlign w:val="center"/>
          </w:tcPr>
          <w:p w14:paraId="34C7823A">
            <w:pPr>
              <w:ind w:firstLine="360"/>
              <w:jc w:val="center"/>
              <w:rPr>
                <w:rFonts w:eastAsia="仿宋_GB2312"/>
                <w:color w:val="000000"/>
                <w:kern w:val="0"/>
                <w:sz w:val="18"/>
                <w:szCs w:val="18"/>
              </w:rPr>
            </w:pPr>
            <w:r>
              <w:rPr>
                <w:rFonts w:eastAsia="仿宋_GB2312"/>
                <w:color w:val="000000"/>
                <w:kern w:val="0"/>
                <w:sz w:val="18"/>
                <w:szCs w:val="18"/>
              </w:rPr>
              <w:t>绩</w:t>
            </w:r>
          </w:p>
          <w:p w14:paraId="2045C583">
            <w:pPr>
              <w:ind w:firstLine="360"/>
              <w:jc w:val="center"/>
              <w:rPr>
                <w:rFonts w:eastAsia="仿宋_GB2312"/>
                <w:color w:val="000000"/>
                <w:kern w:val="0"/>
                <w:sz w:val="18"/>
                <w:szCs w:val="18"/>
              </w:rPr>
            </w:pPr>
            <w:r>
              <w:rPr>
                <w:rFonts w:eastAsia="仿宋_GB2312"/>
                <w:color w:val="000000"/>
                <w:kern w:val="0"/>
                <w:sz w:val="18"/>
                <w:szCs w:val="18"/>
              </w:rPr>
              <w:t>效</w:t>
            </w:r>
          </w:p>
          <w:p w14:paraId="3497BBAA">
            <w:pPr>
              <w:ind w:firstLine="360"/>
              <w:jc w:val="center"/>
              <w:rPr>
                <w:rFonts w:eastAsia="仿宋_GB2312"/>
                <w:color w:val="000000"/>
                <w:kern w:val="0"/>
                <w:sz w:val="18"/>
                <w:szCs w:val="18"/>
              </w:rPr>
            </w:pPr>
            <w:r>
              <w:rPr>
                <w:rFonts w:eastAsia="仿宋_GB2312"/>
                <w:color w:val="000000"/>
                <w:kern w:val="0"/>
                <w:sz w:val="18"/>
                <w:szCs w:val="18"/>
              </w:rPr>
              <w:t>指</w:t>
            </w:r>
          </w:p>
          <w:p w14:paraId="580ECC88">
            <w:pPr>
              <w:ind w:firstLine="360"/>
              <w:jc w:val="center"/>
              <w:rPr>
                <w:rFonts w:eastAsia="仿宋_GB2312"/>
                <w:color w:val="000000"/>
                <w:kern w:val="0"/>
                <w:sz w:val="18"/>
                <w:szCs w:val="18"/>
              </w:rPr>
            </w:pPr>
            <w:r>
              <w:rPr>
                <w:rFonts w:eastAsia="仿宋_GB2312"/>
                <w:color w:val="000000"/>
                <w:kern w:val="0"/>
                <w:sz w:val="18"/>
                <w:szCs w:val="18"/>
              </w:rPr>
              <w:t>标</w:t>
            </w:r>
          </w:p>
        </w:tc>
        <w:tc>
          <w:tcPr>
            <w:tcW w:w="986" w:type="dxa"/>
            <w:vMerge w:val="restart"/>
            <w:tcBorders>
              <w:top w:val="single" w:color="auto" w:sz="4" w:space="0"/>
              <w:left w:val="single" w:color="auto" w:sz="4" w:space="0"/>
              <w:right w:val="single" w:color="auto" w:sz="4" w:space="0"/>
            </w:tcBorders>
            <w:noWrap w:val="0"/>
            <w:vAlign w:val="center"/>
          </w:tcPr>
          <w:p w14:paraId="6F8DEBDD">
            <w:pPr>
              <w:ind w:firstLine="360"/>
              <w:jc w:val="center"/>
              <w:rPr>
                <w:rFonts w:eastAsia="仿宋_GB2312"/>
                <w:color w:val="000000"/>
                <w:kern w:val="0"/>
                <w:sz w:val="18"/>
                <w:szCs w:val="18"/>
              </w:rPr>
            </w:pPr>
          </w:p>
        </w:tc>
        <w:tc>
          <w:tcPr>
            <w:tcW w:w="986" w:type="dxa"/>
            <w:vMerge w:val="restart"/>
            <w:tcBorders>
              <w:top w:val="single" w:color="auto" w:sz="4" w:space="0"/>
              <w:left w:val="single" w:color="auto" w:sz="4" w:space="0"/>
              <w:right w:val="single" w:color="auto" w:sz="4" w:space="0"/>
            </w:tcBorders>
            <w:noWrap w:val="0"/>
            <w:vAlign w:val="center"/>
          </w:tcPr>
          <w:p w14:paraId="6A8920EB">
            <w:pPr>
              <w:ind w:firstLine="0" w:firstLineChars="0"/>
              <w:jc w:val="center"/>
              <w:rPr>
                <w:rFonts w:eastAsia="仿宋_GB2312"/>
                <w:color w:val="000000"/>
                <w:kern w:val="0"/>
                <w:sz w:val="18"/>
                <w:szCs w:val="18"/>
              </w:rPr>
            </w:pPr>
            <w:r>
              <w:rPr>
                <w:rFonts w:eastAsia="仿宋_GB2312"/>
                <w:color w:val="000000"/>
                <w:kern w:val="0"/>
                <w:sz w:val="18"/>
                <w:szCs w:val="18"/>
              </w:rPr>
              <w:t>可持续影响指标</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932F3EB">
            <w:pPr>
              <w:ind w:firstLine="360"/>
              <w:jc w:val="center"/>
              <w:rPr>
                <w:rFonts w:eastAsia="仿宋_GB2312"/>
                <w:color w:val="000000"/>
                <w:kern w:val="0"/>
                <w:sz w:val="18"/>
                <w:szCs w:val="18"/>
              </w:rPr>
            </w:pPr>
            <w:r>
              <w:rPr>
                <w:rFonts w:eastAsia="仿宋_GB2312"/>
                <w:color w:val="000000"/>
                <w:kern w:val="0"/>
                <w:sz w:val="18"/>
                <w:szCs w:val="18"/>
              </w:rPr>
              <w:t>指标1：</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17030F9">
            <w:pPr>
              <w:ind w:firstLine="360"/>
              <w:jc w:val="center"/>
              <w:rPr>
                <w:rFonts w:eastAsia="仿宋_GB2312"/>
                <w:color w:val="000000"/>
                <w:kern w:val="0"/>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0C77D29">
            <w:pPr>
              <w:ind w:firstLine="360"/>
              <w:jc w:val="center"/>
              <w:rPr>
                <w:rFonts w:eastAsia="仿宋_GB2312"/>
                <w:color w:val="000000"/>
                <w:kern w:val="0"/>
                <w:sz w:val="18"/>
                <w:szCs w:val="1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5F62453E">
            <w:pPr>
              <w:ind w:firstLine="360"/>
              <w:jc w:val="center"/>
              <w:rPr>
                <w:rFonts w:eastAsia="仿宋_GB2312"/>
                <w:color w:val="000000"/>
                <w:kern w:val="0"/>
                <w:sz w:val="18"/>
                <w:szCs w:val="18"/>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3F7A62E4">
            <w:pPr>
              <w:ind w:firstLine="360"/>
              <w:jc w:val="center"/>
              <w:rPr>
                <w:rFonts w:eastAsia="仿宋_GB2312"/>
                <w:color w:val="000000"/>
                <w:kern w:val="0"/>
                <w:sz w:val="18"/>
                <w:szCs w:val="1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27D46F">
            <w:pPr>
              <w:ind w:firstLine="360"/>
              <w:jc w:val="center"/>
              <w:rPr>
                <w:rFonts w:eastAsia="仿宋_GB2312"/>
                <w:color w:val="000000"/>
                <w:kern w:val="0"/>
                <w:sz w:val="18"/>
                <w:szCs w:val="18"/>
              </w:rPr>
            </w:pPr>
          </w:p>
        </w:tc>
      </w:tr>
      <w:tr w14:paraId="5A8BB6BF">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F1B4BA3">
            <w:pPr>
              <w:ind w:firstLine="360"/>
              <w:jc w:val="center"/>
              <w:rPr>
                <w:rFonts w:eastAsia="仿宋_GB2312"/>
                <w:color w:val="000000"/>
                <w:kern w:val="0"/>
                <w:sz w:val="18"/>
                <w:szCs w:val="18"/>
              </w:rPr>
            </w:pPr>
          </w:p>
        </w:tc>
        <w:tc>
          <w:tcPr>
            <w:tcW w:w="986" w:type="dxa"/>
            <w:vMerge w:val="continue"/>
            <w:tcBorders>
              <w:left w:val="single" w:color="auto" w:sz="4" w:space="0"/>
              <w:right w:val="single" w:color="auto" w:sz="4" w:space="0"/>
            </w:tcBorders>
            <w:noWrap w:val="0"/>
            <w:vAlign w:val="center"/>
          </w:tcPr>
          <w:p w14:paraId="36808267">
            <w:pPr>
              <w:ind w:firstLine="360"/>
              <w:jc w:val="center"/>
              <w:rPr>
                <w:rFonts w:eastAsia="仿宋_GB2312"/>
                <w:color w:val="000000"/>
                <w:kern w:val="0"/>
                <w:sz w:val="18"/>
                <w:szCs w:val="18"/>
              </w:rPr>
            </w:pPr>
          </w:p>
        </w:tc>
        <w:tc>
          <w:tcPr>
            <w:tcW w:w="986" w:type="dxa"/>
            <w:vMerge w:val="continue"/>
            <w:tcBorders>
              <w:left w:val="single" w:color="auto" w:sz="4" w:space="0"/>
              <w:right w:val="single" w:color="auto" w:sz="4" w:space="0"/>
            </w:tcBorders>
            <w:noWrap w:val="0"/>
            <w:vAlign w:val="center"/>
          </w:tcPr>
          <w:p w14:paraId="1A815FEA">
            <w:pPr>
              <w:ind w:firstLine="360"/>
              <w:jc w:val="center"/>
              <w:rPr>
                <w:rFonts w:eastAsia="仿宋_GB2312"/>
                <w:color w:val="000000"/>
                <w:kern w:val="0"/>
                <w:sz w:val="18"/>
                <w:szCs w:val="18"/>
              </w:rPr>
            </w:pPr>
          </w:p>
        </w:tc>
        <w:tc>
          <w:tcPr>
            <w:tcW w:w="1118" w:type="dxa"/>
            <w:tcBorders>
              <w:top w:val="single" w:color="auto" w:sz="4" w:space="0"/>
              <w:left w:val="nil"/>
              <w:bottom w:val="single" w:color="auto" w:sz="4" w:space="0"/>
              <w:right w:val="single" w:color="auto" w:sz="4" w:space="0"/>
            </w:tcBorders>
            <w:noWrap w:val="0"/>
            <w:vAlign w:val="center"/>
          </w:tcPr>
          <w:p w14:paraId="5CAFEC77">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single" w:color="auto" w:sz="4" w:space="0"/>
              <w:left w:val="nil"/>
              <w:bottom w:val="single" w:color="auto" w:sz="4" w:space="0"/>
              <w:right w:val="single" w:color="auto" w:sz="4" w:space="0"/>
            </w:tcBorders>
            <w:noWrap w:val="0"/>
            <w:vAlign w:val="center"/>
          </w:tcPr>
          <w:p w14:paraId="3DE87BC9">
            <w:pPr>
              <w:ind w:firstLine="360"/>
              <w:jc w:val="center"/>
              <w:rPr>
                <w:rFonts w:eastAsia="仿宋_GB2312"/>
                <w:color w:val="000000"/>
                <w:kern w:val="0"/>
                <w:sz w:val="18"/>
                <w:szCs w:val="18"/>
              </w:rPr>
            </w:pPr>
          </w:p>
        </w:tc>
        <w:tc>
          <w:tcPr>
            <w:tcW w:w="1035" w:type="dxa"/>
            <w:tcBorders>
              <w:top w:val="single" w:color="auto" w:sz="4" w:space="0"/>
              <w:left w:val="nil"/>
              <w:bottom w:val="single" w:color="auto" w:sz="4" w:space="0"/>
              <w:right w:val="single" w:color="auto" w:sz="4" w:space="0"/>
            </w:tcBorders>
            <w:noWrap w:val="0"/>
            <w:vAlign w:val="center"/>
          </w:tcPr>
          <w:p w14:paraId="5B3593BF">
            <w:pPr>
              <w:ind w:firstLine="360"/>
              <w:jc w:val="center"/>
              <w:rPr>
                <w:rFonts w:eastAsia="仿宋_GB2312"/>
                <w:color w:val="000000"/>
                <w:kern w:val="0"/>
                <w:sz w:val="18"/>
                <w:szCs w:val="18"/>
              </w:rPr>
            </w:pPr>
          </w:p>
        </w:tc>
        <w:tc>
          <w:tcPr>
            <w:tcW w:w="756" w:type="dxa"/>
            <w:tcBorders>
              <w:top w:val="single" w:color="auto" w:sz="4" w:space="0"/>
              <w:left w:val="nil"/>
              <w:bottom w:val="single" w:color="auto" w:sz="4" w:space="0"/>
              <w:right w:val="single" w:color="auto" w:sz="4" w:space="0"/>
            </w:tcBorders>
            <w:noWrap w:val="0"/>
            <w:vAlign w:val="center"/>
          </w:tcPr>
          <w:p w14:paraId="43D87E97">
            <w:pPr>
              <w:ind w:firstLine="360"/>
              <w:jc w:val="center"/>
              <w:rPr>
                <w:rFonts w:eastAsia="仿宋_GB2312"/>
                <w:color w:val="000000"/>
                <w:kern w:val="0"/>
                <w:sz w:val="18"/>
                <w:szCs w:val="18"/>
              </w:rPr>
            </w:pPr>
          </w:p>
        </w:tc>
        <w:tc>
          <w:tcPr>
            <w:tcW w:w="797" w:type="dxa"/>
            <w:tcBorders>
              <w:top w:val="single" w:color="auto" w:sz="4" w:space="0"/>
              <w:left w:val="nil"/>
              <w:bottom w:val="single" w:color="auto" w:sz="4" w:space="0"/>
              <w:right w:val="single" w:color="auto" w:sz="4" w:space="0"/>
            </w:tcBorders>
            <w:noWrap w:val="0"/>
            <w:vAlign w:val="center"/>
          </w:tcPr>
          <w:p w14:paraId="673D6699">
            <w:pPr>
              <w:ind w:firstLine="360"/>
              <w:jc w:val="center"/>
              <w:rPr>
                <w:rFonts w:eastAsia="仿宋_GB2312"/>
                <w:color w:val="000000"/>
                <w:kern w:val="0"/>
                <w:sz w:val="18"/>
                <w:szCs w:val="18"/>
              </w:rPr>
            </w:pPr>
          </w:p>
        </w:tc>
        <w:tc>
          <w:tcPr>
            <w:tcW w:w="1298" w:type="dxa"/>
            <w:tcBorders>
              <w:top w:val="single" w:color="auto" w:sz="4" w:space="0"/>
              <w:left w:val="nil"/>
              <w:bottom w:val="single" w:color="auto" w:sz="4" w:space="0"/>
              <w:right w:val="single" w:color="auto" w:sz="4" w:space="0"/>
            </w:tcBorders>
            <w:noWrap w:val="0"/>
            <w:vAlign w:val="center"/>
          </w:tcPr>
          <w:p w14:paraId="7C07C3E0">
            <w:pPr>
              <w:ind w:firstLine="360"/>
              <w:jc w:val="center"/>
              <w:rPr>
                <w:rFonts w:eastAsia="仿宋_GB2312"/>
                <w:color w:val="000000"/>
                <w:kern w:val="0"/>
                <w:sz w:val="18"/>
                <w:szCs w:val="18"/>
              </w:rPr>
            </w:pPr>
          </w:p>
        </w:tc>
      </w:tr>
      <w:tr w14:paraId="14BAF955">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7E527EF8">
            <w:pPr>
              <w:ind w:firstLine="360"/>
              <w:jc w:val="center"/>
              <w:rPr>
                <w:rFonts w:eastAsia="仿宋_GB2312"/>
                <w:color w:val="000000"/>
                <w:kern w:val="0"/>
                <w:sz w:val="18"/>
                <w:szCs w:val="18"/>
              </w:rPr>
            </w:pPr>
          </w:p>
        </w:tc>
        <w:tc>
          <w:tcPr>
            <w:tcW w:w="986" w:type="dxa"/>
            <w:vMerge w:val="continue"/>
            <w:tcBorders>
              <w:left w:val="single" w:color="auto" w:sz="4" w:space="0"/>
              <w:bottom w:val="single" w:color="auto" w:sz="4" w:space="0"/>
              <w:right w:val="single" w:color="auto" w:sz="4" w:space="0"/>
            </w:tcBorders>
            <w:noWrap w:val="0"/>
            <w:vAlign w:val="center"/>
          </w:tcPr>
          <w:p w14:paraId="51FCAA2A">
            <w:pPr>
              <w:ind w:firstLine="360"/>
              <w:jc w:val="center"/>
              <w:rPr>
                <w:rFonts w:eastAsia="仿宋_GB2312"/>
                <w:color w:val="000000"/>
                <w:kern w:val="0"/>
                <w:sz w:val="18"/>
                <w:szCs w:val="18"/>
              </w:rPr>
            </w:pPr>
          </w:p>
        </w:tc>
        <w:tc>
          <w:tcPr>
            <w:tcW w:w="986" w:type="dxa"/>
            <w:vMerge w:val="continue"/>
            <w:tcBorders>
              <w:left w:val="single" w:color="auto" w:sz="4" w:space="0"/>
              <w:bottom w:val="single" w:color="auto" w:sz="4" w:space="0"/>
              <w:right w:val="single" w:color="auto" w:sz="4" w:space="0"/>
            </w:tcBorders>
            <w:noWrap w:val="0"/>
            <w:vAlign w:val="center"/>
          </w:tcPr>
          <w:p w14:paraId="2AAFFE12">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33B23C21">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2B99BA44">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0F0F0767">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4D40957B">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2E741BD8">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7C7C3FB">
            <w:pPr>
              <w:ind w:firstLine="360"/>
              <w:jc w:val="center"/>
              <w:rPr>
                <w:rFonts w:eastAsia="仿宋_GB2312"/>
                <w:color w:val="000000"/>
                <w:kern w:val="0"/>
                <w:sz w:val="18"/>
                <w:szCs w:val="18"/>
              </w:rPr>
            </w:pPr>
          </w:p>
        </w:tc>
      </w:tr>
      <w:tr w14:paraId="11149D87">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2713A68F">
            <w:pPr>
              <w:ind w:firstLine="360"/>
              <w:jc w:val="center"/>
              <w:rPr>
                <w:rFonts w:eastAsia="仿宋_GB2312"/>
                <w:color w:val="000000"/>
                <w:kern w:val="0"/>
                <w:sz w:val="18"/>
                <w:szCs w:val="18"/>
              </w:rPr>
            </w:pPr>
          </w:p>
        </w:tc>
        <w:tc>
          <w:tcPr>
            <w:tcW w:w="986" w:type="dxa"/>
            <w:vMerge w:val="restart"/>
            <w:tcBorders>
              <w:top w:val="nil"/>
              <w:left w:val="nil"/>
              <w:right w:val="single" w:color="auto" w:sz="4" w:space="0"/>
            </w:tcBorders>
            <w:noWrap w:val="0"/>
            <w:vAlign w:val="center"/>
          </w:tcPr>
          <w:p w14:paraId="2DC9ADAC">
            <w:pPr>
              <w:ind w:firstLine="0" w:firstLineChars="0"/>
              <w:jc w:val="center"/>
              <w:rPr>
                <w:rFonts w:eastAsia="仿宋_GB2312"/>
                <w:color w:val="000000"/>
                <w:kern w:val="0"/>
                <w:sz w:val="18"/>
                <w:szCs w:val="18"/>
              </w:rPr>
            </w:pPr>
            <w:r>
              <w:rPr>
                <w:rFonts w:eastAsia="仿宋_GB2312"/>
                <w:color w:val="000000"/>
                <w:kern w:val="0"/>
                <w:sz w:val="18"/>
                <w:szCs w:val="18"/>
              </w:rPr>
              <w:t>满意度指标（10分）</w:t>
            </w:r>
          </w:p>
        </w:tc>
        <w:tc>
          <w:tcPr>
            <w:tcW w:w="986" w:type="dxa"/>
            <w:vMerge w:val="restart"/>
            <w:tcBorders>
              <w:top w:val="nil"/>
              <w:left w:val="nil"/>
              <w:right w:val="single" w:color="auto" w:sz="4" w:space="0"/>
            </w:tcBorders>
            <w:noWrap w:val="0"/>
            <w:vAlign w:val="center"/>
          </w:tcPr>
          <w:p w14:paraId="61C0673B">
            <w:pPr>
              <w:ind w:firstLine="0" w:firstLineChars="0"/>
              <w:jc w:val="center"/>
              <w:rPr>
                <w:rFonts w:eastAsia="仿宋_GB2312"/>
                <w:color w:val="000000"/>
                <w:kern w:val="0"/>
                <w:sz w:val="18"/>
                <w:szCs w:val="18"/>
              </w:rPr>
            </w:pPr>
            <w:r>
              <w:rPr>
                <w:rFonts w:eastAsia="仿宋_GB2312"/>
                <w:color w:val="000000"/>
                <w:kern w:val="0"/>
                <w:sz w:val="18"/>
                <w:szCs w:val="18"/>
              </w:rPr>
              <w:t>服务对象</w:t>
            </w:r>
          </w:p>
          <w:p w14:paraId="2713F456">
            <w:pPr>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6B843A4A">
            <w:pPr>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118" w:type="dxa"/>
            <w:tcBorders>
              <w:top w:val="nil"/>
              <w:left w:val="nil"/>
              <w:bottom w:val="single" w:color="auto" w:sz="4" w:space="0"/>
              <w:right w:val="single" w:color="auto" w:sz="4" w:space="0"/>
            </w:tcBorders>
            <w:noWrap w:val="0"/>
            <w:vAlign w:val="center"/>
          </w:tcPr>
          <w:p w14:paraId="2E8A1B4C">
            <w:pPr>
              <w:ind w:firstLine="360"/>
              <w:jc w:val="center"/>
              <w:rPr>
                <w:rFonts w:eastAsia="仿宋_GB2312"/>
                <w:color w:val="000000"/>
                <w:kern w:val="0"/>
                <w:sz w:val="18"/>
                <w:szCs w:val="18"/>
              </w:rPr>
            </w:pPr>
            <w:r>
              <w:rPr>
                <w:rFonts w:hint="eastAsia" w:eastAsia="仿宋_GB2312"/>
                <w:color w:val="000000"/>
                <w:kern w:val="0"/>
                <w:sz w:val="18"/>
                <w:szCs w:val="18"/>
                <w:lang w:eastAsia="zh-CN"/>
              </w:rPr>
              <w:t>满意度</w:t>
            </w:r>
          </w:p>
        </w:tc>
        <w:tc>
          <w:tcPr>
            <w:tcW w:w="1037" w:type="dxa"/>
            <w:tcBorders>
              <w:top w:val="nil"/>
              <w:left w:val="nil"/>
              <w:bottom w:val="single" w:color="auto" w:sz="4" w:space="0"/>
              <w:right w:val="single" w:color="auto" w:sz="4" w:space="0"/>
            </w:tcBorders>
            <w:noWrap w:val="0"/>
            <w:vAlign w:val="center"/>
          </w:tcPr>
          <w:p w14:paraId="365E0357">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035" w:type="dxa"/>
            <w:tcBorders>
              <w:top w:val="nil"/>
              <w:left w:val="nil"/>
              <w:bottom w:val="single" w:color="auto" w:sz="4" w:space="0"/>
              <w:right w:val="single" w:color="auto" w:sz="4" w:space="0"/>
            </w:tcBorders>
            <w:noWrap w:val="0"/>
            <w:vAlign w:val="center"/>
          </w:tcPr>
          <w:p w14:paraId="0F69454C">
            <w:pPr>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756" w:type="dxa"/>
            <w:tcBorders>
              <w:top w:val="nil"/>
              <w:left w:val="nil"/>
              <w:bottom w:val="single" w:color="auto" w:sz="4" w:space="0"/>
              <w:right w:val="single" w:color="auto" w:sz="4" w:space="0"/>
            </w:tcBorders>
            <w:noWrap w:val="0"/>
            <w:vAlign w:val="center"/>
          </w:tcPr>
          <w:p w14:paraId="673E97A2">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5436ECF">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10659A3A">
            <w:pPr>
              <w:ind w:firstLine="360"/>
              <w:jc w:val="center"/>
              <w:rPr>
                <w:rFonts w:eastAsia="仿宋_GB2312"/>
                <w:color w:val="000000"/>
                <w:kern w:val="0"/>
                <w:sz w:val="18"/>
                <w:szCs w:val="18"/>
              </w:rPr>
            </w:pPr>
          </w:p>
        </w:tc>
      </w:tr>
      <w:tr w14:paraId="5BC5558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60D7037B">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44152D27">
            <w:pPr>
              <w:ind w:firstLine="360"/>
              <w:jc w:val="center"/>
              <w:rPr>
                <w:rFonts w:eastAsia="仿宋_GB2312"/>
                <w:color w:val="000000"/>
                <w:kern w:val="0"/>
                <w:sz w:val="18"/>
                <w:szCs w:val="18"/>
              </w:rPr>
            </w:pPr>
          </w:p>
        </w:tc>
        <w:tc>
          <w:tcPr>
            <w:tcW w:w="986" w:type="dxa"/>
            <w:vMerge w:val="continue"/>
            <w:tcBorders>
              <w:left w:val="nil"/>
              <w:right w:val="single" w:color="auto" w:sz="4" w:space="0"/>
            </w:tcBorders>
            <w:noWrap w:val="0"/>
            <w:vAlign w:val="center"/>
          </w:tcPr>
          <w:p w14:paraId="1A57229B">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7D232AED">
            <w:pPr>
              <w:ind w:firstLine="360"/>
              <w:jc w:val="center"/>
              <w:rPr>
                <w:rFonts w:eastAsia="仿宋_GB2312"/>
                <w:color w:val="000000"/>
                <w:kern w:val="0"/>
                <w:sz w:val="18"/>
                <w:szCs w:val="18"/>
              </w:rPr>
            </w:pPr>
            <w:r>
              <w:rPr>
                <w:rFonts w:eastAsia="仿宋_GB2312"/>
                <w:color w:val="000000"/>
                <w:kern w:val="0"/>
                <w:sz w:val="18"/>
                <w:szCs w:val="18"/>
              </w:rPr>
              <w:t>指标2：</w:t>
            </w:r>
          </w:p>
        </w:tc>
        <w:tc>
          <w:tcPr>
            <w:tcW w:w="1037" w:type="dxa"/>
            <w:tcBorders>
              <w:top w:val="nil"/>
              <w:left w:val="nil"/>
              <w:bottom w:val="single" w:color="auto" w:sz="4" w:space="0"/>
              <w:right w:val="single" w:color="auto" w:sz="4" w:space="0"/>
            </w:tcBorders>
            <w:noWrap w:val="0"/>
            <w:vAlign w:val="center"/>
          </w:tcPr>
          <w:p w14:paraId="2C8405C0">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53FA76E7">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64048F80">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3F01CF6C">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3E3DD5C5">
            <w:pPr>
              <w:ind w:firstLine="360"/>
              <w:jc w:val="center"/>
              <w:rPr>
                <w:rFonts w:eastAsia="仿宋_GB2312"/>
                <w:color w:val="000000"/>
                <w:kern w:val="0"/>
                <w:sz w:val="18"/>
                <w:szCs w:val="18"/>
              </w:rPr>
            </w:pPr>
          </w:p>
        </w:tc>
      </w:tr>
      <w:tr w14:paraId="46AC5F5A">
        <w:tblPrEx>
          <w:tblCellMar>
            <w:top w:w="0" w:type="dxa"/>
            <w:left w:w="108" w:type="dxa"/>
            <w:bottom w:w="0" w:type="dxa"/>
            <w:right w:w="108" w:type="dxa"/>
          </w:tblCellMar>
        </w:tblPrEx>
        <w:trPr>
          <w:trHeight w:val="329" w:hRule="exact"/>
          <w:jc w:val="center"/>
        </w:trPr>
        <w:tc>
          <w:tcPr>
            <w:tcW w:w="986" w:type="dxa"/>
            <w:vMerge w:val="continue"/>
            <w:tcBorders>
              <w:left w:val="single" w:color="auto" w:sz="4" w:space="0"/>
              <w:bottom w:val="single" w:color="auto" w:sz="4" w:space="0"/>
              <w:right w:val="single" w:color="auto" w:sz="4" w:space="0"/>
            </w:tcBorders>
            <w:noWrap w:val="0"/>
            <w:vAlign w:val="center"/>
          </w:tcPr>
          <w:p w14:paraId="612151D1">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663A0491">
            <w:pPr>
              <w:ind w:firstLine="360"/>
              <w:jc w:val="center"/>
              <w:rPr>
                <w:rFonts w:eastAsia="仿宋_GB2312"/>
                <w:color w:val="000000"/>
                <w:kern w:val="0"/>
                <w:sz w:val="18"/>
                <w:szCs w:val="18"/>
              </w:rPr>
            </w:pPr>
          </w:p>
        </w:tc>
        <w:tc>
          <w:tcPr>
            <w:tcW w:w="986" w:type="dxa"/>
            <w:vMerge w:val="continue"/>
            <w:tcBorders>
              <w:left w:val="nil"/>
              <w:bottom w:val="single" w:color="auto" w:sz="4" w:space="0"/>
              <w:right w:val="single" w:color="auto" w:sz="4" w:space="0"/>
            </w:tcBorders>
            <w:noWrap w:val="0"/>
            <w:vAlign w:val="center"/>
          </w:tcPr>
          <w:p w14:paraId="693980DC">
            <w:pPr>
              <w:ind w:firstLine="360"/>
              <w:jc w:val="center"/>
              <w:rPr>
                <w:rFonts w:eastAsia="仿宋_GB2312"/>
                <w:color w:val="000000"/>
                <w:kern w:val="0"/>
                <w:sz w:val="18"/>
                <w:szCs w:val="18"/>
              </w:rPr>
            </w:pPr>
          </w:p>
        </w:tc>
        <w:tc>
          <w:tcPr>
            <w:tcW w:w="1118" w:type="dxa"/>
            <w:tcBorders>
              <w:top w:val="nil"/>
              <w:left w:val="nil"/>
              <w:bottom w:val="single" w:color="auto" w:sz="4" w:space="0"/>
              <w:right w:val="single" w:color="auto" w:sz="4" w:space="0"/>
            </w:tcBorders>
            <w:noWrap w:val="0"/>
            <w:vAlign w:val="center"/>
          </w:tcPr>
          <w:p w14:paraId="15506E7F">
            <w:pPr>
              <w:ind w:firstLine="360"/>
              <w:jc w:val="center"/>
              <w:rPr>
                <w:rFonts w:eastAsia="仿宋_GB2312"/>
                <w:color w:val="000000"/>
                <w:kern w:val="0"/>
                <w:sz w:val="18"/>
                <w:szCs w:val="18"/>
              </w:rPr>
            </w:pPr>
            <w:r>
              <w:rPr>
                <w:rFonts w:eastAsia="仿宋_GB2312"/>
                <w:color w:val="000000"/>
                <w:kern w:val="0"/>
                <w:sz w:val="18"/>
                <w:szCs w:val="18"/>
              </w:rPr>
              <w:t>……</w:t>
            </w:r>
          </w:p>
        </w:tc>
        <w:tc>
          <w:tcPr>
            <w:tcW w:w="1037" w:type="dxa"/>
            <w:tcBorders>
              <w:top w:val="nil"/>
              <w:left w:val="nil"/>
              <w:bottom w:val="single" w:color="auto" w:sz="4" w:space="0"/>
              <w:right w:val="single" w:color="auto" w:sz="4" w:space="0"/>
            </w:tcBorders>
            <w:noWrap w:val="0"/>
            <w:vAlign w:val="center"/>
          </w:tcPr>
          <w:p w14:paraId="6B5BCA4B">
            <w:pPr>
              <w:ind w:firstLine="360"/>
              <w:jc w:val="center"/>
              <w:rPr>
                <w:rFonts w:eastAsia="仿宋_GB2312"/>
                <w:color w:val="000000"/>
                <w:kern w:val="0"/>
                <w:sz w:val="18"/>
                <w:szCs w:val="18"/>
              </w:rPr>
            </w:pPr>
          </w:p>
        </w:tc>
        <w:tc>
          <w:tcPr>
            <w:tcW w:w="1035" w:type="dxa"/>
            <w:tcBorders>
              <w:top w:val="nil"/>
              <w:left w:val="nil"/>
              <w:bottom w:val="single" w:color="auto" w:sz="4" w:space="0"/>
              <w:right w:val="single" w:color="auto" w:sz="4" w:space="0"/>
            </w:tcBorders>
            <w:noWrap w:val="0"/>
            <w:vAlign w:val="center"/>
          </w:tcPr>
          <w:p w14:paraId="4CDC3457">
            <w:pPr>
              <w:ind w:firstLine="360"/>
              <w:jc w:val="center"/>
              <w:rPr>
                <w:rFonts w:eastAsia="仿宋_GB2312"/>
                <w:color w:val="000000"/>
                <w:kern w:val="0"/>
                <w:sz w:val="18"/>
                <w:szCs w:val="18"/>
              </w:rPr>
            </w:pPr>
          </w:p>
        </w:tc>
        <w:tc>
          <w:tcPr>
            <w:tcW w:w="756" w:type="dxa"/>
            <w:tcBorders>
              <w:top w:val="nil"/>
              <w:left w:val="nil"/>
              <w:bottom w:val="single" w:color="auto" w:sz="4" w:space="0"/>
              <w:right w:val="single" w:color="auto" w:sz="4" w:space="0"/>
            </w:tcBorders>
            <w:noWrap w:val="0"/>
            <w:vAlign w:val="center"/>
          </w:tcPr>
          <w:p w14:paraId="05F640BA">
            <w:pPr>
              <w:ind w:firstLine="360"/>
              <w:jc w:val="center"/>
              <w:rPr>
                <w:rFonts w:eastAsia="仿宋_GB2312"/>
                <w:color w:val="000000"/>
                <w:kern w:val="0"/>
                <w:sz w:val="18"/>
                <w:szCs w:val="18"/>
              </w:rPr>
            </w:pPr>
          </w:p>
        </w:tc>
        <w:tc>
          <w:tcPr>
            <w:tcW w:w="797" w:type="dxa"/>
            <w:tcBorders>
              <w:top w:val="nil"/>
              <w:left w:val="nil"/>
              <w:bottom w:val="single" w:color="auto" w:sz="4" w:space="0"/>
              <w:right w:val="single" w:color="auto" w:sz="4" w:space="0"/>
            </w:tcBorders>
            <w:noWrap w:val="0"/>
            <w:vAlign w:val="center"/>
          </w:tcPr>
          <w:p w14:paraId="74C456CB">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66C9FAE1">
            <w:pPr>
              <w:ind w:firstLine="360"/>
              <w:jc w:val="center"/>
              <w:rPr>
                <w:rFonts w:eastAsia="仿宋_GB2312"/>
                <w:color w:val="000000"/>
                <w:kern w:val="0"/>
                <w:sz w:val="18"/>
                <w:szCs w:val="18"/>
              </w:rPr>
            </w:pPr>
          </w:p>
        </w:tc>
      </w:tr>
      <w:tr w14:paraId="27997B64">
        <w:tblPrEx>
          <w:tblCellMar>
            <w:top w:w="0" w:type="dxa"/>
            <w:left w:w="108" w:type="dxa"/>
            <w:bottom w:w="0" w:type="dxa"/>
            <w:right w:w="108" w:type="dxa"/>
          </w:tblCellMar>
        </w:tblPrEx>
        <w:trPr>
          <w:trHeight w:val="245" w:hRule="exact"/>
          <w:jc w:val="center"/>
        </w:trPr>
        <w:tc>
          <w:tcPr>
            <w:tcW w:w="6148" w:type="dxa"/>
            <w:gridSpan w:val="6"/>
            <w:tcBorders>
              <w:top w:val="single" w:color="auto" w:sz="4" w:space="0"/>
              <w:left w:val="single" w:color="auto" w:sz="4" w:space="0"/>
              <w:bottom w:val="single" w:color="auto" w:sz="4" w:space="0"/>
              <w:right w:val="single" w:color="000000" w:sz="4" w:space="0"/>
            </w:tcBorders>
            <w:noWrap w:val="0"/>
            <w:vAlign w:val="center"/>
          </w:tcPr>
          <w:p w14:paraId="12C18843">
            <w:pPr>
              <w:ind w:firstLine="360"/>
              <w:jc w:val="center"/>
              <w:rPr>
                <w:rFonts w:eastAsia="仿宋_GB2312"/>
                <w:color w:val="000000"/>
                <w:kern w:val="0"/>
                <w:sz w:val="18"/>
                <w:szCs w:val="18"/>
              </w:rPr>
            </w:pPr>
            <w:r>
              <w:rPr>
                <w:rFonts w:eastAsia="仿宋_GB2312"/>
                <w:color w:val="000000"/>
                <w:kern w:val="0"/>
                <w:sz w:val="18"/>
                <w:szCs w:val="18"/>
              </w:rPr>
              <w:t>总分</w:t>
            </w:r>
          </w:p>
        </w:tc>
        <w:tc>
          <w:tcPr>
            <w:tcW w:w="756" w:type="dxa"/>
            <w:tcBorders>
              <w:top w:val="nil"/>
              <w:left w:val="nil"/>
              <w:bottom w:val="single" w:color="auto" w:sz="4" w:space="0"/>
              <w:right w:val="single" w:color="auto" w:sz="4" w:space="0"/>
            </w:tcBorders>
            <w:noWrap w:val="0"/>
            <w:vAlign w:val="center"/>
          </w:tcPr>
          <w:p w14:paraId="4E53F15C">
            <w:pPr>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797" w:type="dxa"/>
            <w:tcBorders>
              <w:top w:val="nil"/>
              <w:left w:val="nil"/>
              <w:bottom w:val="single" w:color="auto" w:sz="4" w:space="0"/>
              <w:right w:val="single" w:color="auto" w:sz="4" w:space="0"/>
            </w:tcBorders>
            <w:noWrap w:val="0"/>
            <w:vAlign w:val="center"/>
          </w:tcPr>
          <w:p w14:paraId="07651CFD">
            <w:pPr>
              <w:ind w:firstLine="360"/>
              <w:jc w:val="center"/>
              <w:rPr>
                <w:rFonts w:eastAsia="仿宋_GB2312"/>
                <w:color w:val="000000"/>
                <w:kern w:val="0"/>
                <w:sz w:val="18"/>
                <w:szCs w:val="18"/>
              </w:rPr>
            </w:pPr>
          </w:p>
        </w:tc>
        <w:tc>
          <w:tcPr>
            <w:tcW w:w="1298" w:type="dxa"/>
            <w:tcBorders>
              <w:top w:val="nil"/>
              <w:left w:val="nil"/>
              <w:bottom w:val="single" w:color="auto" w:sz="4" w:space="0"/>
              <w:right w:val="single" w:color="auto" w:sz="4" w:space="0"/>
            </w:tcBorders>
            <w:noWrap w:val="0"/>
            <w:vAlign w:val="center"/>
          </w:tcPr>
          <w:p w14:paraId="5472BD8B">
            <w:pPr>
              <w:ind w:firstLine="360"/>
              <w:jc w:val="center"/>
              <w:rPr>
                <w:rFonts w:eastAsia="仿宋_GB2312"/>
                <w:color w:val="000000"/>
                <w:kern w:val="0"/>
                <w:sz w:val="18"/>
                <w:szCs w:val="18"/>
              </w:rPr>
            </w:pPr>
          </w:p>
        </w:tc>
      </w:tr>
    </w:tbl>
    <w:p w14:paraId="6578F6B2">
      <w:pPr>
        <w:spacing w:line="600" w:lineRule="exact"/>
        <w:ind w:firstLine="0" w:firstLineChars="0"/>
        <w:jc w:val="left"/>
        <w:rPr>
          <w:rFonts w:hint="eastAsia" w:ascii="仿宋" w:hAnsi="仿宋" w:eastAsia="仿宋" w:cs="仿宋"/>
          <w:kern w:val="0"/>
        </w:rPr>
      </w:pPr>
      <w:r>
        <w:rPr>
          <w:rFonts w:eastAsia="仿宋_GB2312"/>
          <w:kern w:val="0"/>
          <w:sz w:val="21"/>
          <w:szCs w:val="21"/>
        </w:rPr>
        <w:t>填表人：</w:t>
      </w:r>
      <w:r>
        <w:rPr>
          <w:rFonts w:hint="eastAsia" w:eastAsia="仿宋_GB2312"/>
          <w:kern w:val="0"/>
          <w:sz w:val="21"/>
          <w:szCs w:val="21"/>
          <w:lang w:eastAsia="zh-CN"/>
        </w:rPr>
        <w:t>陈海燕</w:t>
      </w:r>
      <w:r>
        <w:rPr>
          <w:rFonts w:eastAsia="仿宋_GB2312"/>
          <w:kern w:val="0"/>
          <w:sz w:val="21"/>
          <w:szCs w:val="21"/>
        </w:rPr>
        <w:t xml:space="preserve">  填报日期：</w:t>
      </w:r>
      <w:r>
        <w:rPr>
          <w:rFonts w:hint="eastAsia" w:eastAsia="仿宋_GB2312"/>
          <w:kern w:val="0"/>
          <w:sz w:val="21"/>
          <w:szCs w:val="21"/>
          <w:lang w:val="en-US" w:eastAsia="zh-CN"/>
        </w:rPr>
        <w:t>2025年4月10日</w:t>
      </w:r>
      <w:r>
        <w:rPr>
          <w:rFonts w:eastAsia="仿宋_GB2312"/>
          <w:kern w:val="0"/>
          <w:sz w:val="21"/>
          <w:szCs w:val="21"/>
        </w:rPr>
        <w:t xml:space="preserve"> 联系电话：</w:t>
      </w:r>
      <w:r>
        <w:rPr>
          <w:rFonts w:hint="eastAsia" w:eastAsia="仿宋_GB2312"/>
          <w:kern w:val="0"/>
          <w:sz w:val="21"/>
          <w:szCs w:val="21"/>
          <w:lang w:val="en-US" w:eastAsia="zh-CN"/>
        </w:rPr>
        <w:t>15211924488</w:t>
      </w:r>
      <w:r>
        <w:rPr>
          <w:rFonts w:eastAsia="仿宋_GB2312"/>
          <w:kern w:val="0"/>
          <w:sz w:val="21"/>
          <w:szCs w:val="21"/>
        </w:rPr>
        <w:t xml:space="preserve">  单位负责人签字：</w:t>
      </w: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398A">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A2FA2F">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DA2FA2F">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3E3C">
    <w:pPr>
      <w:pStyle w:val="7"/>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14:paraId="39C2CAAC">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E1B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9AF9E"/>
    <w:multiLevelType w:val="singleLevel"/>
    <w:tmpl w:val="9129AF9E"/>
    <w:lvl w:ilvl="0" w:tentative="0">
      <w:start w:val="2"/>
      <w:numFmt w:val="chineseCounting"/>
      <w:suff w:val="nothing"/>
      <w:lvlText w:val="%1、"/>
      <w:lvlJc w:val="left"/>
      <w:rPr>
        <w:rFonts w:hint="eastAsia"/>
      </w:rPr>
    </w:lvl>
  </w:abstractNum>
  <w:abstractNum w:abstractNumId="1">
    <w:nsid w:val="BDF948F8"/>
    <w:multiLevelType w:val="singleLevel"/>
    <w:tmpl w:val="BDF948F8"/>
    <w:lvl w:ilvl="0" w:tentative="0">
      <w:start w:val="7"/>
      <w:numFmt w:val="chineseCounting"/>
      <w:suff w:val="nothing"/>
      <w:lvlText w:val="%1、"/>
      <w:lvlJc w:val="left"/>
      <w:rPr>
        <w:rFonts w:hint="eastAsia"/>
      </w:rPr>
    </w:lvl>
  </w:abstractNum>
  <w:abstractNum w:abstractNumId="2">
    <w:nsid w:val="C33B1B0A"/>
    <w:multiLevelType w:val="singleLevel"/>
    <w:tmpl w:val="C33B1B0A"/>
    <w:lvl w:ilvl="0" w:tentative="0">
      <w:start w:val="2"/>
      <w:numFmt w:val="chineseCounting"/>
      <w:suff w:val="nothing"/>
      <w:lvlText w:val="（%1）"/>
      <w:lvlJc w:val="left"/>
      <w:rPr>
        <w:rFonts w:hint="eastAsia"/>
      </w:rPr>
    </w:lvl>
  </w:abstractNum>
  <w:abstractNum w:abstractNumId="3">
    <w:nsid w:val="D17A93F1"/>
    <w:multiLevelType w:val="singleLevel"/>
    <w:tmpl w:val="D17A93F1"/>
    <w:lvl w:ilvl="0" w:tentative="0">
      <w:start w:val="4"/>
      <w:numFmt w:val="chineseCounting"/>
      <w:suff w:val="nothing"/>
      <w:lvlText w:val="%1、"/>
      <w:lvlJc w:val="left"/>
      <w:rPr>
        <w:rFonts w:hint="eastAsia"/>
      </w:rPr>
    </w:lvl>
  </w:abstractNum>
  <w:abstractNum w:abstractNumId="4">
    <w:nsid w:val="EC81D1B1"/>
    <w:multiLevelType w:val="singleLevel"/>
    <w:tmpl w:val="EC81D1B1"/>
    <w:lvl w:ilvl="0" w:tentative="0">
      <w:start w:val="1"/>
      <w:numFmt w:val="decimal"/>
      <w:suff w:val="nothing"/>
      <w:lvlText w:val="%1、"/>
      <w:lvlJc w:val="left"/>
    </w:lvl>
  </w:abstractNum>
  <w:abstractNum w:abstractNumId="5">
    <w:nsid w:val="EE862FB6"/>
    <w:multiLevelType w:val="singleLevel"/>
    <w:tmpl w:val="EE862FB6"/>
    <w:lvl w:ilvl="0" w:tentative="0">
      <w:start w:val="1"/>
      <w:numFmt w:val="chineseCounting"/>
      <w:suff w:val="nothing"/>
      <w:lvlText w:val="（%1）"/>
      <w:lvlJc w:val="left"/>
      <w:rPr>
        <w:rFonts w:hint="eastAsia"/>
      </w:rPr>
    </w:lvl>
  </w:abstractNum>
  <w:abstractNum w:abstractNumId="6">
    <w:nsid w:val="F0DB25A0"/>
    <w:multiLevelType w:val="singleLevel"/>
    <w:tmpl w:val="F0DB25A0"/>
    <w:lvl w:ilvl="0" w:tentative="0">
      <w:start w:val="2"/>
      <w:numFmt w:val="decimal"/>
      <w:lvlText w:val="%1."/>
      <w:lvlJc w:val="left"/>
      <w:pPr>
        <w:tabs>
          <w:tab w:val="left" w:pos="312"/>
        </w:tabs>
      </w:pPr>
    </w:lvl>
  </w:abstractNum>
  <w:abstractNum w:abstractNumId="7">
    <w:nsid w:val="F833B046"/>
    <w:multiLevelType w:val="singleLevel"/>
    <w:tmpl w:val="F833B046"/>
    <w:lvl w:ilvl="0" w:tentative="0">
      <w:start w:val="4"/>
      <w:numFmt w:val="chineseCounting"/>
      <w:suff w:val="nothing"/>
      <w:lvlText w:val="（%1）"/>
      <w:lvlJc w:val="left"/>
      <w:rPr>
        <w:rFonts w:hint="eastAsia"/>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ZjU4MTYyMTE2NWJkY2M2MWI4MzI1MmMzNTg1YjUifQ=="/>
  </w:docVars>
  <w:rsids>
    <w:rsidRoot w:val="18D538B0"/>
    <w:rsid w:val="00043B2F"/>
    <w:rsid w:val="00333A2A"/>
    <w:rsid w:val="003752C8"/>
    <w:rsid w:val="003A6B66"/>
    <w:rsid w:val="004B48CF"/>
    <w:rsid w:val="00537C28"/>
    <w:rsid w:val="005A7208"/>
    <w:rsid w:val="008B73C2"/>
    <w:rsid w:val="009C15CF"/>
    <w:rsid w:val="009C337D"/>
    <w:rsid w:val="00DE3995"/>
    <w:rsid w:val="00FC206D"/>
    <w:rsid w:val="01086C64"/>
    <w:rsid w:val="010F3B4F"/>
    <w:rsid w:val="012F41F1"/>
    <w:rsid w:val="013435B5"/>
    <w:rsid w:val="015E0632"/>
    <w:rsid w:val="01600BAC"/>
    <w:rsid w:val="016025FC"/>
    <w:rsid w:val="016A5229"/>
    <w:rsid w:val="0179546C"/>
    <w:rsid w:val="018067FB"/>
    <w:rsid w:val="018E17F6"/>
    <w:rsid w:val="019127B6"/>
    <w:rsid w:val="019329D2"/>
    <w:rsid w:val="01934780"/>
    <w:rsid w:val="01A4698D"/>
    <w:rsid w:val="01B34E22"/>
    <w:rsid w:val="01B6046E"/>
    <w:rsid w:val="01BA61B0"/>
    <w:rsid w:val="01CE57B8"/>
    <w:rsid w:val="01D34B7C"/>
    <w:rsid w:val="01E50D53"/>
    <w:rsid w:val="01EB6738"/>
    <w:rsid w:val="01F66ABD"/>
    <w:rsid w:val="02184C85"/>
    <w:rsid w:val="02510197"/>
    <w:rsid w:val="02647ECA"/>
    <w:rsid w:val="027A149C"/>
    <w:rsid w:val="027A76EE"/>
    <w:rsid w:val="02E64D83"/>
    <w:rsid w:val="02E84657"/>
    <w:rsid w:val="0313544C"/>
    <w:rsid w:val="03190CB5"/>
    <w:rsid w:val="03345AEF"/>
    <w:rsid w:val="038A1793"/>
    <w:rsid w:val="038F0F77"/>
    <w:rsid w:val="039447DF"/>
    <w:rsid w:val="03A013D6"/>
    <w:rsid w:val="03A26EFC"/>
    <w:rsid w:val="03B24C65"/>
    <w:rsid w:val="03B40C48"/>
    <w:rsid w:val="03B66504"/>
    <w:rsid w:val="03BB1DE6"/>
    <w:rsid w:val="03BD5AE4"/>
    <w:rsid w:val="03D2624F"/>
    <w:rsid w:val="03E272F9"/>
    <w:rsid w:val="03F4527E"/>
    <w:rsid w:val="04001E75"/>
    <w:rsid w:val="040501C3"/>
    <w:rsid w:val="04082AD7"/>
    <w:rsid w:val="040E27E3"/>
    <w:rsid w:val="04137DFA"/>
    <w:rsid w:val="04425FE9"/>
    <w:rsid w:val="04497378"/>
    <w:rsid w:val="045126D0"/>
    <w:rsid w:val="04806B11"/>
    <w:rsid w:val="04874344"/>
    <w:rsid w:val="04A24CDA"/>
    <w:rsid w:val="04D53301"/>
    <w:rsid w:val="04DF7CDC"/>
    <w:rsid w:val="04E672BC"/>
    <w:rsid w:val="04F35535"/>
    <w:rsid w:val="04FF037E"/>
    <w:rsid w:val="050B0AD1"/>
    <w:rsid w:val="0526590B"/>
    <w:rsid w:val="05323055"/>
    <w:rsid w:val="053578FC"/>
    <w:rsid w:val="054B711F"/>
    <w:rsid w:val="055E50A5"/>
    <w:rsid w:val="055F2BCB"/>
    <w:rsid w:val="057B7A05"/>
    <w:rsid w:val="057E12A3"/>
    <w:rsid w:val="05856AD5"/>
    <w:rsid w:val="059A0717"/>
    <w:rsid w:val="05A056BD"/>
    <w:rsid w:val="05D709B3"/>
    <w:rsid w:val="05E337FC"/>
    <w:rsid w:val="061E4834"/>
    <w:rsid w:val="063D115E"/>
    <w:rsid w:val="06536294"/>
    <w:rsid w:val="067A4160"/>
    <w:rsid w:val="068C3E93"/>
    <w:rsid w:val="069F7723"/>
    <w:rsid w:val="06B036DE"/>
    <w:rsid w:val="06C70A28"/>
    <w:rsid w:val="06E67100"/>
    <w:rsid w:val="06EE4206"/>
    <w:rsid w:val="06F51A39"/>
    <w:rsid w:val="06F7130D"/>
    <w:rsid w:val="07155C37"/>
    <w:rsid w:val="071F2B16"/>
    <w:rsid w:val="07287718"/>
    <w:rsid w:val="073E6F3C"/>
    <w:rsid w:val="074D22E3"/>
    <w:rsid w:val="07797F74"/>
    <w:rsid w:val="077E558A"/>
    <w:rsid w:val="07CF228A"/>
    <w:rsid w:val="07D23B28"/>
    <w:rsid w:val="07D478A0"/>
    <w:rsid w:val="07E21FBD"/>
    <w:rsid w:val="07F341CA"/>
    <w:rsid w:val="080041F1"/>
    <w:rsid w:val="081E6D6D"/>
    <w:rsid w:val="082F0F7A"/>
    <w:rsid w:val="08381BDD"/>
    <w:rsid w:val="086C1887"/>
    <w:rsid w:val="08E7715F"/>
    <w:rsid w:val="094B1DE4"/>
    <w:rsid w:val="095E3180"/>
    <w:rsid w:val="096A04BC"/>
    <w:rsid w:val="09896468"/>
    <w:rsid w:val="09905A49"/>
    <w:rsid w:val="099472E7"/>
    <w:rsid w:val="09972933"/>
    <w:rsid w:val="09A137B2"/>
    <w:rsid w:val="09D347BB"/>
    <w:rsid w:val="09FB7366"/>
    <w:rsid w:val="0A051F93"/>
    <w:rsid w:val="0A110938"/>
    <w:rsid w:val="0A40746F"/>
    <w:rsid w:val="0A430D0D"/>
    <w:rsid w:val="0A6273E5"/>
    <w:rsid w:val="0A686BF6"/>
    <w:rsid w:val="0A7F7F97"/>
    <w:rsid w:val="0A8E1F88"/>
    <w:rsid w:val="0A9926DB"/>
    <w:rsid w:val="0AC21C32"/>
    <w:rsid w:val="0AD81455"/>
    <w:rsid w:val="0AD96F7B"/>
    <w:rsid w:val="0AE24082"/>
    <w:rsid w:val="0AEE6ECB"/>
    <w:rsid w:val="0AFD2C6A"/>
    <w:rsid w:val="0B04224A"/>
    <w:rsid w:val="0B1D155E"/>
    <w:rsid w:val="0B2B77D7"/>
    <w:rsid w:val="0B301291"/>
    <w:rsid w:val="0B5D195B"/>
    <w:rsid w:val="0B6E1DBA"/>
    <w:rsid w:val="0B9C06D5"/>
    <w:rsid w:val="0BAD4690"/>
    <w:rsid w:val="0BC32105"/>
    <w:rsid w:val="0BC55E7E"/>
    <w:rsid w:val="0BC65752"/>
    <w:rsid w:val="0BD31C1D"/>
    <w:rsid w:val="0C032502"/>
    <w:rsid w:val="0C5B0590"/>
    <w:rsid w:val="0C654F6B"/>
    <w:rsid w:val="0C6B6720"/>
    <w:rsid w:val="0C760F26"/>
    <w:rsid w:val="0C790A16"/>
    <w:rsid w:val="0C7E602C"/>
    <w:rsid w:val="0C8A49D1"/>
    <w:rsid w:val="0C9E6D20"/>
    <w:rsid w:val="0CBD4DA7"/>
    <w:rsid w:val="0CC021A1"/>
    <w:rsid w:val="0CC779D3"/>
    <w:rsid w:val="0CDD2D53"/>
    <w:rsid w:val="0D136775"/>
    <w:rsid w:val="0D3C216F"/>
    <w:rsid w:val="0D605732"/>
    <w:rsid w:val="0D766D04"/>
    <w:rsid w:val="0D907DC5"/>
    <w:rsid w:val="0DB5782C"/>
    <w:rsid w:val="0DD74424"/>
    <w:rsid w:val="0DE61630"/>
    <w:rsid w:val="0DE819AF"/>
    <w:rsid w:val="0DEE2D3E"/>
    <w:rsid w:val="0DFF4F4B"/>
    <w:rsid w:val="0E1924B1"/>
    <w:rsid w:val="0E197DBB"/>
    <w:rsid w:val="0E3C1CFB"/>
    <w:rsid w:val="0E4D215A"/>
    <w:rsid w:val="0E4F1A2E"/>
    <w:rsid w:val="0E611C6E"/>
    <w:rsid w:val="0E7112CD"/>
    <w:rsid w:val="0E8F2773"/>
    <w:rsid w:val="0EAA3109"/>
    <w:rsid w:val="0EB65F51"/>
    <w:rsid w:val="0EBB70C4"/>
    <w:rsid w:val="0F0A004B"/>
    <w:rsid w:val="0F0C5B71"/>
    <w:rsid w:val="0F31382A"/>
    <w:rsid w:val="0F985657"/>
    <w:rsid w:val="0F9A317D"/>
    <w:rsid w:val="0FC14BAE"/>
    <w:rsid w:val="10060813"/>
    <w:rsid w:val="101822F4"/>
    <w:rsid w:val="10196798"/>
    <w:rsid w:val="101A42BE"/>
    <w:rsid w:val="10234F21"/>
    <w:rsid w:val="1024256C"/>
    <w:rsid w:val="104430E9"/>
    <w:rsid w:val="104A6951"/>
    <w:rsid w:val="10523A58"/>
    <w:rsid w:val="10790FE5"/>
    <w:rsid w:val="107F4121"/>
    <w:rsid w:val="10B17251"/>
    <w:rsid w:val="10BA43DB"/>
    <w:rsid w:val="10BE733F"/>
    <w:rsid w:val="10C57C4D"/>
    <w:rsid w:val="10D606A6"/>
    <w:rsid w:val="11164A85"/>
    <w:rsid w:val="111D5E14"/>
    <w:rsid w:val="112B6C40"/>
    <w:rsid w:val="1145536B"/>
    <w:rsid w:val="11456604"/>
    <w:rsid w:val="11553800"/>
    <w:rsid w:val="115630D4"/>
    <w:rsid w:val="115B4B8E"/>
    <w:rsid w:val="115D0906"/>
    <w:rsid w:val="116E2B13"/>
    <w:rsid w:val="117920F5"/>
    <w:rsid w:val="117C2E73"/>
    <w:rsid w:val="11AD363C"/>
    <w:rsid w:val="11B85B3D"/>
    <w:rsid w:val="11DF30C9"/>
    <w:rsid w:val="11E9622E"/>
    <w:rsid w:val="11ED1C8A"/>
    <w:rsid w:val="122D02D9"/>
    <w:rsid w:val="1232769D"/>
    <w:rsid w:val="12380A2C"/>
    <w:rsid w:val="123B762F"/>
    <w:rsid w:val="12437AFC"/>
    <w:rsid w:val="124A64D9"/>
    <w:rsid w:val="12607728"/>
    <w:rsid w:val="126104A5"/>
    <w:rsid w:val="12695089"/>
    <w:rsid w:val="126E269F"/>
    <w:rsid w:val="1292638E"/>
    <w:rsid w:val="129640D0"/>
    <w:rsid w:val="12A83E03"/>
    <w:rsid w:val="13021765"/>
    <w:rsid w:val="130F3E82"/>
    <w:rsid w:val="13113C31"/>
    <w:rsid w:val="13313DF9"/>
    <w:rsid w:val="133D3E1D"/>
    <w:rsid w:val="134C29E0"/>
    <w:rsid w:val="13516249"/>
    <w:rsid w:val="13854144"/>
    <w:rsid w:val="139B74C4"/>
    <w:rsid w:val="13BA5B9C"/>
    <w:rsid w:val="13C57FC2"/>
    <w:rsid w:val="13DD7ADC"/>
    <w:rsid w:val="13E40E6B"/>
    <w:rsid w:val="13E56991"/>
    <w:rsid w:val="13EB2DF0"/>
    <w:rsid w:val="14101C60"/>
    <w:rsid w:val="141F1EA3"/>
    <w:rsid w:val="14263231"/>
    <w:rsid w:val="1433594E"/>
    <w:rsid w:val="143E4A1F"/>
    <w:rsid w:val="14411E19"/>
    <w:rsid w:val="144F5156"/>
    <w:rsid w:val="146401FE"/>
    <w:rsid w:val="14740441"/>
    <w:rsid w:val="148F7029"/>
    <w:rsid w:val="14900FF3"/>
    <w:rsid w:val="149503B7"/>
    <w:rsid w:val="14B52807"/>
    <w:rsid w:val="14B720DC"/>
    <w:rsid w:val="14EF5D19"/>
    <w:rsid w:val="15485429"/>
    <w:rsid w:val="155D0ED5"/>
    <w:rsid w:val="156A1844"/>
    <w:rsid w:val="15916DD0"/>
    <w:rsid w:val="15C01464"/>
    <w:rsid w:val="15D05B4B"/>
    <w:rsid w:val="15E433A4"/>
    <w:rsid w:val="160475A2"/>
    <w:rsid w:val="16155EDA"/>
    <w:rsid w:val="1647748F"/>
    <w:rsid w:val="164976AB"/>
    <w:rsid w:val="16571DC8"/>
    <w:rsid w:val="167504A0"/>
    <w:rsid w:val="1686445B"/>
    <w:rsid w:val="16A46254"/>
    <w:rsid w:val="16D50F3F"/>
    <w:rsid w:val="16E3540A"/>
    <w:rsid w:val="1711641B"/>
    <w:rsid w:val="17233A58"/>
    <w:rsid w:val="173C2D6C"/>
    <w:rsid w:val="174148B4"/>
    <w:rsid w:val="1767588B"/>
    <w:rsid w:val="176D1177"/>
    <w:rsid w:val="1772678E"/>
    <w:rsid w:val="17996410"/>
    <w:rsid w:val="17BB1EE3"/>
    <w:rsid w:val="17DD00AB"/>
    <w:rsid w:val="17DD62FD"/>
    <w:rsid w:val="17E21B65"/>
    <w:rsid w:val="17E53404"/>
    <w:rsid w:val="18383533"/>
    <w:rsid w:val="184E2D57"/>
    <w:rsid w:val="188C387F"/>
    <w:rsid w:val="189310B2"/>
    <w:rsid w:val="18956BD8"/>
    <w:rsid w:val="189A2440"/>
    <w:rsid w:val="189A41EE"/>
    <w:rsid w:val="189F7A56"/>
    <w:rsid w:val="18A706B9"/>
    <w:rsid w:val="18BC23B6"/>
    <w:rsid w:val="18C9062F"/>
    <w:rsid w:val="18D45952"/>
    <w:rsid w:val="18D538B0"/>
    <w:rsid w:val="18D92F68"/>
    <w:rsid w:val="18E032C2"/>
    <w:rsid w:val="18E67433"/>
    <w:rsid w:val="18F13D79"/>
    <w:rsid w:val="18F4642E"/>
    <w:rsid w:val="19102702"/>
    <w:rsid w:val="1954439D"/>
    <w:rsid w:val="19726F19"/>
    <w:rsid w:val="19946E8F"/>
    <w:rsid w:val="19954A44"/>
    <w:rsid w:val="19A277FE"/>
    <w:rsid w:val="19C5529B"/>
    <w:rsid w:val="19D41982"/>
    <w:rsid w:val="19DF45AE"/>
    <w:rsid w:val="1A073B05"/>
    <w:rsid w:val="1A385A6D"/>
    <w:rsid w:val="1A5605E9"/>
    <w:rsid w:val="1A5B79AD"/>
    <w:rsid w:val="1A732F49"/>
    <w:rsid w:val="1AA66E7A"/>
    <w:rsid w:val="1AC83294"/>
    <w:rsid w:val="1B326960"/>
    <w:rsid w:val="1B4D72F6"/>
    <w:rsid w:val="1B505038"/>
    <w:rsid w:val="1B6D1746"/>
    <w:rsid w:val="1B8B42C2"/>
    <w:rsid w:val="1BB455C7"/>
    <w:rsid w:val="1BCD6688"/>
    <w:rsid w:val="1BD417C5"/>
    <w:rsid w:val="1BF41E67"/>
    <w:rsid w:val="1BFD51C0"/>
    <w:rsid w:val="1BFD6F6E"/>
    <w:rsid w:val="1BFE4A94"/>
    <w:rsid w:val="1C071B9A"/>
    <w:rsid w:val="1C3B5CE8"/>
    <w:rsid w:val="1C427EC4"/>
    <w:rsid w:val="1C4E1577"/>
    <w:rsid w:val="1C654B13"/>
    <w:rsid w:val="1C7865F4"/>
    <w:rsid w:val="1CB05D8E"/>
    <w:rsid w:val="1CB3587E"/>
    <w:rsid w:val="1CCE26B8"/>
    <w:rsid w:val="1CCF110C"/>
    <w:rsid w:val="1D0B56BA"/>
    <w:rsid w:val="1D0C4F8F"/>
    <w:rsid w:val="1D306ECF"/>
    <w:rsid w:val="1D743260"/>
    <w:rsid w:val="1D864D41"/>
    <w:rsid w:val="1D9456B0"/>
    <w:rsid w:val="1D9C4564"/>
    <w:rsid w:val="1DA04055"/>
    <w:rsid w:val="1DEB1048"/>
    <w:rsid w:val="1DF4614E"/>
    <w:rsid w:val="1E0F4D36"/>
    <w:rsid w:val="1E164317"/>
    <w:rsid w:val="1E594203"/>
    <w:rsid w:val="1E605592"/>
    <w:rsid w:val="1E831280"/>
    <w:rsid w:val="1E9A6CF6"/>
    <w:rsid w:val="1E9E60BA"/>
    <w:rsid w:val="1ED1023E"/>
    <w:rsid w:val="1ED815CC"/>
    <w:rsid w:val="1EDA3596"/>
    <w:rsid w:val="1EDD568A"/>
    <w:rsid w:val="1EE14925"/>
    <w:rsid w:val="1EFB52BB"/>
    <w:rsid w:val="1EFC175F"/>
    <w:rsid w:val="1F3233D2"/>
    <w:rsid w:val="1F3D3B25"/>
    <w:rsid w:val="1F86727A"/>
    <w:rsid w:val="1F925C1F"/>
    <w:rsid w:val="1FA31533"/>
    <w:rsid w:val="1FBF3557"/>
    <w:rsid w:val="1FC41B50"/>
    <w:rsid w:val="1FDB75C6"/>
    <w:rsid w:val="1FF22990"/>
    <w:rsid w:val="2000527E"/>
    <w:rsid w:val="20304BC9"/>
    <w:rsid w:val="204D1B46"/>
    <w:rsid w:val="205D622D"/>
    <w:rsid w:val="20607ACB"/>
    <w:rsid w:val="206A094A"/>
    <w:rsid w:val="207D242B"/>
    <w:rsid w:val="20B120D5"/>
    <w:rsid w:val="20D858B3"/>
    <w:rsid w:val="21105E53"/>
    <w:rsid w:val="211A411E"/>
    <w:rsid w:val="21260D15"/>
    <w:rsid w:val="21274A8D"/>
    <w:rsid w:val="212B00D9"/>
    <w:rsid w:val="213827F6"/>
    <w:rsid w:val="214B42D7"/>
    <w:rsid w:val="21703D3E"/>
    <w:rsid w:val="21771570"/>
    <w:rsid w:val="21796BC2"/>
    <w:rsid w:val="21B552CB"/>
    <w:rsid w:val="21B87493"/>
    <w:rsid w:val="21C67E02"/>
    <w:rsid w:val="220527FD"/>
    <w:rsid w:val="2210107D"/>
    <w:rsid w:val="22237002"/>
    <w:rsid w:val="224F1BA5"/>
    <w:rsid w:val="2297354C"/>
    <w:rsid w:val="22A87507"/>
    <w:rsid w:val="22A939AB"/>
    <w:rsid w:val="22AA14D2"/>
    <w:rsid w:val="22BE0E76"/>
    <w:rsid w:val="22DE4C55"/>
    <w:rsid w:val="22EF5136"/>
    <w:rsid w:val="23250B58"/>
    <w:rsid w:val="233C481F"/>
    <w:rsid w:val="23425BAE"/>
    <w:rsid w:val="23580F2E"/>
    <w:rsid w:val="237C10C0"/>
    <w:rsid w:val="237C4C1C"/>
    <w:rsid w:val="241F18CE"/>
    <w:rsid w:val="244A2F6C"/>
    <w:rsid w:val="245931AF"/>
    <w:rsid w:val="246456B0"/>
    <w:rsid w:val="24822706"/>
    <w:rsid w:val="2483632E"/>
    <w:rsid w:val="24883A94"/>
    <w:rsid w:val="248F097F"/>
    <w:rsid w:val="24A02B8C"/>
    <w:rsid w:val="24AD7057"/>
    <w:rsid w:val="24AE34FB"/>
    <w:rsid w:val="24DB0068"/>
    <w:rsid w:val="24F9229C"/>
    <w:rsid w:val="251A293E"/>
    <w:rsid w:val="251F7F55"/>
    <w:rsid w:val="25253091"/>
    <w:rsid w:val="252E1F46"/>
    <w:rsid w:val="25333A00"/>
    <w:rsid w:val="25550C1E"/>
    <w:rsid w:val="258B7398"/>
    <w:rsid w:val="259F2E44"/>
    <w:rsid w:val="25B05D49"/>
    <w:rsid w:val="25C24D84"/>
    <w:rsid w:val="25C91C6F"/>
    <w:rsid w:val="25DF1492"/>
    <w:rsid w:val="25E44CFA"/>
    <w:rsid w:val="25F72C80"/>
    <w:rsid w:val="261E020C"/>
    <w:rsid w:val="2628108B"/>
    <w:rsid w:val="26282E39"/>
    <w:rsid w:val="2629095F"/>
    <w:rsid w:val="26437C73"/>
    <w:rsid w:val="266D2F42"/>
    <w:rsid w:val="26834513"/>
    <w:rsid w:val="26995AE5"/>
    <w:rsid w:val="26A12BEB"/>
    <w:rsid w:val="26B648E9"/>
    <w:rsid w:val="26CD578F"/>
    <w:rsid w:val="26D20FF7"/>
    <w:rsid w:val="27135897"/>
    <w:rsid w:val="27182EAE"/>
    <w:rsid w:val="273852FE"/>
    <w:rsid w:val="27427F2B"/>
    <w:rsid w:val="274517C9"/>
    <w:rsid w:val="277327DA"/>
    <w:rsid w:val="277B51EB"/>
    <w:rsid w:val="27814EF7"/>
    <w:rsid w:val="27873B8F"/>
    <w:rsid w:val="27B34984"/>
    <w:rsid w:val="27D03788"/>
    <w:rsid w:val="281C077C"/>
    <w:rsid w:val="281D135F"/>
    <w:rsid w:val="28377363"/>
    <w:rsid w:val="28487C39"/>
    <w:rsid w:val="2858552C"/>
    <w:rsid w:val="28A6098D"/>
    <w:rsid w:val="28AD3ACA"/>
    <w:rsid w:val="28B135BA"/>
    <w:rsid w:val="28BE1833"/>
    <w:rsid w:val="28BF4190"/>
    <w:rsid w:val="28C4406E"/>
    <w:rsid w:val="28C878C3"/>
    <w:rsid w:val="28EC2844"/>
    <w:rsid w:val="29037B8D"/>
    <w:rsid w:val="2916341D"/>
    <w:rsid w:val="296028EA"/>
    <w:rsid w:val="296323DA"/>
    <w:rsid w:val="29693E94"/>
    <w:rsid w:val="29824F56"/>
    <w:rsid w:val="299D58EC"/>
    <w:rsid w:val="29AF73CD"/>
    <w:rsid w:val="29F80D74"/>
    <w:rsid w:val="2A13795C"/>
    <w:rsid w:val="2A465F84"/>
    <w:rsid w:val="2A5341FD"/>
    <w:rsid w:val="2A5C57A7"/>
    <w:rsid w:val="2A622692"/>
    <w:rsid w:val="2A706BB3"/>
    <w:rsid w:val="2A7C719C"/>
    <w:rsid w:val="2A974647"/>
    <w:rsid w:val="2A994305"/>
    <w:rsid w:val="2ABC4498"/>
    <w:rsid w:val="2B434271"/>
    <w:rsid w:val="2B481888"/>
    <w:rsid w:val="2B5446D0"/>
    <w:rsid w:val="2B563FA5"/>
    <w:rsid w:val="2B591CE7"/>
    <w:rsid w:val="2B603075"/>
    <w:rsid w:val="2B7679E1"/>
    <w:rsid w:val="2B7E52A9"/>
    <w:rsid w:val="2B926A7E"/>
    <w:rsid w:val="2B942D1F"/>
    <w:rsid w:val="2B97636B"/>
    <w:rsid w:val="2B9F3B9D"/>
    <w:rsid w:val="2C1125C1"/>
    <w:rsid w:val="2C273B93"/>
    <w:rsid w:val="2C2B5641"/>
    <w:rsid w:val="2C414C55"/>
    <w:rsid w:val="2C4209CD"/>
    <w:rsid w:val="2C6646BB"/>
    <w:rsid w:val="2C6C77F8"/>
    <w:rsid w:val="2C842D93"/>
    <w:rsid w:val="2C8F2F53"/>
    <w:rsid w:val="2CAE79CE"/>
    <w:rsid w:val="2CB6067E"/>
    <w:rsid w:val="2CBE44F7"/>
    <w:rsid w:val="2CC3566A"/>
    <w:rsid w:val="2CC66F08"/>
    <w:rsid w:val="2CCA094F"/>
    <w:rsid w:val="2D113AF9"/>
    <w:rsid w:val="2D1C7470"/>
    <w:rsid w:val="2D216834"/>
    <w:rsid w:val="2D5B3AF4"/>
    <w:rsid w:val="2D610085"/>
    <w:rsid w:val="2D796670"/>
    <w:rsid w:val="2DA01E4F"/>
    <w:rsid w:val="2DA82AB1"/>
    <w:rsid w:val="2DC53663"/>
    <w:rsid w:val="2DC7118A"/>
    <w:rsid w:val="2E1B3283"/>
    <w:rsid w:val="2E2B5E45"/>
    <w:rsid w:val="2E3F3416"/>
    <w:rsid w:val="2E515D05"/>
    <w:rsid w:val="2E6C3ADF"/>
    <w:rsid w:val="2E731311"/>
    <w:rsid w:val="2E8157DC"/>
    <w:rsid w:val="2EDF2503"/>
    <w:rsid w:val="2F2A7C22"/>
    <w:rsid w:val="2F3E191F"/>
    <w:rsid w:val="2F4800A8"/>
    <w:rsid w:val="2F520F27"/>
    <w:rsid w:val="2F57653D"/>
    <w:rsid w:val="2F6649D2"/>
    <w:rsid w:val="2F68074A"/>
    <w:rsid w:val="2F81180C"/>
    <w:rsid w:val="2F8161F0"/>
    <w:rsid w:val="2F9C21A2"/>
    <w:rsid w:val="2FC02FA6"/>
    <w:rsid w:val="2FD22068"/>
    <w:rsid w:val="2FDC6A42"/>
    <w:rsid w:val="2FE57F9B"/>
    <w:rsid w:val="2FEA5603"/>
    <w:rsid w:val="2FF4311D"/>
    <w:rsid w:val="2FF745A3"/>
    <w:rsid w:val="2FFB63E5"/>
    <w:rsid w:val="304D7ABC"/>
    <w:rsid w:val="30890978"/>
    <w:rsid w:val="308E72D3"/>
    <w:rsid w:val="30901D07"/>
    <w:rsid w:val="3091782D"/>
    <w:rsid w:val="309612E7"/>
    <w:rsid w:val="30AE4883"/>
    <w:rsid w:val="30B17ECF"/>
    <w:rsid w:val="30DA7426"/>
    <w:rsid w:val="30F878AC"/>
    <w:rsid w:val="310B5831"/>
    <w:rsid w:val="31224929"/>
    <w:rsid w:val="31244B45"/>
    <w:rsid w:val="315216B2"/>
    <w:rsid w:val="315F16D9"/>
    <w:rsid w:val="316450AF"/>
    <w:rsid w:val="317433D6"/>
    <w:rsid w:val="318850D4"/>
    <w:rsid w:val="318A0E4C"/>
    <w:rsid w:val="31994BEB"/>
    <w:rsid w:val="31B5579D"/>
    <w:rsid w:val="31BE0AF5"/>
    <w:rsid w:val="31C0661C"/>
    <w:rsid w:val="31C37EBA"/>
    <w:rsid w:val="31D2634F"/>
    <w:rsid w:val="31D40319"/>
    <w:rsid w:val="31D73965"/>
    <w:rsid w:val="31E16592"/>
    <w:rsid w:val="31E542D4"/>
    <w:rsid w:val="31EF6F01"/>
    <w:rsid w:val="31F462C5"/>
    <w:rsid w:val="31FE7144"/>
    <w:rsid w:val="320F30FF"/>
    <w:rsid w:val="322C3CB1"/>
    <w:rsid w:val="325B4596"/>
    <w:rsid w:val="32601BAD"/>
    <w:rsid w:val="327644AD"/>
    <w:rsid w:val="32877139"/>
    <w:rsid w:val="3296737C"/>
    <w:rsid w:val="329B0E37"/>
    <w:rsid w:val="32EE71B8"/>
    <w:rsid w:val="32F01183"/>
    <w:rsid w:val="32FB3683"/>
    <w:rsid w:val="332B21BB"/>
    <w:rsid w:val="335039CF"/>
    <w:rsid w:val="335115F0"/>
    <w:rsid w:val="339A4C4A"/>
    <w:rsid w:val="339E298D"/>
    <w:rsid w:val="33A04957"/>
    <w:rsid w:val="33C543BD"/>
    <w:rsid w:val="33C70135"/>
    <w:rsid w:val="33CA5530"/>
    <w:rsid w:val="33CF6FEA"/>
    <w:rsid w:val="33D939C5"/>
    <w:rsid w:val="33F26834"/>
    <w:rsid w:val="340D18C0"/>
    <w:rsid w:val="34180991"/>
    <w:rsid w:val="34311A53"/>
    <w:rsid w:val="34367069"/>
    <w:rsid w:val="344057F2"/>
    <w:rsid w:val="34515C51"/>
    <w:rsid w:val="345E211C"/>
    <w:rsid w:val="34675474"/>
    <w:rsid w:val="347436ED"/>
    <w:rsid w:val="34A044E2"/>
    <w:rsid w:val="34A2025B"/>
    <w:rsid w:val="34B8182C"/>
    <w:rsid w:val="34F5482E"/>
    <w:rsid w:val="35366BF5"/>
    <w:rsid w:val="3546366F"/>
    <w:rsid w:val="35492DCC"/>
    <w:rsid w:val="354B6B44"/>
    <w:rsid w:val="357070B5"/>
    <w:rsid w:val="35867B7C"/>
    <w:rsid w:val="35B13A6F"/>
    <w:rsid w:val="35D42696"/>
    <w:rsid w:val="36211653"/>
    <w:rsid w:val="362829E1"/>
    <w:rsid w:val="36394BEF"/>
    <w:rsid w:val="36545584"/>
    <w:rsid w:val="36603F29"/>
    <w:rsid w:val="36626903"/>
    <w:rsid w:val="36783969"/>
    <w:rsid w:val="36BD5820"/>
    <w:rsid w:val="36E508D2"/>
    <w:rsid w:val="371B42F4"/>
    <w:rsid w:val="372907BF"/>
    <w:rsid w:val="372E4027"/>
    <w:rsid w:val="373D426B"/>
    <w:rsid w:val="374101FF"/>
    <w:rsid w:val="37515F68"/>
    <w:rsid w:val="376A3C4C"/>
    <w:rsid w:val="377203B8"/>
    <w:rsid w:val="37781747"/>
    <w:rsid w:val="377D6D5D"/>
    <w:rsid w:val="378D6FA0"/>
    <w:rsid w:val="37A4078E"/>
    <w:rsid w:val="37BA3B0D"/>
    <w:rsid w:val="37CD55EE"/>
    <w:rsid w:val="37D270A9"/>
    <w:rsid w:val="380D1E8F"/>
    <w:rsid w:val="381C6576"/>
    <w:rsid w:val="38237904"/>
    <w:rsid w:val="3838311F"/>
    <w:rsid w:val="383E029A"/>
    <w:rsid w:val="38613F89"/>
    <w:rsid w:val="38761300"/>
    <w:rsid w:val="38997BC6"/>
    <w:rsid w:val="38AA5930"/>
    <w:rsid w:val="38B36EDA"/>
    <w:rsid w:val="38D330D8"/>
    <w:rsid w:val="38E452E6"/>
    <w:rsid w:val="38EA6674"/>
    <w:rsid w:val="38F90665"/>
    <w:rsid w:val="38FC7F68"/>
    <w:rsid w:val="391D07F7"/>
    <w:rsid w:val="391E32EE"/>
    <w:rsid w:val="391F00CC"/>
    <w:rsid w:val="3942200C"/>
    <w:rsid w:val="39495149"/>
    <w:rsid w:val="394E6C03"/>
    <w:rsid w:val="39763FD6"/>
    <w:rsid w:val="39812B34"/>
    <w:rsid w:val="398919E9"/>
    <w:rsid w:val="398E34A3"/>
    <w:rsid w:val="39AC56D7"/>
    <w:rsid w:val="39B50A30"/>
    <w:rsid w:val="39C175C6"/>
    <w:rsid w:val="3A754CC9"/>
    <w:rsid w:val="3A771FCA"/>
    <w:rsid w:val="3A940645"/>
    <w:rsid w:val="3AE50EA1"/>
    <w:rsid w:val="3AF92B9E"/>
    <w:rsid w:val="3B082DE1"/>
    <w:rsid w:val="3B183024"/>
    <w:rsid w:val="3B2E0A9A"/>
    <w:rsid w:val="3B4A51A8"/>
    <w:rsid w:val="3B563B4D"/>
    <w:rsid w:val="3B626996"/>
    <w:rsid w:val="3B7C7A57"/>
    <w:rsid w:val="3BB52F69"/>
    <w:rsid w:val="3BC1190E"/>
    <w:rsid w:val="3BD31641"/>
    <w:rsid w:val="3BDC6748"/>
    <w:rsid w:val="3BEA370A"/>
    <w:rsid w:val="3BEE1FD7"/>
    <w:rsid w:val="3BF5780A"/>
    <w:rsid w:val="3BFA4E20"/>
    <w:rsid w:val="3C0E4427"/>
    <w:rsid w:val="3C553E04"/>
    <w:rsid w:val="3C5856E7"/>
    <w:rsid w:val="3C6B3628"/>
    <w:rsid w:val="3C7E335B"/>
    <w:rsid w:val="3C8A61A4"/>
    <w:rsid w:val="3C8C1F1C"/>
    <w:rsid w:val="3CA01523"/>
    <w:rsid w:val="3CAF1767"/>
    <w:rsid w:val="3CC50F8A"/>
    <w:rsid w:val="3D193084"/>
    <w:rsid w:val="3D211F38"/>
    <w:rsid w:val="3D2959BD"/>
    <w:rsid w:val="3D390512"/>
    <w:rsid w:val="3D5F13DF"/>
    <w:rsid w:val="3D8449A1"/>
    <w:rsid w:val="3D87623F"/>
    <w:rsid w:val="3D9B7F3D"/>
    <w:rsid w:val="3D9D1F07"/>
    <w:rsid w:val="3D9D3CB5"/>
    <w:rsid w:val="3DA46DF1"/>
    <w:rsid w:val="3DBB238D"/>
    <w:rsid w:val="3DC94AAA"/>
    <w:rsid w:val="3DCE3E6E"/>
    <w:rsid w:val="3DF00289"/>
    <w:rsid w:val="3DFE0BF8"/>
    <w:rsid w:val="3E030FFE"/>
    <w:rsid w:val="3E2972F7"/>
    <w:rsid w:val="3E3A69A0"/>
    <w:rsid w:val="3E5F0F6A"/>
    <w:rsid w:val="3E5F71BC"/>
    <w:rsid w:val="3E6E11AD"/>
    <w:rsid w:val="3EA177D5"/>
    <w:rsid w:val="3EAD617A"/>
    <w:rsid w:val="3ECD3124"/>
    <w:rsid w:val="3ED43706"/>
    <w:rsid w:val="3EE61364"/>
    <w:rsid w:val="3EEF6792"/>
    <w:rsid w:val="3EF115E1"/>
    <w:rsid w:val="3EF142B8"/>
    <w:rsid w:val="3F125FDD"/>
    <w:rsid w:val="3F2A1578"/>
    <w:rsid w:val="3F3E3276"/>
    <w:rsid w:val="3F5017C4"/>
    <w:rsid w:val="3F520ACF"/>
    <w:rsid w:val="3F6A5E19"/>
    <w:rsid w:val="3F731171"/>
    <w:rsid w:val="3F7B0026"/>
    <w:rsid w:val="3F830C89"/>
    <w:rsid w:val="3F966C0E"/>
    <w:rsid w:val="3F9A003D"/>
    <w:rsid w:val="3F9D7F9C"/>
    <w:rsid w:val="3FB35A12"/>
    <w:rsid w:val="3FB86B84"/>
    <w:rsid w:val="3FC76DC7"/>
    <w:rsid w:val="3FE47979"/>
    <w:rsid w:val="3FEA0343"/>
    <w:rsid w:val="3FFD4EDF"/>
    <w:rsid w:val="3FFD6C8D"/>
    <w:rsid w:val="402B1A4C"/>
    <w:rsid w:val="403501D5"/>
    <w:rsid w:val="40363F4D"/>
    <w:rsid w:val="4044666A"/>
    <w:rsid w:val="40550877"/>
    <w:rsid w:val="407451A1"/>
    <w:rsid w:val="408D1DBF"/>
    <w:rsid w:val="409A272E"/>
    <w:rsid w:val="40BC26A4"/>
    <w:rsid w:val="40BE641C"/>
    <w:rsid w:val="40E37C31"/>
    <w:rsid w:val="40EA7211"/>
    <w:rsid w:val="40F005A0"/>
    <w:rsid w:val="411249BA"/>
    <w:rsid w:val="412070D7"/>
    <w:rsid w:val="413B181B"/>
    <w:rsid w:val="414032D5"/>
    <w:rsid w:val="415428DD"/>
    <w:rsid w:val="415648A7"/>
    <w:rsid w:val="415E375B"/>
    <w:rsid w:val="416D0F25"/>
    <w:rsid w:val="418307B3"/>
    <w:rsid w:val="41A25D3E"/>
    <w:rsid w:val="41C9151C"/>
    <w:rsid w:val="41CC2DBB"/>
    <w:rsid w:val="420C765B"/>
    <w:rsid w:val="42415557"/>
    <w:rsid w:val="4298064E"/>
    <w:rsid w:val="42982C9D"/>
    <w:rsid w:val="42A25018"/>
    <w:rsid w:val="42B15B0D"/>
    <w:rsid w:val="42E80618"/>
    <w:rsid w:val="42E867DB"/>
    <w:rsid w:val="42FC76D0"/>
    <w:rsid w:val="42FF4ACA"/>
    <w:rsid w:val="43095949"/>
    <w:rsid w:val="433F136A"/>
    <w:rsid w:val="434A21E9"/>
    <w:rsid w:val="435B61A4"/>
    <w:rsid w:val="435C1F1C"/>
    <w:rsid w:val="438D20D6"/>
    <w:rsid w:val="438F4061"/>
    <w:rsid w:val="43925E19"/>
    <w:rsid w:val="43AD2778"/>
    <w:rsid w:val="43C401ED"/>
    <w:rsid w:val="43CA332A"/>
    <w:rsid w:val="43D85A47"/>
    <w:rsid w:val="448B2AB9"/>
    <w:rsid w:val="44937BC0"/>
    <w:rsid w:val="44A818BD"/>
    <w:rsid w:val="44CD1324"/>
    <w:rsid w:val="44ED72D0"/>
    <w:rsid w:val="44F3240C"/>
    <w:rsid w:val="44F543D6"/>
    <w:rsid w:val="44FF7003"/>
    <w:rsid w:val="453F5652"/>
    <w:rsid w:val="4582210E"/>
    <w:rsid w:val="458F0387"/>
    <w:rsid w:val="45CC5137"/>
    <w:rsid w:val="461B1C1B"/>
    <w:rsid w:val="46222FA9"/>
    <w:rsid w:val="462F1B6A"/>
    <w:rsid w:val="466B2BA2"/>
    <w:rsid w:val="4698770F"/>
    <w:rsid w:val="46A2058E"/>
    <w:rsid w:val="46A936CA"/>
    <w:rsid w:val="46B207D1"/>
    <w:rsid w:val="46D52711"/>
    <w:rsid w:val="46F661E4"/>
    <w:rsid w:val="470E79D1"/>
    <w:rsid w:val="47121270"/>
    <w:rsid w:val="471A45C8"/>
    <w:rsid w:val="47215957"/>
    <w:rsid w:val="472E597E"/>
    <w:rsid w:val="474927B8"/>
    <w:rsid w:val="475950F1"/>
    <w:rsid w:val="475F4422"/>
    <w:rsid w:val="47743CD8"/>
    <w:rsid w:val="4783216D"/>
    <w:rsid w:val="4786135E"/>
    <w:rsid w:val="47AD0F98"/>
    <w:rsid w:val="47CB141F"/>
    <w:rsid w:val="48221986"/>
    <w:rsid w:val="4839282C"/>
    <w:rsid w:val="485853A8"/>
    <w:rsid w:val="48684EBF"/>
    <w:rsid w:val="48743864"/>
    <w:rsid w:val="4874505C"/>
    <w:rsid w:val="488F069E"/>
    <w:rsid w:val="48934632"/>
    <w:rsid w:val="48A56114"/>
    <w:rsid w:val="48B87BF5"/>
    <w:rsid w:val="48EC3D42"/>
    <w:rsid w:val="48F86243"/>
    <w:rsid w:val="49136AFE"/>
    <w:rsid w:val="49153299"/>
    <w:rsid w:val="4916491B"/>
    <w:rsid w:val="49201968"/>
    <w:rsid w:val="49331971"/>
    <w:rsid w:val="4948541D"/>
    <w:rsid w:val="496164DE"/>
    <w:rsid w:val="49A32653"/>
    <w:rsid w:val="49C56A6D"/>
    <w:rsid w:val="49DB003F"/>
    <w:rsid w:val="49F04DE4"/>
    <w:rsid w:val="49F977A4"/>
    <w:rsid w:val="4A0B1FA6"/>
    <w:rsid w:val="4A111CB3"/>
    <w:rsid w:val="4A176B9D"/>
    <w:rsid w:val="4A2F3EE7"/>
    <w:rsid w:val="4A325785"/>
    <w:rsid w:val="4A394D65"/>
    <w:rsid w:val="4A3B6D2F"/>
    <w:rsid w:val="4A45370A"/>
    <w:rsid w:val="4A484FA8"/>
    <w:rsid w:val="4A800BE6"/>
    <w:rsid w:val="4ADB406F"/>
    <w:rsid w:val="4B125CE2"/>
    <w:rsid w:val="4B3F0159"/>
    <w:rsid w:val="4B4734B2"/>
    <w:rsid w:val="4B6814D6"/>
    <w:rsid w:val="4B6E6C91"/>
    <w:rsid w:val="4B83273C"/>
    <w:rsid w:val="4B8E10E1"/>
    <w:rsid w:val="4BB87F0C"/>
    <w:rsid w:val="4BB905DA"/>
    <w:rsid w:val="4BC468B1"/>
    <w:rsid w:val="4BE07B8E"/>
    <w:rsid w:val="4BFF5B3B"/>
    <w:rsid w:val="4C120BAA"/>
    <w:rsid w:val="4C1E403F"/>
    <w:rsid w:val="4C2757BD"/>
    <w:rsid w:val="4C52210E"/>
    <w:rsid w:val="4C6A7458"/>
    <w:rsid w:val="4C96649F"/>
    <w:rsid w:val="4C975D73"/>
    <w:rsid w:val="4C9E5354"/>
    <w:rsid w:val="4CBC3CCA"/>
    <w:rsid w:val="4CCA6149"/>
    <w:rsid w:val="4CCC1EC1"/>
    <w:rsid w:val="4CFE5DF2"/>
    <w:rsid w:val="4D007DBC"/>
    <w:rsid w:val="4D05398C"/>
    <w:rsid w:val="4D355CB8"/>
    <w:rsid w:val="4D5C3245"/>
    <w:rsid w:val="4D673998"/>
    <w:rsid w:val="4D90400D"/>
    <w:rsid w:val="4DCA28A4"/>
    <w:rsid w:val="4DE4323A"/>
    <w:rsid w:val="4DE60D60"/>
    <w:rsid w:val="4DF06083"/>
    <w:rsid w:val="4DF72F6D"/>
    <w:rsid w:val="4E0B709E"/>
    <w:rsid w:val="4E2A5D47"/>
    <w:rsid w:val="4E3E0B9C"/>
    <w:rsid w:val="4E5959D6"/>
    <w:rsid w:val="4E7E368F"/>
    <w:rsid w:val="4E854A1D"/>
    <w:rsid w:val="4E8F13F8"/>
    <w:rsid w:val="4E9E788D"/>
    <w:rsid w:val="4EDE7C89"/>
    <w:rsid w:val="4EDF237F"/>
    <w:rsid w:val="4EE01C53"/>
    <w:rsid w:val="4EF37BD9"/>
    <w:rsid w:val="4F3B1723"/>
    <w:rsid w:val="4F400944"/>
    <w:rsid w:val="4F42646A"/>
    <w:rsid w:val="4F477F24"/>
    <w:rsid w:val="4F652159"/>
    <w:rsid w:val="4F702FD7"/>
    <w:rsid w:val="4F7A3E56"/>
    <w:rsid w:val="4F8627FB"/>
    <w:rsid w:val="4FA462B3"/>
    <w:rsid w:val="4FA669F9"/>
    <w:rsid w:val="4FE6773D"/>
    <w:rsid w:val="4FF43C08"/>
    <w:rsid w:val="4FF97471"/>
    <w:rsid w:val="50192406"/>
    <w:rsid w:val="5039786D"/>
    <w:rsid w:val="50412BC6"/>
    <w:rsid w:val="50446212"/>
    <w:rsid w:val="50485D02"/>
    <w:rsid w:val="50597F0F"/>
    <w:rsid w:val="506348EA"/>
    <w:rsid w:val="506D7517"/>
    <w:rsid w:val="507028FD"/>
    <w:rsid w:val="507C62DD"/>
    <w:rsid w:val="508D1967"/>
    <w:rsid w:val="50966A6E"/>
    <w:rsid w:val="50AD025B"/>
    <w:rsid w:val="50B20CEB"/>
    <w:rsid w:val="50C80BF1"/>
    <w:rsid w:val="50E517A3"/>
    <w:rsid w:val="50E772C9"/>
    <w:rsid w:val="51037E7B"/>
    <w:rsid w:val="512C2F2E"/>
    <w:rsid w:val="5167040A"/>
    <w:rsid w:val="516A1CA8"/>
    <w:rsid w:val="516C5A20"/>
    <w:rsid w:val="51956D25"/>
    <w:rsid w:val="519D5BDA"/>
    <w:rsid w:val="51A258E6"/>
    <w:rsid w:val="51BF1FF4"/>
    <w:rsid w:val="51CE66DB"/>
    <w:rsid w:val="5201260D"/>
    <w:rsid w:val="5209326F"/>
    <w:rsid w:val="521045FE"/>
    <w:rsid w:val="521E54EC"/>
    <w:rsid w:val="522E2CD6"/>
    <w:rsid w:val="523F3135"/>
    <w:rsid w:val="527E3C5D"/>
    <w:rsid w:val="52846D9A"/>
    <w:rsid w:val="52AA6800"/>
    <w:rsid w:val="52ED2B91"/>
    <w:rsid w:val="52ED493F"/>
    <w:rsid w:val="530C3017"/>
    <w:rsid w:val="530F2B07"/>
    <w:rsid w:val="5322283B"/>
    <w:rsid w:val="5325232B"/>
    <w:rsid w:val="535624E4"/>
    <w:rsid w:val="53C2401E"/>
    <w:rsid w:val="53D55AFF"/>
    <w:rsid w:val="53D77AC9"/>
    <w:rsid w:val="541D1254"/>
    <w:rsid w:val="543A3BB4"/>
    <w:rsid w:val="545D5AF4"/>
    <w:rsid w:val="546B1FBF"/>
    <w:rsid w:val="547370C6"/>
    <w:rsid w:val="54907C78"/>
    <w:rsid w:val="54BF40B9"/>
    <w:rsid w:val="54C55B73"/>
    <w:rsid w:val="54C85664"/>
    <w:rsid w:val="54CF07A0"/>
    <w:rsid w:val="54D51B2F"/>
    <w:rsid w:val="54EB459D"/>
    <w:rsid w:val="54F2448F"/>
    <w:rsid w:val="55164621"/>
    <w:rsid w:val="551C33CB"/>
    <w:rsid w:val="55222FC6"/>
    <w:rsid w:val="552F2E36"/>
    <w:rsid w:val="556F5ADF"/>
    <w:rsid w:val="558D41B7"/>
    <w:rsid w:val="55992B5C"/>
    <w:rsid w:val="55F67FAE"/>
    <w:rsid w:val="55FE57CA"/>
    <w:rsid w:val="55FF3307"/>
    <w:rsid w:val="56171238"/>
    <w:rsid w:val="56231F37"/>
    <w:rsid w:val="562B40FC"/>
    <w:rsid w:val="563C6D66"/>
    <w:rsid w:val="565C4B5A"/>
    <w:rsid w:val="56625644"/>
    <w:rsid w:val="56682C5A"/>
    <w:rsid w:val="569E667C"/>
    <w:rsid w:val="56CB31E9"/>
    <w:rsid w:val="56CD51B3"/>
    <w:rsid w:val="56E16569"/>
    <w:rsid w:val="56E85B49"/>
    <w:rsid w:val="57034731"/>
    <w:rsid w:val="570C5CDB"/>
    <w:rsid w:val="5721105B"/>
    <w:rsid w:val="577218B7"/>
    <w:rsid w:val="578E37A1"/>
    <w:rsid w:val="578F4217"/>
    <w:rsid w:val="5794182D"/>
    <w:rsid w:val="579D2DD8"/>
    <w:rsid w:val="57BE68AA"/>
    <w:rsid w:val="57D460CD"/>
    <w:rsid w:val="57DB3900"/>
    <w:rsid w:val="57F95B34"/>
    <w:rsid w:val="58022C3B"/>
    <w:rsid w:val="580E7831"/>
    <w:rsid w:val="581A61D6"/>
    <w:rsid w:val="58276B45"/>
    <w:rsid w:val="58296F09"/>
    <w:rsid w:val="58366D88"/>
    <w:rsid w:val="584C035A"/>
    <w:rsid w:val="586C27AA"/>
    <w:rsid w:val="586C6306"/>
    <w:rsid w:val="58920462"/>
    <w:rsid w:val="58B2640F"/>
    <w:rsid w:val="58C148A4"/>
    <w:rsid w:val="58C76ABA"/>
    <w:rsid w:val="58DC16DE"/>
    <w:rsid w:val="58DC348C"/>
    <w:rsid w:val="58E10AA2"/>
    <w:rsid w:val="58EA204C"/>
    <w:rsid w:val="58EF1411"/>
    <w:rsid w:val="58F509F1"/>
    <w:rsid w:val="592B7F6F"/>
    <w:rsid w:val="595B0854"/>
    <w:rsid w:val="59777658"/>
    <w:rsid w:val="5991071A"/>
    <w:rsid w:val="59941FB8"/>
    <w:rsid w:val="599975CF"/>
    <w:rsid w:val="59A57D21"/>
    <w:rsid w:val="59C4289D"/>
    <w:rsid w:val="59CA59DA"/>
    <w:rsid w:val="59CF1242"/>
    <w:rsid w:val="59DE1485"/>
    <w:rsid w:val="59DF76D7"/>
    <w:rsid w:val="59E7033A"/>
    <w:rsid w:val="59E7658C"/>
    <w:rsid w:val="5A026F22"/>
    <w:rsid w:val="5A056A12"/>
    <w:rsid w:val="5A2A46CB"/>
    <w:rsid w:val="5A2F3A8F"/>
    <w:rsid w:val="5A33532D"/>
    <w:rsid w:val="5A696FA1"/>
    <w:rsid w:val="5AA12BDF"/>
    <w:rsid w:val="5AA4447D"/>
    <w:rsid w:val="5AC02939"/>
    <w:rsid w:val="5AD20FEA"/>
    <w:rsid w:val="5AE1122D"/>
    <w:rsid w:val="5AF26F96"/>
    <w:rsid w:val="5B1213E7"/>
    <w:rsid w:val="5B3A26EB"/>
    <w:rsid w:val="5B523ED9"/>
    <w:rsid w:val="5B687259"/>
    <w:rsid w:val="5B775347"/>
    <w:rsid w:val="5B7B51DE"/>
    <w:rsid w:val="5B81031A"/>
    <w:rsid w:val="5B8A71CF"/>
    <w:rsid w:val="5B8F6EDB"/>
    <w:rsid w:val="5B955B74"/>
    <w:rsid w:val="5BC052E6"/>
    <w:rsid w:val="5C1009F0"/>
    <w:rsid w:val="5C3F445D"/>
    <w:rsid w:val="5C741C2D"/>
    <w:rsid w:val="5C82259C"/>
    <w:rsid w:val="5C8400C2"/>
    <w:rsid w:val="5C910A31"/>
    <w:rsid w:val="5CAC13C7"/>
    <w:rsid w:val="5CD526CC"/>
    <w:rsid w:val="5CD54DC2"/>
    <w:rsid w:val="5D101956"/>
    <w:rsid w:val="5D2D69AC"/>
    <w:rsid w:val="5D331AE8"/>
    <w:rsid w:val="5D335644"/>
    <w:rsid w:val="5D415FB3"/>
    <w:rsid w:val="5D447851"/>
    <w:rsid w:val="5D6C7344"/>
    <w:rsid w:val="5D700646"/>
    <w:rsid w:val="5D812854"/>
    <w:rsid w:val="5D8D11F8"/>
    <w:rsid w:val="5D9702C9"/>
    <w:rsid w:val="5DAF5613"/>
    <w:rsid w:val="5DB1138B"/>
    <w:rsid w:val="5DB76275"/>
    <w:rsid w:val="5E007C1C"/>
    <w:rsid w:val="5E04332E"/>
    <w:rsid w:val="5E231B5D"/>
    <w:rsid w:val="5E4E6C1B"/>
    <w:rsid w:val="5E5B12F6"/>
    <w:rsid w:val="5E5E5BE2"/>
    <w:rsid w:val="5E60690D"/>
    <w:rsid w:val="5E6301AB"/>
    <w:rsid w:val="5E745F14"/>
    <w:rsid w:val="5E875C48"/>
    <w:rsid w:val="5E8C14B0"/>
    <w:rsid w:val="5E9D190F"/>
    <w:rsid w:val="5EA551F5"/>
    <w:rsid w:val="5EDB41E5"/>
    <w:rsid w:val="5EF17565"/>
    <w:rsid w:val="5F103E8F"/>
    <w:rsid w:val="5F1C2834"/>
    <w:rsid w:val="5F396F19"/>
    <w:rsid w:val="5F3F6522"/>
    <w:rsid w:val="5F41673E"/>
    <w:rsid w:val="5F4D50E3"/>
    <w:rsid w:val="5F773F0E"/>
    <w:rsid w:val="5F8B79B9"/>
    <w:rsid w:val="5F9A7BFD"/>
    <w:rsid w:val="5F9C5723"/>
    <w:rsid w:val="5FB70BF2"/>
    <w:rsid w:val="5FB7255D"/>
    <w:rsid w:val="5FB76A00"/>
    <w:rsid w:val="5FBA3DFB"/>
    <w:rsid w:val="5FC1162D"/>
    <w:rsid w:val="5FCF78A6"/>
    <w:rsid w:val="5FF732A1"/>
    <w:rsid w:val="60123C37"/>
    <w:rsid w:val="602A0F80"/>
    <w:rsid w:val="60651FB9"/>
    <w:rsid w:val="60675D31"/>
    <w:rsid w:val="60CE5DB0"/>
    <w:rsid w:val="60D86C2E"/>
    <w:rsid w:val="60FF065F"/>
    <w:rsid w:val="610712C2"/>
    <w:rsid w:val="610F0A45"/>
    <w:rsid w:val="618A51FD"/>
    <w:rsid w:val="619863BE"/>
    <w:rsid w:val="61AF2FE3"/>
    <w:rsid w:val="61BC02FE"/>
    <w:rsid w:val="61E15FB7"/>
    <w:rsid w:val="61FE4473"/>
    <w:rsid w:val="622C5484"/>
    <w:rsid w:val="62373E29"/>
    <w:rsid w:val="62514EEA"/>
    <w:rsid w:val="625B7E91"/>
    <w:rsid w:val="625E3163"/>
    <w:rsid w:val="62600C89"/>
    <w:rsid w:val="626562A0"/>
    <w:rsid w:val="628F77C1"/>
    <w:rsid w:val="629372B1"/>
    <w:rsid w:val="62A3501A"/>
    <w:rsid w:val="62BD60DC"/>
    <w:rsid w:val="62C27B96"/>
    <w:rsid w:val="62C531E2"/>
    <w:rsid w:val="62D376AD"/>
    <w:rsid w:val="62D43425"/>
    <w:rsid w:val="62EF1C6C"/>
    <w:rsid w:val="62FA7330"/>
    <w:rsid w:val="63043D0B"/>
    <w:rsid w:val="633A3BD0"/>
    <w:rsid w:val="6346230D"/>
    <w:rsid w:val="63514A76"/>
    <w:rsid w:val="63521D29"/>
    <w:rsid w:val="635B32B1"/>
    <w:rsid w:val="6372336A"/>
    <w:rsid w:val="63870498"/>
    <w:rsid w:val="638D1F52"/>
    <w:rsid w:val="639808F7"/>
    <w:rsid w:val="63AD5DD7"/>
    <w:rsid w:val="63D3192F"/>
    <w:rsid w:val="640146EE"/>
    <w:rsid w:val="64354398"/>
    <w:rsid w:val="64365658"/>
    <w:rsid w:val="647A1DAB"/>
    <w:rsid w:val="648C045C"/>
    <w:rsid w:val="649317EA"/>
    <w:rsid w:val="64AD03D2"/>
    <w:rsid w:val="64B452BD"/>
    <w:rsid w:val="64FE29DC"/>
    <w:rsid w:val="6502071E"/>
    <w:rsid w:val="650E0E71"/>
    <w:rsid w:val="65385EEE"/>
    <w:rsid w:val="65491EA9"/>
    <w:rsid w:val="656E7B61"/>
    <w:rsid w:val="65766A16"/>
    <w:rsid w:val="65921AA2"/>
    <w:rsid w:val="659375C8"/>
    <w:rsid w:val="65A417D5"/>
    <w:rsid w:val="65B57F02"/>
    <w:rsid w:val="65B75B1D"/>
    <w:rsid w:val="65BA2DA7"/>
    <w:rsid w:val="65D06126"/>
    <w:rsid w:val="65D26342"/>
    <w:rsid w:val="65ED7F30"/>
    <w:rsid w:val="66173D55"/>
    <w:rsid w:val="664F7993"/>
    <w:rsid w:val="66521231"/>
    <w:rsid w:val="66576847"/>
    <w:rsid w:val="66650F64"/>
    <w:rsid w:val="666A3541"/>
    <w:rsid w:val="6695111E"/>
    <w:rsid w:val="66B477F6"/>
    <w:rsid w:val="66CD08B8"/>
    <w:rsid w:val="66CF2882"/>
    <w:rsid w:val="66DB2FD4"/>
    <w:rsid w:val="66DC0AFB"/>
    <w:rsid w:val="670B01C0"/>
    <w:rsid w:val="671D183F"/>
    <w:rsid w:val="671F55B7"/>
    <w:rsid w:val="676A4358"/>
    <w:rsid w:val="67705E13"/>
    <w:rsid w:val="677D22DE"/>
    <w:rsid w:val="68045877"/>
    <w:rsid w:val="682235A3"/>
    <w:rsid w:val="68295FC1"/>
    <w:rsid w:val="682D5AB2"/>
    <w:rsid w:val="682D7860"/>
    <w:rsid w:val="68456707"/>
    <w:rsid w:val="685A261F"/>
    <w:rsid w:val="68757459"/>
    <w:rsid w:val="687E455F"/>
    <w:rsid w:val="68802085"/>
    <w:rsid w:val="688A2F04"/>
    <w:rsid w:val="689C6793"/>
    <w:rsid w:val="68C006D4"/>
    <w:rsid w:val="68C161FA"/>
    <w:rsid w:val="68C53B15"/>
    <w:rsid w:val="68E00D76"/>
    <w:rsid w:val="69074555"/>
    <w:rsid w:val="69146C72"/>
    <w:rsid w:val="691C78D4"/>
    <w:rsid w:val="692F7608"/>
    <w:rsid w:val="69450BD9"/>
    <w:rsid w:val="695232F6"/>
    <w:rsid w:val="69780FAF"/>
    <w:rsid w:val="698A4AA9"/>
    <w:rsid w:val="69943F09"/>
    <w:rsid w:val="699B385A"/>
    <w:rsid w:val="69CB5582"/>
    <w:rsid w:val="69D02B99"/>
    <w:rsid w:val="69FD14B4"/>
    <w:rsid w:val="6A3F1ACC"/>
    <w:rsid w:val="6A4610AD"/>
    <w:rsid w:val="6A4964A7"/>
    <w:rsid w:val="6A522671"/>
    <w:rsid w:val="6A590DE0"/>
    <w:rsid w:val="6A696B49"/>
    <w:rsid w:val="6A7C4ACE"/>
    <w:rsid w:val="6A876FCF"/>
    <w:rsid w:val="6A8B4D12"/>
    <w:rsid w:val="6ACB22C2"/>
    <w:rsid w:val="6ADB5DB0"/>
    <w:rsid w:val="6B105217"/>
    <w:rsid w:val="6B234F4A"/>
    <w:rsid w:val="6B2A62D8"/>
    <w:rsid w:val="6B3B6738"/>
    <w:rsid w:val="6B4D0F01"/>
    <w:rsid w:val="6B6D4417"/>
    <w:rsid w:val="6B9A16B0"/>
    <w:rsid w:val="6BCC55E2"/>
    <w:rsid w:val="6BEC17E0"/>
    <w:rsid w:val="6C031950"/>
    <w:rsid w:val="6C0C59DE"/>
    <w:rsid w:val="6C1D5E3D"/>
    <w:rsid w:val="6C264CF2"/>
    <w:rsid w:val="6C3311BD"/>
    <w:rsid w:val="6C3C39CA"/>
    <w:rsid w:val="6C4B4758"/>
    <w:rsid w:val="6C6A0E2B"/>
    <w:rsid w:val="6C801864"/>
    <w:rsid w:val="6C9A56E0"/>
    <w:rsid w:val="6CA43E69"/>
    <w:rsid w:val="6CD209D6"/>
    <w:rsid w:val="6D34343E"/>
    <w:rsid w:val="6D527D69"/>
    <w:rsid w:val="6D946D06"/>
    <w:rsid w:val="6DD62748"/>
    <w:rsid w:val="6DF27FD2"/>
    <w:rsid w:val="6E4B6C92"/>
    <w:rsid w:val="6E535B46"/>
    <w:rsid w:val="6E602011"/>
    <w:rsid w:val="6E615BFD"/>
    <w:rsid w:val="6E71421E"/>
    <w:rsid w:val="6ED21161"/>
    <w:rsid w:val="6ED67228"/>
    <w:rsid w:val="6EF8049C"/>
    <w:rsid w:val="6F152DFC"/>
    <w:rsid w:val="6F1654F2"/>
    <w:rsid w:val="6F1E7F02"/>
    <w:rsid w:val="6F3040D9"/>
    <w:rsid w:val="6F3F60CB"/>
    <w:rsid w:val="6F4F026E"/>
    <w:rsid w:val="6F525DFE"/>
    <w:rsid w:val="6F765F90"/>
    <w:rsid w:val="6F800BBD"/>
    <w:rsid w:val="6F9401C4"/>
    <w:rsid w:val="6FCA008A"/>
    <w:rsid w:val="6FD902CD"/>
    <w:rsid w:val="6FE4739E"/>
    <w:rsid w:val="6FEA24DA"/>
    <w:rsid w:val="6FF005A6"/>
    <w:rsid w:val="700215D2"/>
    <w:rsid w:val="705A7660"/>
    <w:rsid w:val="707A560C"/>
    <w:rsid w:val="7084648B"/>
    <w:rsid w:val="70C60851"/>
    <w:rsid w:val="70C64CF5"/>
    <w:rsid w:val="70C90342"/>
    <w:rsid w:val="70DA254F"/>
    <w:rsid w:val="70E21403"/>
    <w:rsid w:val="70F25AEA"/>
    <w:rsid w:val="711C66C3"/>
    <w:rsid w:val="712D08D1"/>
    <w:rsid w:val="714F6A99"/>
    <w:rsid w:val="71681909"/>
    <w:rsid w:val="716B13F9"/>
    <w:rsid w:val="71754026"/>
    <w:rsid w:val="718129CA"/>
    <w:rsid w:val="71836742"/>
    <w:rsid w:val="71881FAB"/>
    <w:rsid w:val="71A14E1B"/>
    <w:rsid w:val="71DB032D"/>
    <w:rsid w:val="71E116BB"/>
    <w:rsid w:val="71EF202A"/>
    <w:rsid w:val="71F0075E"/>
    <w:rsid w:val="71F15DA2"/>
    <w:rsid w:val="72077373"/>
    <w:rsid w:val="72111FA0"/>
    <w:rsid w:val="723637B5"/>
    <w:rsid w:val="724265FE"/>
    <w:rsid w:val="7251239D"/>
    <w:rsid w:val="725325B9"/>
    <w:rsid w:val="725620A9"/>
    <w:rsid w:val="728409C4"/>
    <w:rsid w:val="72BF19FC"/>
    <w:rsid w:val="72C963D7"/>
    <w:rsid w:val="72E17BC5"/>
    <w:rsid w:val="72FD42D3"/>
    <w:rsid w:val="73045661"/>
    <w:rsid w:val="7306587D"/>
    <w:rsid w:val="73301622"/>
    <w:rsid w:val="733F48EB"/>
    <w:rsid w:val="7343262D"/>
    <w:rsid w:val="73797DFD"/>
    <w:rsid w:val="738B5D82"/>
    <w:rsid w:val="738B7B30"/>
    <w:rsid w:val="73A429A0"/>
    <w:rsid w:val="73B726D3"/>
    <w:rsid w:val="73BE3A62"/>
    <w:rsid w:val="73D019E7"/>
    <w:rsid w:val="73D70FC8"/>
    <w:rsid w:val="73EA0CFB"/>
    <w:rsid w:val="740B2A1F"/>
    <w:rsid w:val="743957DE"/>
    <w:rsid w:val="744523C5"/>
    <w:rsid w:val="74471CA9"/>
    <w:rsid w:val="744A3547"/>
    <w:rsid w:val="745037BC"/>
    <w:rsid w:val="745148D6"/>
    <w:rsid w:val="7460720F"/>
    <w:rsid w:val="7463506E"/>
    <w:rsid w:val="74980757"/>
    <w:rsid w:val="749E3893"/>
    <w:rsid w:val="74A40EAA"/>
    <w:rsid w:val="74AF6E88"/>
    <w:rsid w:val="74B17A6A"/>
    <w:rsid w:val="74C94DB4"/>
    <w:rsid w:val="74CE23CA"/>
    <w:rsid w:val="74E26C97"/>
    <w:rsid w:val="74E4574A"/>
    <w:rsid w:val="752124FA"/>
    <w:rsid w:val="75271ADB"/>
    <w:rsid w:val="756D1BE3"/>
    <w:rsid w:val="762B73A9"/>
    <w:rsid w:val="76366479"/>
    <w:rsid w:val="763E70DC"/>
    <w:rsid w:val="7641097A"/>
    <w:rsid w:val="76452218"/>
    <w:rsid w:val="764861AD"/>
    <w:rsid w:val="76673004"/>
    <w:rsid w:val="767C2482"/>
    <w:rsid w:val="76B31878"/>
    <w:rsid w:val="76B4114C"/>
    <w:rsid w:val="76DD4B47"/>
    <w:rsid w:val="7715521D"/>
    <w:rsid w:val="77381D7D"/>
    <w:rsid w:val="775070C7"/>
    <w:rsid w:val="77514BED"/>
    <w:rsid w:val="775F062D"/>
    <w:rsid w:val="776E39F1"/>
    <w:rsid w:val="77822FF8"/>
    <w:rsid w:val="77A15B74"/>
    <w:rsid w:val="77B07ED5"/>
    <w:rsid w:val="77C41863"/>
    <w:rsid w:val="77D5581E"/>
    <w:rsid w:val="77DB72D8"/>
    <w:rsid w:val="77E912C9"/>
    <w:rsid w:val="77F71C38"/>
    <w:rsid w:val="77FA34D6"/>
    <w:rsid w:val="78016613"/>
    <w:rsid w:val="78197E01"/>
    <w:rsid w:val="78270946"/>
    <w:rsid w:val="78281DF2"/>
    <w:rsid w:val="783C3AEF"/>
    <w:rsid w:val="786B1CDE"/>
    <w:rsid w:val="78853E63"/>
    <w:rsid w:val="789D27E0"/>
    <w:rsid w:val="78B27C05"/>
    <w:rsid w:val="78D51699"/>
    <w:rsid w:val="78FD502C"/>
    <w:rsid w:val="790A5798"/>
    <w:rsid w:val="79132AA2"/>
    <w:rsid w:val="791660EE"/>
    <w:rsid w:val="79367029"/>
    <w:rsid w:val="794E5888"/>
    <w:rsid w:val="79567B11"/>
    <w:rsid w:val="79773031"/>
    <w:rsid w:val="798B6ADC"/>
    <w:rsid w:val="79A13C0A"/>
    <w:rsid w:val="79A96F62"/>
    <w:rsid w:val="79AB4A88"/>
    <w:rsid w:val="79C42DA7"/>
    <w:rsid w:val="79DC699D"/>
    <w:rsid w:val="7A031D57"/>
    <w:rsid w:val="7A0348C4"/>
    <w:rsid w:val="7A04063C"/>
    <w:rsid w:val="7A1563A6"/>
    <w:rsid w:val="7A3613CA"/>
    <w:rsid w:val="7A432F13"/>
    <w:rsid w:val="7A460C55"/>
    <w:rsid w:val="7A680BCB"/>
    <w:rsid w:val="7A811C8D"/>
    <w:rsid w:val="7AA24C40"/>
    <w:rsid w:val="7ABB6F4D"/>
    <w:rsid w:val="7AD41DBD"/>
    <w:rsid w:val="7AEA7832"/>
    <w:rsid w:val="7AF4420D"/>
    <w:rsid w:val="7AFB37ED"/>
    <w:rsid w:val="7AFE508C"/>
    <w:rsid w:val="7B09415C"/>
    <w:rsid w:val="7B3D3D71"/>
    <w:rsid w:val="7B537186"/>
    <w:rsid w:val="7B5573A2"/>
    <w:rsid w:val="7B6E2211"/>
    <w:rsid w:val="7B8C6B3B"/>
    <w:rsid w:val="7B9E0939"/>
    <w:rsid w:val="7BB045D8"/>
    <w:rsid w:val="7BD32074"/>
    <w:rsid w:val="7BD5403F"/>
    <w:rsid w:val="7BF22E42"/>
    <w:rsid w:val="7BF81ADB"/>
    <w:rsid w:val="7C042B76"/>
    <w:rsid w:val="7C0E7550"/>
    <w:rsid w:val="7C156B31"/>
    <w:rsid w:val="7C1F52BA"/>
    <w:rsid w:val="7C5036C5"/>
    <w:rsid w:val="7C6F4493"/>
    <w:rsid w:val="7C727ADF"/>
    <w:rsid w:val="7CB43C54"/>
    <w:rsid w:val="7CCD4D16"/>
    <w:rsid w:val="7CE502B1"/>
    <w:rsid w:val="7D0050EB"/>
    <w:rsid w:val="7D0C3A90"/>
    <w:rsid w:val="7D124E1E"/>
    <w:rsid w:val="7D2A54B9"/>
    <w:rsid w:val="7D733B0F"/>
    <w:rsid w:val="7D7D2BE0"/>
    <w:rsid w:val="7D817E5A"/>
    <w:rsid w:val="7D871368"/>
    <w:rsid w:val="7D887789"/>
    <w:rsid w:val="7D8C697F"/>
    <w:rsid w:val="7D9B4E14"/>
    <w:rsid w:val="7D9F4904"/>
    <w:rsid w:val="7DA97531"/>
    <w:rsid w:val="7DBA7990"/>
    <w:rsid w:val="7DBF6D54"/>
    <w:rsid w:val="7DEC38C1"/>
    <w:rsid w:val="7E074257"/>
    <w:rsid w:val="7E33329E"/>
    <w:rsid w:val="7E462FD2"/>
    <w:rsid w:val="7E631DD5"/>
    <w:rsid w:val="7E745D91"/>
    <w:rsid w:val="7E747B3F"/>
    <w:rsid w:val="7E775881"/>
    <w:rsid w:val="7E8D29AE"/>
    <w:rsid w:val="7E924469"/>
    <w:rsid w:val="7EB048EF"/>
    <w:rsid w:val="7ED71E7C"/>
    <w:rsid w:val="7EE06F82"/>
    <w:rsid w:val="7F007624"/>
    <w:rsid w:val="7F01339C"/>
    <w:rsid w:val="7F631961"/>
    <w:rsid w:val="7F78540D"/>
    <w:rsid w:val="7F853FCE"/>
    <w:rsid w:val="7F930498"/>
    <w:rsid w:val="7F983D01"/>
    <w:rsid w:val="7F9D30C5"/>
    <w:rsid w:val="7FA61257"/>
    <w:rsid w:val="7FA73F44"/>
    <w:rsid w:val="7FB1091F"/>
    <w:rsid w:val="7FBC5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Body Text"/>
    <w:basedOn w:val="1"/>
    <w:qFormat/>
    <w:uiPriority w:val="0"/>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NormalCharacter"/>
    <w:link w:val="15"/>
    <w:qFormat/>
    <w:uiPriority w:val="0"/>
  </w:style>
  <w:style w:type="paragraph" w:customStyle="1" w:styleId="15">
    <w:name w:val="UserStyle_1"/>
    <w:basedOn w:val="16"/>
    <w:link w:val="14"/>
    <w:qFormat/>
    <w:uiPriority w:val="0"/>
    <w:pPr>
      <w:widowControl/>
      <w:spacing w:after="160" w:line="240" w:lineRule="exact"/>
      <w:jc w:val="left"/>
    </w:pPr>
  </w:style>
  <w:style w:type="paragraph" w:customStyle="1" w:styleId="16">
    <w:name w:val="UserStyle_2"/>
    <w:qFormat/>
    <w:uiPriority w:val="0"/>
    <w:pPr>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4159</Words>
  <Characters>4509</Characters>
  <Lines>0</Lines>
  <Paragraphs>0</Paragraphs>
  <TotalTime>33</TotalTime>
  <ScaleCrop>false</ScaleCrop>
  <LinksUpToDate>false</LinksUpToDate>
  <CharactersWithSpaces>4533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Petrel.chen</cp:lastModifiedBy>
  <cp:lastPrinted>2025-04-14T00:53:46Z</cp:lastPrinted>
  <dcterms:modified xsi:type="dcterms:W3CDTF">2025-05-06T01:34:50Z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26F52EBE3EDA4A13885D3D3C7E463B85_13</vt:lpwstr>
  </property>
  <property fmtid="{D5CDD505-2E9C-101B-9397-08002B2CF9AE}" pid="4" name="KSOTemplateDocerSaveRecord">
    <vt:lpwstr>eyJoZGlkIjoiYjk3ZjU4MTYyMTE2NWJkY2M2MWI4MzI1MmMzNTg1YjUiLCJ1c2VySWQiOiI1NDk4NDQ2MTEifQ==</vt:lpwstr>
  </property>
</Properties>
</file>