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6C" w:rsidRDefault="00000000">
      <w:pPr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</w:t>
            </w:r>
            <w:r w:rsidR="005C1BF8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滩头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镇中心学校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 w:rsidR="005C1BF8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5C1BF8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 w:rsidR="005C1BF8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AA656C">
        <w:trPr>
          <w:trHeight w:val="2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23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54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2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9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1"/>
        </w:trPr>
        <w:tc>
          <w:tcPr>
            <w:tcW w:w="2300" w:type="dxa"/>
            <w:vAlign w:val="center"/>
          </w:tcPr>
          <w:p w:rsidR="00752E7B" w:rsidRDefault="00EF3C71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262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5C1BF8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1052</w:t>
            </w:r>
          </w:p>
        </w:tc>
      </w:tr>
      <w:tr w:rsidR="00752E7B">
        <w:trPr>
          <w:trHeight w:val="38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5C1BF8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175</w:t>
            </w:r>
          </w:p>
        </w:tc>
      </w:tr>
      <w:tr w:rsidR="00752E7B">
        <w:trPr>
          <w:trHeight w:val="387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5C1BF8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120</w:t>
            </w:r>
          </w:p>
        </w:tc>
      </w:tr>
      <w:tr w:rsidR="00752E7B">
        <w:trPr>
          <w:trHeight w:val="431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5C1BF8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43</w:t>
            </w:r>
          </w:p>
        </w:tc>
      </w:tr>
      <w:tr w:rsidR="00752E7B">
        <w:trPr>
          <w:trHeight w:val="305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5C1BF8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F35F14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496</w:t>
            </w:r>
          </w:p>
        </w:tc>
      </w:tr>
      <w:tr w:rsidR="00752E7B">
        <w:trPr>
          <w:trHeight w:val="33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973"/>
        </w:trPr>
        <w:tc>
          <w:tcPr>
            <w:tcW w:w="2300" w:type="dxa"/>
            <w:vMerge w:val="restart"/>
            <w:vAlign w:val="center"/>
          </w:tcPr>
          <w:p w:rsidR="00752E7B" w:rsidRDefault="00752E7B" w:rsidP="00752E7B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752E7B" w:rsidRDefault="00752E7B" w:rsidP="00752E7B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752E7B">
        <w:trPr>
          <w:trHeight w:val="321"/>
        </w:trPr>
        <w:tc>
          <w:tcPr>
            <w:tcW w:w="2300" w:type="dxa"/>
            <w:vMerge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29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752E7B" w:rsidRDefault="00CD3C2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F35F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滩头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</w:t>
            </w:r>
            <w:r w:rsidR="00F35F14">
              <w:rPr>
                <w:rFonts w:eastAsia="仿宋_GB2312" w:hint="eastAsia"/>
                <w:sz w:val="18"/>
                <w:szCs w:val="18"/>
              </w:rPr>
              <w:t>215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F35F14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7215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F35F14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F35F14">
              <w:rPr>
                <w:rFonts w:eastAsia="仿宋_GB2312" w:hint="eastAsia"/>
                <w:sz w:val="18"/>
                <w:szCs w:val="18"/>
              </w:rPr>
              <w:t>7215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F35F14">
              <w:rPr>
                <w:rFonts w:eastAsia="仿宋_GB2312" w:hint="eastAsia"/>
                <w:sz w:val="18"/>
                <w:szCs w:val="18"/>
              </w:rPr>
              <w:t>7215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F35F14">
              <w:rPr>
                <w:rFonts w:eastAsia="仿宋_GB2312" w:hint="eastAsia"/>
                <w:sz w:val="18"/>
                <w:szCs w:val="18"/>
              </w:rPr>
              <w:t>7215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</w:t>
            </w:r>
            <w:r w:rsidR="00F35F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F35F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F35F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3、义务教育稳步、健康运行；</w:t>
            </w:r>
          </w:p>
          <w:p w:rsidR="00AA656C" w:rsidRPr="007539B3" w:rsidRDefault="007539B3" w:rsidP="007539B3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正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教育稳步、健康运行；</w:t>
            </w:r>
          </w:p>
          <w:p w:rsidR="00AA656C" w:rsidRDefault="007539B3" w:rsidP="007539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4EFF" w:rsidRDefault="006D4EFF">
      <w:r>
        <w:separator/>
      </w:r>
    </w:p>
    <w:p w:rsidR="006D4EFF" w:rsidRDefault="006D4EFF"/>
  </w:endnote>
  <w:endnote w:type="continuationSeparator" w:id="0">
    <w:p w:rsidR="006D4EFF" w:rsidRDefault="006D4EFF">
      <w:r>
        <w:continuationSeparator/>
      </w:r>
    </w:p>
    <w:p w:rsidR="006D4EFF" w:rsidRDefault="006D4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C510B9" w:rsidRDefault="00C510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4EFF" w:rsidRDefault="006D4EFF">
      <w:r>
        <w:separator/>
      </w:r>
    </w:p>
    <w:p w:rsidR="006D4EFF" w:rsidRDefault="006D4EFF"/>
  </w:footnote>
  <w:footnote w:type="continuationSeparator" w:id="0">
    <w:p w:rsidR="006D4EFF" w:rsidRDefault="006D4EFF">
      <w:r>
        <w:continuationSeparator/>
      </w:r>
    </w:p>
    <w:p w:rsidR="006D4EFF" w:rsidRDefault="006D4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</w:pPr>
  </w:p>
  <w:p w:rsidR="00C510B9" w:rsidRDefault="00C51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 w16cid:durableId="1434937749">
    <w:abstractNumId w:val="0"/>
  </w:num>
  <w:num w:numId="2" w16cid:durableId="5787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0C2560"/>
    <w:rsid w:val="00106782"/>
    <w:rsid w:val="002F4F6A"/>
    <w:rsid w:val="003752C8"/>
    <w:rsid w:val="00406106"/>
    <w:rsid w:val="004568D8"/>
    <w:rsid w:val="00487DCB"/>
    <w:rsid w:val="00492C92"/>
    <w:rsid w:val="004B0770"/>
    <w:rsid w:val="004B48CF"/>
    <w:rsid w:val="004B746C"/>
    <w:rsid w:val="004D0398"/>
    <w:rsid w:val="00550918"/>
    <w:rsid w:val="00581FFC"/>
    <w:rsid w:val="005C1BF8"/>
    <w:rsid w:val="006D4EFF"/>
    <w:rsid w:val="00701FBE"/>
    <w:rsid w:val="00752E7B"/>
    <w:rsid w:val="007539B3"/>
    <w:rsid w:val="00780C19"/>
    <w:rsid w:val="007D79CA"/>
    <w:rsid w:val="00800D94"/>
    <w:rsid w:val="00985270"/>
    <w:rsid w:val="00AA656C"/>
    <w:rsid w:val="00AF25C9"/>
    <w:rsid w:val="00B147B4"/>
    <w:rsid w:val="00C36E74"/>
    <w:rsid w:val="00C510B9"/>
    <w:rsid w:val="00C570D3"/>
    <w:rsid w:val="00C92858"/>
    <w:rsid w:val="00CD0197"/>
    <w:rsid w:val="00CD3C2B"/>
    <w:rsid w:val="00CE5F88"/>
    <w:rsid w:val="00EB67F5"/>
    <w:rsid w:val="00EE5333"/>
    <w:rsid w:val="00EF3C71"/>
    <w:rsid w:val="00F35F14"/>
    <w:rsid w:val="00F5507F"/>
    <w:rsid w:val="00FE4549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8A90A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2024-07-01T08:49:00Z</dcterms:created>
  <dcterms:modified xsi:type="dcterms:W3CDTF">2024-07-01T08:52:00Z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