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firstLineChars="0"/>
        <w:rPr>
          <w:rFonts w:ascii="仿宋" w:hAnsi="仿宋" w:eastAsia="仿宋" w:cs="仿宋"/>
          <w:kern w:val="0"/>
          <w:sz w:val="24"/>
        </w:rPr>
      </w:pPr>
    </w:p>
    <w:p>
      <w:pPr>
        <w:spacing w:line="600" w:lineRule="exact"/>
        <w:rPr>
          <w:rFonts w:ascii="黑体" w:hAnsi="黑体" w:eastAsia="黑体" w:cs="黑体"/>
          <w:kern w:val="0"/>
          <w:sz w:val="32"/>
          <w:szCs w:val="32"/>
        </w:rPr>
      </w:pPr>
      <w:r>
        <w:rPr>
          <w:rFonts w:hint="eastAsia" w:ascii="黑体" w:hAnsi="黑体" w:eastAsia="黑体" w:cs="黑体"/>
          <w:kern w:val="0"/>
          <w:sz w:val="32"/>
          <w:szCs w:val="32"/>
        </w:rPr>
        <w:t>附件2</w:t>
      </w:r>
    </w:p>
    <w:p>
      <w:pPr>
        <w:spacing w:line="600" w:lineRule="exact"/>
        <w:ind w:firstLine="880"/>
        <w:jc w:val="center"/>
        <w:rPr>
          <w:rFonts w:ascii="方正大标宋简体" w:hAnsi="方正大标宋简体" w:eastAsia="方正大标宋简体" w:cs="方正大标宋简体"/>
          <w:bCs/>
          <w:kern w:val="0"/>
          <w:sz w:val="44"/>
          <w:szCs w:val="44"/>
        </w:rPr>
      </w:pPr>
      <w:r>
        <w:rPr>
          <w:rFonts w:hint="eastAsia" w:ascii="方正大标宋简体" w:hAnsi="方正大标宋简体" w:eastAsia="方正大标宋简体" w:cs="方正大标宋简体"/>
          <w:bCs/>
          <w:kern w:val="0"/>
          <w:sz w:val="44"/>
          <w:szCs w:val="44"/>
        </w:rPr>
        <w:t>中共隆回县委党校2024年度部门整体支出绩效自评报告</w:t>
      </w:r>
    </w:p>
    <w:p>
      <w:pPr>
        <w:ind w:firstLine="420" w:firstLineChars="200"/>
        <w:rPr>
          <w:rFonts w:ascii="仿宋" w:hAnsi="仿宋" w:eastAsia="仿宋" w:cs="仿宋"/>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一、部门基本情况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（一）机构设置情况、人员编制情况、主要职能职责、2024年的重点工作、绩效目标设定情况。</w:t>
      </w:r>
    </w:p>
    <w:p>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单位编制人数为25人，实际人数23人。小车编制数0台，实际0台。主要职能职责：县委党校主要培训轮训全县科级领导干部、后备干部、乡镇一般干部、行政村（居、社区）党组织负责人、村（居、社区）主任等，培养基层理论干部；培训乡镇、县直机关及“两新”组织入党积极分子；配合县直机关及相关单位举办各类业务培训班；承办县委、县政府和县有关部门举办的专题研讨班；围绕党的中心工作，积极开展科学研究，承担县委、县政府下达的调研任务，推进理论创新；针对全面建成小康社会的重大理论问题和现实问题，开展习近平新时代中国特色社会主义思想的理论宣传，开展党的路线、方针、政策教育；开展形式多样的干部继续教育和培训；为省市县相关部门联系办班做好服务工作；完成县委县政府交办的其他任务。</w:t>
      </w:r>
    </w:p>
    <w:p>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2024年的重点工作：一是强化政治引领，筑牢思想政治根基。切实加强政治理论学习、积极拓宽政治学习渠道和不断严肃党内政治生活。二是聚焦主业主课，提高干部培训实效。做好干部教育培训工作、创新教学方法，提升课程质量、狠抓精品课程，打出党校名气</w:t>
      </w:r>
      <w:r>
        <w:rPr>
          <w:rFonts w:hint="eastAsia" w:ascii="仿宋" w:hAnsi="仿宋" w:eastAsia="仿宋" w:cs="仿宋"/>
          <w:b/>
          <w:bCs/>
          <w:sz w:val="32"/>
          <w:szCs w:val="32"/>
        </w:rPr>
        <w:t>。</w:t>
      </w:r>
      <w:r>
        <w:rPr>
          <w:rFonts w:hint="eastAsia" w:ascii="仿宋" w:hAnsi="仿宋" w:eastAsia="仿宋" w:cs="仿宋"/>
          <w:sz w:val="32"/>
          <w:szCs w:val="32"/>
        </w:rPr>
        <w:t>三是优化创新机制，着力提升科研水平。注重早谋划、注重扣县情。四是做好廉政自律，增强作风建设力度。从严推进干部队伍作风建设专项活动，对标对表开展党纪学习教育活动。五是做实后勤保障，树立党校优良形象。高质量完成食堂宿舍提质项目，高质量提升财务管理能力。六是抓实中心工作，完成县委政府各项任务。助力乡村振兴、抓好机关党建工作和扎实做好统战工作。</w:t>
      </w:r>
    </w:p>
    <w:p>
      <w:pPr>
        <w:spacing w:line="600" w:lineRule="exact"/>
        <w:ind w:firstLine="832" w:firstLineChars="260"/>
        <w:rPr>
          <w:rFonts w:ascii="仿宋" w:hAnsi="仿宋" w:eastAsia="仿宋" w:cs="仿宋"/>
          <w:sz w:val="32"/>
          <w:szCs w:val="32"/>
        </w:rPr>
      </w:pPr>
      <w:r>
        <w:rPr>
          <w:rFonts w:hint="eastAsia" w:ascii="仿宋" w:hAnsi="仿宋" w:eastAsia="仿宋" w:cs="仿宋"/>
          <w:sz w:val="32"/>
          <w:szCs w:val="32"/>
        </w:rPr>
        <w:t>（二）部门整体支出情况</w:t>
      </w:r>
    </w:p>
    <w:p>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2024年度收入</w:t>
      </w:r>
      <w:r>
        <w:rPr>
          <w:rFonts w:ascii="仿宋" w:hAnsi="仿宋" w:eastAsia="仿宋" w:cs="仿宋"/>
          <w:sz w:val="32"/>
          <w:szCs w:val="32"/>
        </w:rPr>
        <w:t>678.99</w:t>
      </w:r>
      <w:r>
        <w:rPr>
          <w:rFonts w:hint="eastAsia" w:ascii="仿宋" w:hAnsi="仿宋" w:eastAsia="仿宋" w:cs="仿宋"/>
          <w:sz w:val="32"/>
          <w:szCs w:val="32"/>
        </w:rPr>
        <w:t>万元，其中：县财政预算安排</w:t>
      </w:r>
      <w:r>
        <w:rPr>
          <w:rFonts w:ascii="仿宋" w:hAnsi="仿宋" w:eastAsia="仿宋" w:cs="仿宋"/>
          <w:sz w:val="32"/>
          <w:szCs w:val="32"/>
        </w:rPr>
        <w:t>498.18</w:t>
      </w:r>
      <w:r>
        <w:rPr>
          <w:rFonts w:hint="eastAsia" w:ascii="仿宋" w:hAnsi="仿宋" w:eastAsia="仿宋" w:cs="仿宋"/>
          <w:sz w:val="32"/>
          <w:szCs w:val="32"/>
        </w:rPr>
        <w:t>万元，非税收入</w:t>
      </w:r>
      <w:r>
        <w:rPr>
          <w:rFonts w:ascii="仿宋" w:hAnsi="仿宋" w:eastAsia="仿宋" w:cs="仿宋"/>
          <w:sz w:val="32"/>
          <w:szCs w:val="32"/>
        </w:rPr>
        <w:t>158.31</w:t>
      </w:r>
      <w:r>
        <w:rPr>
          <w:rFonts w:hint="eastAsia" w:ascii="仿宋" w:hAnsi="仿宋" w:eastAsia="仿宋" w:cs="仿宋"/>
          <w:sz w:val="32"/>
          <w:szCs w:val="32"/>
        </w:rPr>
        <w:t>万元，其他收入</w:t>
      </w:r>
      <w:r>
        <w:rPr>
          <w:rFonts w:ascii="仿宋" w:hAnsi="仿宋" w:eastAsia="仿宋" w:cs="仿宋"/>
          <w:sz w:val="32"/>
          <w:szCs w:val="32"/>
        </w:rPr>
        <w:t>22.5</w:t>
      </w:r>
      <w:r>
        <w:rPr>
          <w:rFonts w:hint="eastAsia" w:ascii="仿宋" w:hAnsi="仿宋" w:eastAsia="仿宋" w:cs="仿宋"/>
          <w:sz w:val="32"/>
          <w:szCs w:val="32"/>
        </w:rPr>
        <w:t>万元。2024年部门整体支出</w:t>
      </w:r>
      <w:r>
        <w:rPr>
          <w:rFonts w:ascii="仿宋" w:hAnsi="仿宋" w:eastAsia="仿宋" w:cs="仿宋"/>
          <w:sz w:val="32"/>
          <w:szCs w:val="32"/>
        </w:rPr>
        <w:t>665.63</w:t>
      </w:r>
      <w:r>
        <w:rPr>
          <w:rFonts w:hint="eastAsia" w:ascii="仿宋" w:hAnsi="仿宋" w:eastAsia="仿宋" w:cs="仿宋"/>
          <w:sz w:val="32"/>
          <w:szCs w:val="32"/>
        </w:rPr>
        <w:t>万元，其中：基本支出</w:t>
      </w:r>
      <w:r>
        <w:rPr>
          <w:rFonts w:ascii="仿宋" w:hAnsi="仿宋" w:eastAsia="仿宋" w:cs="仿宋"/>
          <w:sz w:val="32"/>
          <w:szCs w:val="32"/>
        </w:rPr>
        <w:t>490.11</w:t>
      </w:r>
      <w:r>
        <w:rPr>
          <w:rFonts w:hint="eastAsia" w:ascii="仿宋" w:hAnsi="仿宋" w:eastAsia="仿宋" w:cs="仿宋"/>
          <w:sz w:val="32"/>
          <w:szCs w:val="32"/>
        </w:rPr>
        <w:t>万元，项目支出</w:t>
      </w:r>
      <w:r>
        <w:rPr>
          <w:rFonts w:ascii="仿宋" w:hAnsi="仿宋" w:eastAsia="仿宋" w:cs="仿宋"/>
          <w:sz w:val="32"/>
          <w:szCs w:val="32"/>
        </w:rPr>
        <w:t>175.52</w:t>
      </w:r>
      <w:r>
        <w:rPr>
          <w:rFonts w:hint="eastAsia" w:ascii="仿宋" w:hAnsi="仿宋" w:eastAsia="仿宋" w:cs="仿宋"/>
          <w:sz w:val="32"/>
          <w:szCs w:val="32"/>
        </w:rPr>
        <w:t>万元。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二、部门整体支出管理及使用情况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（一）基本支出情况</w:t>
      </w:r>
    </w:p>
    <w:p>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2024年基本支出</w:t>
      </w:r>
      <w:r>
        <w:rPr>
          <w:rFonts w:ascii="仿宋" w:hAnsi="仿宋" w:eastAsia="仿宋" w:cs="仿宋"/>
          <w:sz w:val="32"/>
          <w:szCs w:val="32"/>
        </w:rPr>
        <w:t>490.11</w:t>
      </w:r>
      <w:r>
        <w:rPr>
          <w:rFonts w:hint="eastAsia" w:ascii="仿宋" w:hAnsi="仿宋" w:eastAsia="仿宋" w:cs="仿宋"/>
          <w:sz w:val="32"/>
          <w:szCs w:val="32"/>
        </w:rPr>
        <w:t>万元，其中：工资福利支出305.38万元，商品和服务支出148.83万元，对个人和家庭的补助支出32.01万元，资本性支出3.89万元。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（二）专项资金情况</w:t>
      </w:r>
    </w:p>
    <w:p>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支出是指基本支出以外为完成相关行政任务和事业发展目标所发生的各项支出，2024年项目支出175.52元，其中：校园运行、教师进修、教学设备及图书购置、维修等经费35.96万元，科干班、中青班培训费59.47万元，乡村振兴工作经费5.5万元，学员宿舍楼床及床上用品提质改造经费50万元，其他项目经费24.59万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（三）“三公”经费情况</w:t>
      </w:r>
    </w:p>
    <w:p>
      <w:pPr>
        <w:pStyle w:val="2"/>
        <w:spacing w:line="600" w:lineRule="exact"/>
        <w:rPr>
          <w:rFonts w:ascii="仿宋" w:hAnsi="仿宋" w:eastAsia="仿宋" w:cs="仿宋"/>
          <w:sz w:val="32"/>
          <w:szCs w:val="32"/>
        </w:rPr>
      </w:pPr>
      <w:r>
        <w:rPr>
          <w:rFonts w:hint="eastAsia" w:ascii="仿宋" w:hAnsi="仿宋" w:eastAsia="仿宋" w:cs="仿宋"/>
          <w:sz w:val="32"/>
          <w:szCs w:val="32"/>
        </w:rPr>
        <w:t>2024年“三公”经费支出0.27万元。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1.因公出国（境）费用0万元；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2.公务接待费0.27万元；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3.公务用车购置及运行费0万元。</w:t>
      </w:r>
    </w:p>
    <w:p>
      <w:pPr>
        <w:pStyle w:val="2"/>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三、政府性基金预算支出情况</w:t>
      </w:r>
    </w:p>
    <w:p>
      <w:pPr>
        <w:ind w:firstLine="640" w:firstLineChars="200"/>
        <w:rPr>
          <w:rFonts w:ascii="仿宋" w:hAnsi="仿宋" w:eastAsia="仿宋" w:cs="仿宋"/>
          <w:sz w:val="32"/>
          <w:szCs w:val="32"/>
        </w:rPr>
      </w:pPr>
      <w:r>
        <w:rPr>
          <w:rFonts w:ascii="仿宋" w:hAnsi="仿宋" w:eastAsia="仿宋" w:cs="仿宋"/>
          <w:sz w:val="32"/>
          <w:szCs w:val="32"/>
        </w:rPr>
        <w:t>无</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四、国有资本经营预算支出情况</w:t>
      </w:r>
    </w:p>
    <w:p>
      <w:pPr>
        <w:ind w:firstLine="640" w:firstLineChars="200"/>
        <w:rPr>
          <w:rFonts w:ascii="仿宋" w:hAnsi="仿宋" w:eastAsia="仿宋" w:cs="仿宋"/>
          <w:sz w:val="32"/>
          <w:szCs w:val="32"/>
        </w:rPr>
      </w:pPr>
      <w:r>
        <w:rPr>
          <w:rFonts w:ascii="仿宋" w:hAnsi="仿宋" w:eastAsia="仿宋" w:cs="仿宋"/>
          <w:sz w:val="32"/>
          <w:szCs w:val="32"/>
        </w:rPr>
        <w:t>无</w:t>
      </w:r>
    </w:p>
    <w:p>
      <w:pPr>
        <w:pStyle w:val="2"/>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五、社会保险基金预算支出情况</w:t>
      </w:r>
    </w:p>
    <w:p>
      <w:pPr>
        <w:ind w:firstLine="640" w:firstLineChars="200"/>
        <w:rPr>
          <w:rFonts w:ascii="仿宋" w:hAnsi="仿宋" w:eastAsia="仿宋" w:cs="仿宋"/>
          <w:sz w:val="32"/>
          <w:szCs w:val="32"/>
        </w:rPr>
      </w:pPr>
      <w:r>
        <w:rPr>
          <w:rFonts w:ascii="仿宋" w:hAnsi="仿宋" w:eastAsia="仿宋" w:cs="仿宋"/>
          <w:sz w:val="32"/>
          <w:szCs w:val="32"/>
        </w:rPr>
        <w:t>无</w:t>
      </w:r>
    </w:p>
    <w:p>
      <w:pPr>
        <w:pStyle w:val="2"/>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六、部门整体支出绩效情况</w:t>
      </w:r>
    </w:p>
    <w:p>
      <w:pPr>
        <w:widowControl/>
        <w:shd w:val="clear" w:color="auto" w:fill="FFFFFF"/>
        <w:spacing w:line="600" w:lineRule="exact"/>
        <w:ind w:firstLine="601"/>
        <w:jc w:val="left"/>
        <w:rPr>
          <w:rFonts w:ascii="仿宋" w:hAnsi="仿宋" w:eastAsia="仿宋" w:cs="仿宋"/>
          <w:sz w:val="32"/>
          <w:szCs w:val="32"/>
        </w:rPr>
      </w:pPr>
      <w:r>
        <w:rPr>
          <w:rFonts w:hint="eastAsia" w:ascii="仿宋" w:hAnsi="仿宋" w:eastAsia="仿宋" w:cs="仿宋"/>
          <w:sz w:val="32"/>
          <w:szCs w:val="32"/>
        </w:rPr>
        <w:t>2024年，根据县委县政府工作部署，结合我校年内工作要点和重点工作，积极履行职责，强化管理，较好地完成了工作目标，同时加强预算收支的管理，建立健全内部管理制度，严格内部管理流程，部门整体支出管理得到了提升。2024年度本部门整体支出绩效情况如下：</w:t>
      </w:r>
    </w:p>
    <w:p>
      <w:pPr>
        <w:widowControl/>
        <w:shd w:val="clear" w:color="auto" w:fill="FFFFFF"/>
        <w:spacing w:line="600" w:lineRule="exact"/>
        <w:ind w:firstLine="601"/>
        <w:jc w:val="left"/>
        <w:rPr>
          <w:rFonts w:ascii="仿宋" w:hAnsi="仿宋" w:eastAsia="仿宋" w:cs="仿宋"/>
          <w:sz w:val="32"/>
          <w:szCs w:val="32"/>
        </w:rPr>
      </w:pPr>
      <w:r>
        <w:rPr>
          <w:rFonts w:hint="eastAsia" w:ascii="仿宋" w:hAnsi="仿宋" w:eastAsia="仿宋" w:cs="仿宋"/>
          <w:sz w:val="32"/>
          <w:szCs w:val="32"/>
        </w:rPr>
        <w:t>1、本年预算配置控制较好，严格控制财政供养人员开支，“三公”经费支出总额比上年减少。</w:t>
      </w:r>
    </w:p>
    <w:p>
      <w:pPr>
        <w:widowControl/>
        <w:shd w:val="clear" w:color="auto" w:fill="FFFFFF"/>
        <w:spacing w:line="600" w:lineRule="exact"/>
        <w:ind w:firstLine="601"/>
        <w:jc w:val="left"/>
        <w:rPr>
          <w:rFonts w:ascii="仿宋" w:hAnsi="仿宋" w:eastAsia="仿宋" w:cs="仿宋"/>
          <w:sz w:val="32"/>
          <w:szCs w:val="32"/>
        </w:rPr>
      </w:pPr>
      <w:r>
        <w:rPr>
          <w:rFonts w:hint="eastAsia" w:ascii="仿宋" w:hAnsi="仿宋" w:eastAsia="仿宋" w:cs="仿宋"/>
          <w:sz w:val="32"/>
          <w:szCs w:val="32"/>
        </w:rPr>
        <w:t>2、预算管理方面，制订了切实有效的内部财务、资产管理制度，执行总体较为有效。</w:t>
      </w:r>
    </w:p>
    <w:p>
      <w:pPr>
        <w:widowControl/>
        <w:shd w:val="clear" w:color="auto" w:fill="FFFFFF"/>
        <w:spacing w:line="600" w:lineRule="exact"/>
        <w:ind w:firstLine="601"/>
        <w:jc w:val="left"/>
        <w:rPr>
          <w:rFonts w:ascii="仿宋" w:hAnsi="仿宋" w:eastAsia="仿宋" w:cs="仿宋"/>
          <w:sz w:val="32"/>
          <w:szCs w:val="32"/>
        </w:rPr>
      </w:pPr>
      <w:r>
        <w:rPr>
          <w:rFonts w:hint="eastAsia" w:ascii="仿宋" w:hAnsi="仿宋" w:eastAsia="仿宋" w:cs="仿宋"/>
          <w:sz w:val="32"/>
          <w:szCs w:val="32"/>
        </w:rPr>
        <w:t>一方面，严格预算支出管理。在支出预算编制上，人员经费按照配置定额，公用经费分类分档，按定额编制，根据“总量控制，计划管理”的要求从严控制行政经费，压缩公务开支，严格控制“三公经费”，资产的配置严格政府采购，按照预算科目和项目资金的规定使用财政资金，保障部门整体支出的规范化、制度化。另一方面，财务管理上，按照国家相关法律法规，制定了党校财务、办公购置使用、接待公务等管理制度，并严格按照制度管理和执行，防范风险，保证财政资金的安全和高效运行。</w:t>
      </w:r>
    </w:p>
    <w:p>
      <w:pPr>
        <w:pStyle w:val="2"/>
        <w:numPr>
          <w:ilvl w:val="0"/>
          <w:numId w:val="1"/>
        </w:numPr>
        <w:spacing w:line="600" w:lineRule="exact"/>
        <w:rPr>
          <w:rFonts w:ascii="黑体" w:hAnsi="黑体" w:eastAsia="黑体" w:cs="黑体"/>
          <w:sz w:val="32"/>
          <w:szCs w:val="32"/>
        </w:rPr>
      </w:pPr>
      <w:r>
        <w:rPr>
          <w:rFonts w:hint="eastAsia" w:ascii="黑体" w:hAnsi="黑体" w:eastAsia="黑体" w:cs="黑体"/>
          <w:sz w:val="32"/>
          <w:szCs w:val="32"/>
        </w:rPr>
        <w:t>存在的问题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预算执行、绩效管理和资产管理中缺乏相对应的专业机构及人员。预算执行、绩效管理和资产管理都是系统的、繁杂的工程，对于党校的财务人员来说是一个具有挑站性的任务。因此需要加强这些方面的培训。</w:t>
      </w:r>
    </w:p>
    <w:p>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（二）校培训业务工作量大，财政预算经费不足，建设性和提升性资金投入缺口大，主要依靠事业收入资金进行弥补。</w:t>
      </w:r>
    </w:p>
    <w:p>
      <w:pPr>
        <w:pStyle w:val="2"/>
        <w:spacing w:line="600" w:lineRule="exact"/>
        <w:ind w:left="160" w:leftChars="76" w:firstLine="480" w:firstLineChars="150"/>
        <w:rPr>
          <w:rFonts w:ascii="黑体" w:hAnsi="黑体" w:eastAsia="黑体" w:cs="黑体"/>
          <w:sz w:val="32"/>
          <w:szCs w:val="32"/>
        </w:rPr>
      </w:pPr>
      <w:r>
        <w:rPr>
          <w:rFonts w:hint="eastAsia" w:ascii="黑体" w:hAnsi="黑体" w:eastAsia="黑体" w:cs="黑体"/>
          <w:sz w:val="32"/>
          <w:szCs w:val="32"/>
        </w:rPr>
        <w:t>八、改进措施及有关建议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依法依规进行预算编制，做足做细做准资金预算，充分发挥预算管理的指导性和规范性作用。加强财务管理，完善内部审批制度，提高预算执行效率，充分发挥资金使用效益，实现年度绩效目标。预算编制不仅仅是财会人员的工作，单位领导需要高度重视，结合年度目标工作任务，统筹考虑部门预算收支安排情况。</w:t>
      </w:r>
    </w:p>
    <w:p>
      <w:pPr>
        <w:pStyle w:val="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pPr>
        <w:pStyle w:val="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pPr>
        <w:spacing w:line="560" w:lineRule="exact"/>
        <w:ind w:firstLine="480"/>
        <w:rPr>
          <w:rFonts w:ascii="仿宋" w:hAnsi="仿宋" w:eastAsia="仿宋" w:cs="仿宋"/>
          <w:kern w:val="0"/>
          <w:sz w:val="24"/>
        </w:rPr>
      </w:pPr>
    </w:p>
    <w:p>
      <w:pPr>
        <w:spacing w:line="560" w:lineRule="exact"/>
        <w:ind w:firstLine="480"/>
        <w:rPr>
          <w:rFonts w:ascii="仿宋" w:hAnsi="仿宋" w:eastAsia="仿宋" w:cs="仿宋"/>
          <w:sz w:val="32"/>
          <w:szCs w:val="32"/>
        </w:rPr>
      </w:pPr>
      <w:r>
        <w:rPr>
          <w:rFonts w:hint="eastAsia" w:ascii="仿宋" w:hAnsi="仿宋" w:eastAsia="仿宋" w:cs="仿宋"/>
          <w:kern w:val="0"/>
          <w:sz w:val="24"/>
        </w:rPr>
        <w:t xml:space="preserve">   </w:t>
      </w:r>
      <w:r>
        <w:rPr>
          <w:rFonts w:hint="eastAsia" w:ascii="仿宋" w:hAnsi="仿宋" w:eastAsia="仿宋" w:cs="仿宋"/>
          <w:sz w:val="32"/>
          <w:szCs w:val="32"/>
        </w:rPr>
        <w:t xml:space="preserve">          </w:t>
      </w:r>
    </w:p>
    <w:p>
      <w:pPr>
        <w:spacing w:line="560" w:lineRule="exact"/>
        <w:ind w:firstLine="480"/>
        <w:rPr>
          <w:rFonts w:ascii="仿宋" w:hAnsi="仿宋" w:eastAsia="仿宋" w:cs="仿宋"/>
          <w:sz w:val="32"/>
          <w:szCs w:val="32"/>
        </w:rPr>
      </w:pPr>
    </w:p>
    <w:p>
      <w:pPr>
        <w:spacing w:line="560" w:lineRule="exact"/>
        <w:ind w:firstLine="480"/>
        <w:rPr>
          <w:rFonts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3200" w:firstLineChars="1000"/>
        <w:rPr>
          <w:rFonts w:ascii="仿宋" w:hAnsi="仿宋" w:eastAsia="仿宋" w:cs="仿宋"/>
          <w:kern w:val="0"/>
          <w:sz w:val="24"/>
        </w:rPr>
      </w:pPr>
      <w:r>
        <w:rPr>
          <w:rFonts w:hint="eastAsia" w:ascii="仿宋" w:hAnsi="仿宋" w:eastAsia="仿宋" w:cs="仿宋"/>
          <w:sz w:val="32"/>
          <w:szCs w:val="32"/>
        </w:rPr>
        <w:t xml:space="preserve">  中共隆回县委党校（行政学校）</w:t>
      </w:r>
    </w:p>
    <w:p>
      <w:pPr>
        <w:pStyle w:val="2"/>
        <w:rPr>
          <w:rFonts w:ascii="仿宋" w:hAnsi="仿宋" w:eastAsia="仿宋" w:cs="仿宋"/>
          <w:sz w:val="32"/>
          <w:szCs w:val="32"/>
        </w:rPr>
      </w:pPr>
      <w:r>
        <w:rPr>
          <w:rFonts w:hint="eastAsia" w:ascii="仿宋" w:hAnsi="仿宋" w:eastAsia="仿宋" w:cs="仿宋"/>
          <w:sz w:val="32"/>
          <w:szCs w:val="32"/>
        </w:rPr>
        <w:t xml:space="preserve">                             2025年4月21日</w:t>
      </w:r>
    </w:p>
    <w:p>
      <w:pPr>
        <w:spacing w:line="560" w:lineRule="exact"/>
        <w:rPr>
          <w:rFonts w:ascii="仿宋" w:hAnsi="仿宋" w:eastAsia="仿宋" w:cs="仿宋"/>
          <w:kern w:val="0"/>
          <w:sz w:val="32"/>
          <w:szCs w:val="32"/>
        </w:rPr>
        <w:sectPr>
          <w:headerReference r:id="rId3" w:type="default"/>
          <w:footerReference r:id="rId4" w:type="default"/>
          <w:pgSz w:w="11905" w:h="16837"/>
          <w:pgMar w:top="1440" w:right="1800" w:bottom="1440" w:left="1800" w:header="720" w:footer="992" w:gutter="0"/>
          <w:pgNumType w:fmt="numberInDash"/>
          <w:cols w:space="720" w:num="1"/>
          <w:docGrid w:linePitch="636" w:charSpace="20838"/>
        </w:sectPr>
      </w:pPr>
    </w:p>
    <w:p>
      <w:pPr>
        <w:spacing w:line="600" w:lineRule="exact"/>
        <w:rPr>
          <w:rFonts w:ascii="黑体" w:hAnsi="黑体" w:eastAsia="黑体" w:cs="黑体"/>
          <w:kern w:val="0"/>
          <w:sz w:val="32"/>
          <w:szCs w:val="32"/>
        </w:rPr>
      </w:pPr>
      <w:r>
        <w:rPr>
          <w:rFonts w:hint="eastAsia" w:ascii="黑体" w:hAnsi="黑体" w:eastAsia="黑体" w:cs="黑体"/>
          <w:kern w:val="0"/>
          <w:sz w:val="32"/>
          <w:szCs w:val="32"/>
        </w:rPr>
        <w:t>附件1</w:t>
      </w:r>
    </w:p>
    <w:p>
      <w:pPr>
        <w:spacing w:line="600" w:lineRule="exact"/>
        <w:ind w:firstLine="880"/>
        <w:jc w:val="center"/>
        <w:rPr>
          <w:rFonts w:ascii="方正大标宋简体" w:hAnsi="方正大标宋简体" w:eastAsia="方正大标宋简体" w:cs="方正大标宋简体"/>
          <w:bCs/>
          <w:kern w:val="0"/>
          <w:sz w:val="44"/>
          <w:szCs w:val="44"/>
        </w:rPr>
      </w:pPr>
      <w:r>
        <w:rPr>
          <w:rFonts w:hint="eastAsia" w:ascii="方正大标宋简体" w:hAnsi="方正大标宋简体" w:eastAsia="方正大标宋简体" w:cs="方正大标宋简体"/>
          <w:bCs/>
          <w:kern w:val="0"/>
          <w:sz w:val="44"/>
          <w:szCs w:val="44"/>
        </w:rPr>
        <w:t>部门整体支出绩效评价基础数据表</w:t>
      </w:r>
    </w:p>
    <w:tbl>
      <w:tblPr>
        <w:tblStyle w:val="9"/>
        <w:tblpPr w:leftFromText="180" w:rightFromText="180" w:vertAnchor="text" w:tblpXSpec="center" w:tblpY="386"/>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055"/>
        <w:gridCol w:w="1091"/>
        <w:gridCol w:w="1251"/>
        <w:gridCol w:w="1079"/>
        <w:gridCol w:w="1129"/>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单位名称</w:t>
            </w:r>
          </w:p>
        </w:tc>
        <w:tc>
          <w:tcPr>
            <w:tcW w:w="5870" w:type="dxa"/>
            <w:gridSpan w:val="6"/>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中共隆回县委党校</w:t>
            </w:r>
            <w:r>
              <w:rPr>
                <w:rFonts w:hint="eastAsia" w:ascii="仿宋" w:hAnsi="仿宋" w:eastAsia="仿宋" w:cs="仿宋"/>
                <w:kern w:val="0"/>
                <w:sz w:val="21"/>
                <w:szCs w:val="21"/>
              </w:rPr>
              <w:t>（行政学校）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Merge w:val="restart"/>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财政供养人员情况</w:t>
            </w:r>
          </w:p>
        </w:tc>
        <w:tc>
          <w:tcPr>
            <w:tcW w:w="1933"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编制数</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2023年实际在职人数</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pPr>
              <w:pStyle w:val="7"/>
              <w:jc w:val="center"/>
              <w:rPr>
                <w:rFonts w:ascii="仿宋" w:hAnsi="仿宋" w:eastAsia="仿宋" w:cs="仿宋"/>
                <w:kern w:val="0"/>
                <w:sz w:val="21"/>
                <w:szCs w:val="21"/>
              </w:rPr>
            </w:pPr>
          </w:p>
        </w:tc>
        <w:tc>
          <w:tcPr>
            <w:tcW w:w="1933"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25</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23</w:t>
            </w:r>
          </w:p>
        </w:tc>
        <w:tc>
          <w:tcPr>
            <w:tcW w:w="1838"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经费控制情况（万元）</w:t>
            </w:r>
          </w:p>
        </w:tc>
        <w:tc>
          <w:tcPr>
            <w:tcW w:w="1933" w:type="dxa"/>
            <w:gridSpan w:val="2"/>
            <w:vAlign w:val="center"/>
          </w:tcPr>
          <w:p>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2023年决算数</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2024年预算数</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2024年决算数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三公经费：</w:t>
            </w:r>
          </w:p>
        </w:tc>
        <w:tc>
          <w:tcPr>
            <w:tcW w:w="1933"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0.96</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1838"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00" w:type="dxa"/>
            <w:vAlign w:val="center"/>
          </w:tcPr>
          <w:p>
            <w:pPr>
              <w:pStyle w:val="7"/>
              <w:numPr>
                <w:ilvl w:val="0"/>
                <w:numId w:val="2"/>
              </w:numPr>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公务用车购置和维护</w:t>
            </w:r>
          </w:p>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经费</w:t>
            </w:r>
          </w:p>
        </w:tc>
        <w:tc>
          <w:tcPr>
            <w:tcW w:w="1933"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00" w:type="dxa"/>
            <w:vAlign w:val="center"/>
          </w:tcPr>
          <w:p>
            <w:pPr>
              <w:pStyle w:val="7"/>
              <w:jc w:val="left"/>
              <w:rPr>
                <w:rFonts w:ascii="仿宋" w:hAnsi="仿宋" w:eastAsia="仿宋" w:cs="仿宋"/>
                <w:kern w:val="0"/>
                <w:sz w:val="21"/>
                <w:szCs w:val="21"/>
              </w:rPr>
            </w:pPr>
            <w:r>
              <w:rPr>
                <w:rFonts w:hint="eastAsia" w:ascii="仿宋" w:hAnsi="仿宋" w:eastAsia="仿宋" w:cs="仿宋"/>
                <w:kern w:val="0"/>
                <w:sz w:val="21"/>
                <w:szCs w:val="21"/>
              </w:rPr>
              <w:t>其中：公车购置</w:t>
            </w:r>
          </w:p>
        </w:tc>
        <w:tc>
          <w:tcPr>
            <w:tcW w:w="1933"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pPr>
              <w:pStyle w:val="7"/>
              <w:jc w:val="left"/>
              <w:rPr>
                <w:rFonts w:ascii="仿宋" w:hAnsi="仿宋" w:eastAsia="仿宋" w:cs="仿宋"/>
                <w:kern w:val="0"/>
                <w:sz w:val="21"/>
                <w:szCs w:val="21"/>
              </w:rPr>
            </w:pPr>
            <w:r>
              <w:rPr>
                <w:rFonts w:hint="eastAsia" w:ascii="仿宋" w:hAnsi="仿宋" w:eastAsia="仿宋" w:cs="仿宋"/>
                <w:kern w:val="0"/>
                <w:sz w:val="21"/>
                <w:szCs w:val="21"/>
              </w:rPr>
              <w:t>公车运行维护</w:t>
            </w:r>
          </w:p>
        </w:tc>
        <w:tc>
          <w:tcPr>
            <w:tcW w:w="1933"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2、出国经费</w:t>
            </w:r>
          </w:p>
        </w:tc>
        <w:tc>
          <w:tcPr>
            <w:tcW w:w="1933"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3、公务接待费</w:t>
            </w:r>
          </w:p>
        </w:tc>
        <w:tc>
          <w:tcPr>
            <w:tcW w:w="1933"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0.96</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县级专项资金：</w:t>
            </w:r>
          </w:p>
        </w:tc>
        <w:tc>
          <w:tcPr>
            <w:tcW w:w="1933"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132.53</w:t>
            </w:r>
          </w:p>
        </w:tc>
        <w:tc>
          <w:tcPr>
            <w:tcW w:w="2099"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92</w:t>
            </w:r>
          </w:p>
        </w:tc>
        <w:tc>
          <w:tcPr>
            <w:tcW w:w="1838"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150.93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1、业务工作经费</w:t>
            </w:r>
          </w:p>
        </w:tc>
        <w:tc>
          <w:tcPr>
            <w:tcW w:w="1933"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24.26</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2、运行维护经费</w:t>
            </w:r>
          </w:p>
        </w:tc>
        <w:tc>
          <w:tcPr>
            <w:tcW w:w="1933"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108.27</w:t>
            </w:r>
          </w:p>
        </w:tc>
        <w:tc>
          <w:tcPr>
            <w:tcW w:w="2099"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92</w:t>
            </w:r>
          </w:p>
        </w:tc>
        <w:tc>
          <w:tcPr>
            <w:tcW w:w="1838"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145.43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3、其他专项资金（每个专项一行）</w:t>
            </w:r>
          </w:p>
        </w:tc>
        <w:tc>
          <w:tcPr>
            <w:tcW w:w="1933" w:type="dxa"/>
            <w:gridSpan w:val="2"/>
            <w:vAlign w:val="center"/>
          </w:tcPr>
          <w:p>
            <w:pPr>
              <w:pStyle w:val="7"/>
              <w:jc w:val="center"/>
              <w:rPr>
                <w:rFonts w:ascii="仿宋" w:hAnsi="仿宋" w:eastAsia="仿宋" w:cs="仿宋"/>
                <w:kern w:val="0"/>
                <w:sz w:val="21"/>
                <w:szCs w:val="21"/>
              </w:rPr>
            </w:pPr>
          </w:p>
        </w:tc>
        <w:tc>
          <w:tcPr>
            <w:tcW w:w="2099" w:type="dxa"/>
            <w:gridSpan w:val="2"/>
            <w:vAlign w:val="center"/>
          </w:tcPr>
          <w:p>
            <w:pPr>
              <w:pStyle w:val="7"/>
              <w:jc w:val="center"/>
              <w:rPr>
                <w:rFonts w:ascii="仿宋" w:hAnsi="仿宋" w:eastAsia="仿宋" w:cs="仿宋"/>
                <w:kern w:val="0"/>
                <w:sz w:val="21"/>
                <w:szCs w:val="21"/>
              </w:rPr>
            </w:pPr>
          </w:p>
        </w:tc>
        <w:tc>
          <w:tcPr>
            <w:tcW w:w="1838" w:type="dxa"/>
            <w:gridSpan w:val="2"/>
            <w:vAlign w:val="center"/>
          </w:tcPr>
          <w:p>
            <w:pPr>
              <w:pStyle w:val="7"/>
              <w:jc w:val="center"/>
              <w:rPr>
                <w:rFonts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4.中央、省、市专项资金</w:t>
            </w:r>
          </w:p>
        </w:tc>
        <w:tc>
          <w:tcPr>
            <w:tcW w:w="1933" w:type="dxa"/>
            <w:gridSpan w:val="2"/>
            <w:vAlign w:val="center"/>
          </w:tcPr>
          <w:p>
            <w:pPr>
              <w:pStyle w:val="7"/>
              <w:jc w:val="center"/>
              <w:rPr>
                <w:rFonts w:ascii="仿宋" w:hAnsi="仿宋" w:eastAsia="仿宋" w:cs="仿宋"/>
                <w:kern w:val="0"/>
                <w:sz w:val="21"/>
                <w:szCs w:val="21"/>
              </w:rPr>
            </w:pPr>
          </w:p>
        </w:tc>
        <w:tc>
          <w:tcPr>
            <w:tcW w:w="2099" w:type="dxa"/>
            <w:gridSpan w:val="2"/>
            <w:vAlign w:val="center"/>
          </w:tcPr>
          <w:p>
            <w:pPr>
              <w:pStyle w:val="7"/>
              <w:jc w:val="center"/>
              <w:rPr>
                <w:rFonts w:ascii="仿宋" w:hAnsi="仿宋" w:eastAsia="仿宋" w:cs="仿宋"/>
                <w:kern w:val="0"/>
                <w:sz w:val="21"/>
                <w:szCs w:val="21"/>
              </w:rPr>
            </w:pPr>
          </w:p>
        </w:tc>
        <w:tc>
          <w:tcPr>
            <w:tcW w:w="1838" w:type="dxa"/>
            <w:gridSpan w:val="2"/>
            <w:vAlign w:val="center"/>
          </w:tcPr>
          <w:p>
            <w:pPr>
              <w:pStyle w:val="7"/>
              <w:jc w:val="center"/>
              <w:rPr>
                <w:rFonts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00" w:type="dxa"/>
            <w:vAlign w:val="center"/>
          </w:tcPr>
          <w:p>
            <w:pPr>
              <w:pStyle w:val="7"/>
              <w:jc w:val="left"/>
              <w:rPr>
                <w:rFonts w:ascii="仿宋" w:hAnsi="仿宋" w:eastAsia="仿宋" w:cs="仿宋"/>
                <w:kern w:val="0"/>
                <w:sz w:val="21"/>
                <w:szCs w:val="21"/>
              </w:rPr>
            </w:pPr>
            <w:r>
              <w:rPr>
                <w:rFonts w:hint="eastAsia" w:ascii="仿宋" w:hAnsi="仿宋" w:eastAsia="仿宋" w:cs="仿宋"/>
                <w:kern w:val="0"/>
                <w:sz w:val="21"/>
                <w:szCs w:val="21"/>
              </w:rPr>
              <w:t>......</w:t>
            </w:r>
          </w:p>
        </w:tc>
        <w:tc>
          <w:tcPr>
            <w:tcW w:w="1933" w:type="dxa"/>
            <w:gridSpan w:val="2"/>
            <w:vAlign w:val="center"/>
          </w:tcPr>
          <w:p>
            <w:pPr>
              <w:pStyle w:val="7"/>
              <w:jc w:val="center"/>
              <w:rPr>
                <w:rFonts w:ascii="仿宋" w:hAnsi="仿宋" w:eastAsia="仿宋" w:cs="仿宋"/>
                <w:kern w:val="0"/>
                <w:sz w:val="21"/>
                <w:szCs w:val="21"/>
              </w:rPr>
            </w:pPr>
          </w:p>
        </w:tc>
        <w:tc>
          <w:tcPr>
            <w:tcW w:w="2099" w:type="dxa"/>
            <w:gridSpan w:val="2"/>
            <w:vAlign w:val="center"/>
          </w:tcPr>
          <w:p>
            <w:pPr>
              <w:pStyle w:val="7"/>
              <w:jc w:val="center"/>
              <w:rPr>
                <w:rFonts w:ascii="仿宋" w:hAnsi="仿宋" w:eastAsia="仿宋" w:cs="仿宋"/>
                <w:kern w:val="0"/>
                <w:sz w:val="21"/>
                <w:szCs w:val="21"/>
              </w:rPr>
            </w:pPr>
          </w:p>
        </w:tc>
        <w:tc>
          <w:tcPr>
            <w:tcW w:w="1838" w:type="dxa"/>
            <w:gridSpan w:val="2"/>
            <w:vAlign w:val="center"/>
          </w:tcPr>
          <w:p>
            <w:pPr>
              <w:pStyle w:val="7"/>
              <w:jc w:val="center"/>
              <w:rPr>
                <w:rFonts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公用经费</w:t>
            </w:r>
          </w:p>
        </w:tc>
        <w:tc>
          <w:tcPr>
            <w:tcW w:w="1933"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66.63</w:t>
            </w:r>
          </w:p>
        </w:tc>
        <w:tc>
          <w:tcPr>
            <w:tcW w:w="2099"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32.14</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53.07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00" w:type="dxa"/>
            <w:vAlign w:val="center"/>
          </w:tcPr>
          <w:p>
            <w:pPr>
              <w:pStyle w:val="7"/>
              <w:jc w:val="left"/>
              <w:rPr>
                <w:rFonts w:ascii="仿宋" w:hAnsi="仿宋" w:eastAsia="仿宋" w:cs="仿宋"/>
                <w:kern w:val="0"/>
                <w:sz w:val="21"/>
                <w:szCs w:val="21"/>
              </w:rPr>
            </w:pPr>
            <w:r>
              <w:rPr>
                <w:rFonts w:hint="eastAsia" w:ascii="仿宋" w:hAnsi="仿宋" w:eastAsia="仿宋" w:cs="仿宋"/>
                <w:kern w:val="0"/>
                <w:sz w:val="21"/>
                <w:szCs w:val="21"/>
              </w:rPr>
              <w:t>其中：办公经费</w:t>
            </w:r>
          </w:p>
        </w:tc>
        <w:tc>
          <w:tcPr>
            <w:tcW w:w="1933"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40.03</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21.13</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37.44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300" w:type="dxa"/>
            <w:vAlign w:val="center"/>
          </w:tcPr>
          <w:p>
            <w:pPr>
              <w:pStyle w:val="7"/>
              <w:jc w:val="left"/>
              <w:rPr>
                <w:rFonts w:ascii="仿宋" w:hAnsi="仿宋" w:eastAsia="仿宋" w:cs="仿宋"/>
                <w:kern w:val="0"/>
                <w:sz w:val="21"/>
                <w:szCs w:val="21"/>
              </w:rPr>
            </w:pPr>
            <w:r>
              <w:rPr>
                <w:rFonts w:hint="eastAsia" w:ascii="仿宋" w:hAnsi="仿宋" w:eastAsia="仿宋" w:cs="仿宋"/>
                <w:kern w:val="0"/>
                <w:sz w:val="21"/>
                <w:szCs w:val="21"/>
              </w:rPr>
              <w:t>水费、电费、差旅费</w:t>
            </w:r>
          </w:p>
        </w:tc>
        <w:tc>
          <w:tcPr>
            <w:tcW w:w="1933"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26.33</w:t>
            </w:r>
          </w:p>
        </w:tc>
        <w:tc>
          <w:tcPr>
            <w:tcW w:w="2099"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9</w:t>
            </w:r>
          </w:p>
        </w:tc>
        <w:tc>
          <w:tcPr>
            <w:tcW w:w="1838"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jc w:val="left"/>
              <w:rPr>
                <w:rFonts w:ascii="仿宋" w:hAnsi="仿宋" w:eastAsia="仿宋" w:cs="仿宋"/>
                <w:kern w:val="0"/>
                <w:sz w:val="21"/>
                <w:szCs w:val="21"/>
              </w:rPr>
            </w:pPr>
            <w:r>
              <w:rPr>
                <w:rFonts w:hint="eastAsia" w:ascii="仿宋" w:hAnsi="仿宋" w:eastAsia="仿宋" w:cs="仿宋"/>
                <w:kern w:val="0"/>
                <w:sz w:val="21"/>
                <w:szCs w:val="21"/>
              </w:rPr>
              <w:t>会议费、培训费</w:t>
            </w:r>
          </w:p>
        </w:tc>
        <w:tc>
          <w:tcPr>
            <w:tcW w:w="1933" w:type="dxa"/>
            <w:gridSpan w:val="2"/>
            <w:vAlign w:val="center"/>
          </w:tcPr>
          <w:p>
            <w:pPr>
              <w:pStyle w:val="7"/>
              <w:jc w:val="center"/>
              <w:rPr>
                <w:rFonts w:ascii="仿宋" w:hAnsi="仿宋" w:eastAsia="仿宋" w:cs="仿宋"/>
                <w:kern w:val="0"/>
                <w:sz w:val="21"/>
                <w:szCs w:val="21"/>
              </w:rPr>
            </w:pPr>
            <w:r>
              <w:rPr>
                <w:rFonts w:hint="eastAsia" w:ascii="仿宋" w:hAnsi="仿宋" w:eastAsia="仿宋" w:cs="仿宋"/>
                <w:kern w:val="0"/>
                <w:sz w:val="21"/>
                <w:szCs w:val="21"/>
              </w:rPr>
              <w:t>0.27</w:t>
            </w:r>
          </w:p>
        </w:tc>
        <w:tc>
          <w:tcPr>
            <w:tcW w:w="2099"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2.01</w:t>
            </w:r>
          </w:p>
        </w:tc>
        <w:tc>
          <w:tcPr>
            <w:tcW w:w="1838" w:type="dxa"/>
            <w:gridSpan w:val="2"/>
            <w:vAlign w:val="center"/>
          </w:tcPr>
          <w:p>
            <w:pPr>
              <w:pStyle w:val="7"/>
              <w:jc w:val="center"/>
              <w:rPr>
                <w:rFonts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政府采购金额</w:t>
            </w:r>
          </w:p>
        </w:tc>
        <w:tc>
          <w:tcPr>
            <w:tcW w:w="1933"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14.54</w:t>
            </w:r>
          </w:p>
        </w:tc>
        <w:tc>
          <w:tcPr>
            <w:tcW w:w="2099"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1.2</w:t>
            </w:r>
          </w:p>
        </w:tc>
        <w:tc>
          <w:tcPr>
            <w:tcW w:w="1838"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00" w:type="dxa"/>
            <w:vAlign w:val="center"/>
          </w:tcPr>
          <w:p>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部门基本支出预算调整</w:t>
            </w:r>
          </w:p>
        </w:tc>
        <w:tc>
          <w:tcPr>
            <w:tcW w:w="1933"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330.86</w:t>
            </w:r>
          </w:p>
        </w:tc>
        <w:tc>
          <w:tcPr>
            <w:tcW w:w="2099" w:type="dxa"/>
            <w:gridSpan w:val="2"/>
            <w:vAlign w:val="center"/>
          </w:tcPr>
          <w:p>
            <w:pPr>
              <w:pStyle w:val="7"/>
              <w:jc w:val="center"/>
              <w:rPr>
                <w:rFonts w:ascii="仿宋" w:hAnsi="仿宋" w:eastAsia="仿宋" w:cs="仿宋"/>
                <w:kern w:val="0"/>
                <w:sz w:val="21"/>
                <w:szCs w:val="21"/>
              </w:rPr>
            </w:pPr>
          </w:p>
        </w:tc>
        <w:tc>
          <w:tcPr>
            <w:tcW w:w="1838" w:type="dxa"/>
            <w:gridSpan w:val="2"/>
            <w:vAlign w:val="center"/>
          </w:tcPr>
          <w:p>
            <w:pPr>
              <w:pStyle w:val="7"/>
              <w:jc w:val="center"/>
              <w:rPr>
                <w:rFonts w:ascii="仿宋" w:hAnsi="仿宋" w:eastAsia="仿宋" w:cs="仿宋"/>
                <w:kern w:val="0"/>
                <w:sz w:val="21"/>
                <w:szCs w:val="21"/>
              </w:rPr>
            </w:pPr>
            <w:r>
              <w:rPr>
                <w:rFonts w:ascii="仿宋" w:hAnsi="仿宋" w:eastAsia="仿宋" w:cs="仿宋"/>
                <w:kern w:val="0"/>
                <w:sz w:val="21"/>
                <w:szCs w:val="21"/>
              </w:rPr>
              <w:t>332.68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300" w:type="dxa"/>
            <w:vMerge w:val="restart"/>
            <w:vAlign w:val="center"/>
          </w:tcPr>
          <w:p>
            <w:pPr>
              <w:pStyle w:val="7"/>
              <w:ind w:left="210" w:hanging="210" w:hangingChars="100"/>
              <w:jc w:val="left"/>
              <w:rPr>
                <w:rFonts w:ascii="仿宋" w:hAnsi="仿宋" w:eastAsia="仿宋" w:cs="仿宋"/>
                <w:kern w:val="0"/>
                <w:sz w:val="21"/>
                <w:szCs w:val="21"/>
              </w:rPr>
            </w:pPr>
            <w:r>
              <w:rPr>
                <w:rFonts w:hint="eastAsia" w:ascii="仿宋" w:hAnsi="仿宋" w:eastAsia="仿宋" w:cs="仿宋"/>
                <w:kern w:val="0"/>
                <w:sz w:val="21"/>
                <w:szCs w:val="21"/>
              </w:rPr>
              <w:t>楼堂馆所控制情况（2024年完工项目）</w:t>
            </w:r>
          </w:p>
        </w:tc>
        <w:tc>
          <w:tcPr>
            <w:tcW w:w="950" w:type="dxa"/>
            <w:vAlign w:val="center"/>
          </w:tcPr>
          <w:p>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批复规模（㎡）</w:t>
            </w:r>
          </w:p>
        </w:tc>
        <w:tc>
          <w:tcPr>
            <w:tcW w:w="983" w:type="dxa"/>
            <w:vAlign w:val="center"/>
          </w:tcPr>
          <w:p>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实际规模（㎡）</w:t>
            </w:r>
          </w:p>
        </w:tc>
        <w:tc>
          <w:tcPr>
            <w:tcW w:w="1127" w:type="dxa"/>
            <w:vAlign w:val="center"/>
          </w:tcPr>
          <w:p>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规模控制率</w:t>
            </w:r>
          </w:p>
        </w:tc>
        <w:tc>
          <w:tcPr>
            <w:tcW w:w="972" w:type="dxa"/>
            <w:vAlign w:val="center"/>
          </w:tcPr>
          <w:p>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预算投资（万元）</w:t>
            </w:r>
          </w:p>
        </w:tc>
        <w:tc>
          <w:tcPr>
            <w:tcW w:w="1017" w:type="dxa"/>
            <w:vAlign w:val="center"/>
          </w:tcPr>
          <w:p>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实际投资（万元）</w:t>
            </w:r>
          </w:p>
        </w:tc>
        <w:tc>
          <w:tcPr>
            <w:tcW w:w="821" w:type="dxa"/>
            <w:vAlign w:val="center"/>
          </w:tcPr>
          <w:p>
            <w:pPr>
              <w:ind w:firstLine="420"/>
              <w:jc w:val="center"/>
              <w:rPr>
                <w:rFonts w:ascii="仿宋" w:hAnsi="仿宋" w:eastAsia="仿宋" w:cs="仿宋"/>
                <w:szCs w:val="21"/>
              </w:rPr>
            </w:pPr>
            <w:r>
              <w:rPr>
                <w:rFonts w:hint="eastAsia" w:ascii="仿宋" w:hAnsi="仿宋" w:eastAsia="仿宋" w:cs="仿宋"/>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pPr>
              <w:pStyle w:val="7"/>
              <w:jc w:val="center"/>
              <w:rPr>
                <w:rFonts w:ascii="仿宋" w:hAnsi="仿宋" w:eastAsia="仿宋" w:cs="仿宋"/>
                <w:kern w:val="0"/>
                <w:sz w:val="21"/>
                <w:szCs w:val="21"/>
              </w:rPr>
            </w:pPr>
          </w:p>
        </w:tc>
        <w:tc>
          <w:tcPr>
            <w:tcW w:w="950" w:type="dxa"/>
            <w:vAlign w:val="center"/>
          </w:tcPr>
          <w:p>
            <w:pPr>
              <w:pStyle w:val="7"/>
              <w:jc w:val="center"/>
              <w:rPr>
                <w:rFonts w:ascii="仿宋" w:hAnsi="仿宋" w:eastAsia="仿宋" w:cs="仿宋"/>
                <w:kern w:val="0"/>
                <w:sz w:val="21"/>
                <w:szCs w:val="21"/>
              </w:rPr>
            </w:pPr>
          </w:p>
        </w:tc>
        <w:tc>
          <w:tcPr>
            <w:tcW w:w="983" w:type="dxa"/>
            <w:vAlign w:val="center"/>
          </w:tcPr>
          <w:p>
            <w:pPr>
              <w:pStyle w:val="7"/>
              <w:jc w:val="center"/>
              <w:rPr>
                <w:rFonts w:ascii="仿宋" w:hAnsi="仿宋" w:eastAsia="仿宋" w:cs="仿宋"/>
                <w:kern w:val="0"/>
                <w:sz w:val="21"/>
                <w:szCs w:val="21"/>
              </w:rPr>
            </w:pPr>
          </w:p>
        </w:tc>
        <w:tc>
          <w:tcPr>
            <w:tcW w:w="1127" w:type="dxa"/>
            <w:vAlign w:val="center"/>
          </w:tcPr>
          <w:p>
            <w:pPr>
              <w:pStyle w:val="7"/>
              <w:jc w:val="center"/>
              <w:rPr>
                <w:rFonts w:ascii="仿宋" w:hAnsi="仿宋" w:eastAsia="仿宋" w:cs="仿宋"/>
                <w:kern w:val="0"/>
                <w:sz w:val="21"/>
                <w:szCs w:val="21"/>
              </w:rPr>
            </w:pPr>
          </w:p>
        </w:tc>
        <w:tc>
          <w:tcPr>
            <w:tcW w:w="972" w:type="dxa"/>
            <w:vAlign w:val="center"/>
          </w:tcPr>
          <w:p>
            <w:pPr>
              <w:pStyle w:val="7"/>
              <w:jc w:val="center"/>
              <w:rPr>
                <w:rFonts w:ascii="仿宋" w:hAnsi="仿宋" w:eastAsia="仿宋" w:cs="仿宋"/>
                <w:kern w:val="0"/>
                <w:sz w:val="21"/>
                <w:szCs w:val="21"/>
              </w:rPr>
            </w:pPr>
          </w:p>
        </w:tc>
        <w:tc>
          <w:tcPr>
            <w:tcW w:w="1017" w:type="dxa"/>
            <w:vAlign w:val="center"/>
          </w:tcPr>
          <w:p>
            <w:pPr>
              <w:pStyle w:val="7"/>
              <w:jc w:val="center"/>
              <w:rPr>
                <w:rFonts w:ascii="仿宋" w:hAnsi="仿宋" w:eastAsia="仿宋" w:cs="仿宋"/>
                <w:kern w:val="0"/>
                <w:sz w:val="21"/>
                <w:szCs w:val="21"/>
              </w:rPr>
            </w:pPr>
          </w:p>
        </w:tc>
        <w:tc>
          <w:tcPr>
            <w:tcW w:w="821" w:type="dxa"/>
            <w:vAlign w:val="center"/>
          </w:tcPr>
          <w:p>
            <w:pPr>
              <w:pStyle w:val="7"/>
              <w:jc w:val="center"/>
              <w:rPr>
                <w:rFonts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300" w:type="dxa"/>
            <w:vAlign w:val="center"/>
          </w:tcPr>
          <w:p>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例行节约保障措施</w:t>
            </w:r>
          </w:p>
        </w:tc>
        <w:tc>
          <w:tcPr>
            <w:tcW w:w="5870" w:type="dxa"/>
            <w:gridSpan w:val="6"/>
            <w:vAlign w:val="center"/>
          </w:tcPr>
          <w:p>
            <w:pPr>
              <w:pStyle w:val="7"/>
              <w:jc w:val="center"/>
              <w:rPr>
                <w:rFonts w:ascii="仿宋" w:hAnsi="仿宋" w:eastAsia="仿宋" w:cs="仿宋"/>
                <w:kern w:val="0"/>
                <w:sz w:val="21"/>
                <w:szCs w:val="21"/>
              </w:rPr>
            </w:pPr>
          </w:p>
        </w:tc>
      </w:tr>
    </w:tbl>
    <w:p>
      <w:pPr>
        <w:pStyle w:val="7"/>
        <w:ind w:firstLine="0" w:firstLineChars="0"/>
        <w:rPr>
          <w:rFonts w:ascii="仿宋" w:hAnsi="仿宋" w:eastAsia="仿宋" w:cs="仿宋"/>
          <w:kern w:val="0"/>
          <w:sz w:val="24"/>
        </w:rPr>
      </w:pPr>
    </w:p>
    <w:p>
      <w:pPr>
        <w:pStyle w:val="7"/>
        <w:ind w:firstLine="480"/>
        <w:rPr>
          <w:rFonts w:ascii="仿宋" w:hAnsi="仿宋" w:eastAsia="仿宋" w:cs="仿宋"/>
          <w:kern w:val="0"/>
          <w:sz w:val="24"/>
        </w:rPr>
      </w:pPr>
    </w:p>
    <w:p>
      <w:pPr>
        <w:pStyle w:val="7"/>
        <w:ind w:firstLine="480"/>
        <w:rPr>
          <w:rFonts w:ascii="仿宋" w:hAnsi="仿宋" w:eastAsia="仿宋" w:cs="仿宋"/>
          <w:kern w:val="0"/>
          <w:sz w:val="24"/>
        </w:rPr>
      </w:pPr>
      <w:r>
        <w:rPr>
          <w:rFonts w:hint="eastAsia" w:ascii="仿宋" w:hAnsi="仿宋" w:eastAsia="仿宋" w:cs="仿宋"/>
          <w:kern w:val="0"/>
          <w:sz w:val="24"/>
        </w:rPr>
        <w:t>说明：“县级专项资金”需要填报基本支出以外的所有县级专项资金情况，“公用经费”填报基本支出中的一般商品和服务支出。</w:t>
      </w:r>
    </w:p>
    <w:p>
      <w:pPr>
        <w:pStyle w:val="7"/>
        <w:ind w:firstLine="480"/>
        <w:rPr>
          <w:rFonts w:ascii="仿宋" w:hAnsi="仿宋" w:eastAsia="仿宋" w:cs="仿宋"/>
          <w:kern w:val="0"/>
          <w:sz w:val="24"/>
        </w:rPr>
      </w:pPr>
    </w:p>
    <w:p>
      <w:pPr>
        <w:pStyle w:val="7"/>
        <w:ind w:firstLine="0" w:firstLineChars="0"/>
        <w:rPr>
          <w:rFonts w:ascii="仿宋" w:hAnsi="仿宋" w:eastAsia="仿宋" w:cs="仿宋"/>
          <w:kern w:val="0"/>
          <w:sz w:val="24"/>
        </w:rPr>
      </w:pPr>
    </w:p>
    <w:p>
      <w:pPr>
        <w:spacing w:line="600" w:lineRule="exact"/>
        <w:rPr>
          <w:rFonts w:ascii="黑体" w:hAnsi="黑体" w:eastAsia="黑体" w:cs="黑体"/>
          <w:kern w:val="0"/>
          <w:sz w:val="32"/>
          <w:szCs w:val="32"/>
        </w:rPr>
      </w:pPr>
      <w:r>
        <w:rPr>
          <w:rFonts w:hint="eastAsia" w:ascii="黑体" w:hAnsi="黑体" w:eastAsia="黑体" w:cs="黑体"/>
          <w:kern w:val="0"/>
          <w:sz w:val="32"/>
          <w:szCs w:val="32"/>
        </w:rPr>
        <w:t>附件2</w:t>
      </w:r>
    </w:p>
    <w:p>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8"/>
        <w:tblW w:w="9071" w:type="dxa"/>
        <w:jc w:val="center"/>
        <w:tblLayout w:type="fixed"/>
        <w:tblCellMar>
          <w:top w:w="0" w:type="dxa"/>
          <w:left w:w="108" w:type="dxa"/>
          <w:bottom w:w="0" w:type="dxa"/>
          <w:right w:w="108" w:type="dxa"/>
        </w:tblCellMar>
      </w:tblPr>
      <w:tblGrid>
        <w:gridCol w:w="978"/>
        <w:gridCol w:w="979"/>
        <w:gridCol w:w="719"/>
        <w:gridCol w:w="1286"/>
        <w:gridCol w:w="85"/>
        <w:gridCol w:w="1088"/>
        <w:gridCol w:w="1158"/>
        <w:gridCol w:w="643"/>
        <w:gridCol w:w="899"/>
        <w:gridCol w:w="1236"/>
      </w:tblGrid>
      <w:tr>
        <w:tblPrEx>
          <w:tblCellMar>
            <w:top w:w="0" w:type="dxa"/>
            <w:left w:w="108" w:type="dxa"/>
            <w:bottom w:w="0" w:type="dxa"/>
            <w:right w:w="108" w:type="dxa"/>
          </w:tblCellMar>
        </w:tblPrEx>
        <w:trPr>
          <w:trHeight w:val="498" w:hRule="atLeast"/>
          <w:jc w:val="center"/>
        </w:trPr>
        <w:tc>
          <w:tcPr>
            <w:tcW w:w="9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预算单位名称</w:t>
            </w:r>
          </w:p>
        </w:tc>
        <w:tc>
          <w:tcPr>
            <w:tcW w:w="8093" w:type="dxa"/>
            <w:gridSpan w:val="9"/>
            <w:tcBorders>
              <w:top w:val="single" w:color="auto" w:sz="4" w:space="0"/>
              <w:left w:val="nil"/>
              <w:bottom w:val="single" w:color="auto" w:sz="4" w:space="0"/>
              <w:right w:val="single" w:color="auto" w:sz="4" w:space="0"/>
            </w:tcBorders>
            <w:noWrap/>
            <w:vAlign w:val="center"/>
          </w:tcPr>
          <w:p>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中国共产党隆回县委员会党校</w:t>
            </w:r>
            <w:r>
              <w:rPr>
                <w:rFonts w:eastAsia="仿宋_GB2312"/>
                <w:color w:val="000000"/>
                <w:kern w:val="0"/>
                <w:sz w:val="18"/>
                <w:szCs w:val="18"/>
              </w:rPr>
              <w:t>　</w:t>
            </w:r>
          </w:p>
        </w:tc>
      </w:tr>
      <w:tr>
        <w:tblPrEx>
          <w:tblCellMar>
            <w:top w:w="0" w:type="dxa"/>
            <w:left w:w="108" w:type="dxa"/>
            <w:bottom w:w="0" w:type="dxa"/>
            <w:right w:w="108" w:type="dxa"/>
          </w:tblCellMar>
        </w:tblPrEx>
        <w:trPr>
          <w:trHeight w:val="254" w:hRule="atLeast"/>
          <w:jc w:val="center"/>
        </w:trPr>
        <w:tc>
          <w:tcPr>
            <w:tcW w:w="978" w:type="dxa"/>
            <w:vMerge w:val="restart"/>
            <w:tcBorders>
              <w:top w:val="nil"/>
              <w:left w:val="single" w:color="auto" w:sz="4" w:space="0"/>
              <w:right w:val="single" w:color="auto" w:sz="4" w:space="0"/>
            </w:tcBorders>
            <w:noWrap/>
            <w:vAlign w:val="center"/>
          </w:tcPr>
          <w:p>
            <w:pPr>
              <w:spacing w:line="240" w:lineRule="exact"/>
              <w:rPr>
                <w:rFonts w:eastAsia="仿宋_GB2312"/>
                <w:color w:val="000000"/>
                <w:kern w:val="0"/>
                <w:sz w:val="18"/>
                <w:szCs w:val="18"/>
              </w:rPr>
            </w:pPr>
            <w:r>
              <w:rPr>
                <w:rFonts w:eastAsia="仿宋_GB2312"/>
                <w:color w:val="000000"/>
                <w:kern w:val="0"/>
                <w:sz w:val="18"/>
                <w:szCs w:val="18"/>
              </w:rPr>
              <w:t>年度预</w:t>
            </w:r>
          </w:p>
          <w:p>
            <w:pPr>
              <w:spacing w:line="240" w:lineRule="exact"/>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98" w:type="dxa"/>
            <w:gridSpan w:val="2"/>
            <w:tcBorders>
              <w:top w:val="nil"/>
              <w:left w:val="nil"/>
              <w:bottom w:val="single" w:color="auto" w:sz="4" w:space="0"/>
              <w:right w:val="single" w:color="auto" w:sz="4" w:space="0"/>
            </w:tcBorders>
            <w:noWrap/>
            <w:vAlign w:val="center"/>
          </w:tcPr>
          <w:p>
            <w:pPr>
              <w:spacing w:line="240" w:lineRule="exact"/>
              <w:ind w:firstLine="360"/>
              <w:jc w:val="center"/>
              <w:rPr>
                <w:rFonts w:eastAsia="仿宋_GB2312"/>
                <w:sz w:val="18"/>
                <w:szCs w:val="18"/>
              </w:rPr>
            </w:pPr>
          </w:p>
        </w:tc>
        <w:tc>
          <w:tcPr>
            <w:tcW w:w="1286" w:type="dxa"/>
            <w:tcBorders>
              <w:top w:val="nil"/>
              <w:left w:val="nil"/>
              <w:bottom w:val="single" w:color="auto" w:sz="4" w:space="0"/>
              <w:right w:val="single" w:color="auto" w:sz="4" w:space="0"/>
            </w:tcBorders>
            <w:noWrap/>
            <w:vAlign w:val="center"/>
          </w:tcPr>
          <w:p>
            <w:pPr>
              <w:spacing w:line="240" w:lineRule="exact"/>
              <w:rPr>
                <w:rFonts w:eastAsia="仿宋_GB2312"/>
                <w:sz w:val="18"/>
                <w:szCs w:val="18"/>
              </w:rPr>
            </w:pPr>
            <w:r>
              <w:rPr>
                <w:rFonts w:eastAsia="仿宋_GB2312"/>
                <w:sz w:val="18"/>
                <w:szCs w:val="18"/>
              </w:rPr>
              <w:t>年初预算数</w:t>
            </w:r>
          </w:p>
        </w:tc>
        <w:tc>
          <w:tcPr>
            <w:tcW w:w="1173" w:type="dxa"/>
            <w:gridSpan w:val="2"/>
            <w:tcBorders>
              <w:top w:val="nil"/>
              <w:left w:val="nil"/>
              <w:bottom w:val="single" w:color="auto" w:sz="4" w:space="0"/>
              <w:right w:val="single" w:color="auto" w:sz="4" w:space="0"/>
            </w:tcBorders>
            <w:noWrap/>
            <w:vAlign w:val="center"/>
          </w:tcPr>
          <w:p>
            <w:pPr>
              <w:spacing w:line="240" w:lineRule="exact"/>
              <w:rPr>
                <w:rFonts w:eastAsia="仿宋_GB2312"/>
                <w:sz w:val="18"/>
                <w:szCs w:val="18"/>
              </w:rPr>
            </w:pPr>
            <w:r>
              <w:rPr>
                <w:rFonts w:eastAsia="仿宋_GB2312"/>
                <w:sz w:val="18"/>
                <w:szCs w:val="18"/>
              </w:rPr>
              <w:t>全年预算数</w:t>
            </w:r>
          </w:p>
        </w:tc>
        <w:tc>
          <w:tcPr>
            <w:tcW w:w="1158" w:type="dxa"/>
            <w:tcBorders>
              <w:top w:val="nil"/>
              <w:left w:val="nil"/>
              <w:bottom w:val="single" w:color="auto" w:sz="4" w:space="0"/>
              <w:right w:val="single" w:color="auto" w:sz="4" w:space="0"/>
            </w:tcBorders>
            <w:noWrap/>
            <w:vAlign w:val="center"/>
          </w:tcPr>
          <w:p>
            <w:pPr>
              <w:spacing w:line="240" w:lineRule="exact"/>
              <w:rPr>
                <w:rFonts w:eastAsia="仿宋_GB2312"/>
                <w:sz w:val="18"/>
                <w:szCs w:val="18"/>
              </w:rPr>
            </w:pPr>
            <w:r>
              <w:rPr>
                <w:rFonts w:eastAsia="仿宋_GB2312"/>
                <w:sz w:val="18"/>
                <w:szCs w:val="18"/>
              </w:rPr>
              <w:t>全年执行数</w:t>
            </w:r>
          </w:p>
        </w:tc>
        <w:tc>
          <w:tcPr>
            <w:tcW w:w="643" w:type="dxa"/>
            <w:tcBorders>
              <w:top w:val="nil"/>
              <w:left w:val="nil"/>
              <w:bottom w:val="single" w:color="auto" w:sz="4" w:space="0"/>
              <w:right w:val="single" w:color="auto" w:sz="4" w:space="0"/>
            </w:tcBorders>
            <w:noWrap/>
            <w:vAlign w:val="center"/>
          </w:tcPr>
          <w:p>
            <w:pPr>
              <w:spacing w:line="240" w:lineRule="exact"/>
              <w:rPr>
                <w:rFonts w:eastAsia="仿宋_GB2312"/>
                <w:sz w:val="18"/>
                <w:szCs w:val="18"/>
              </w:rPr>
            </w:pPr>
            <w:r>
              <w:rPr>
                <w:rFonts w:eastAsia="仿宋_GB2312"/>
                <w:sz w:val="18"/>
                <w:szCs w:val="18"/>
              </w:rPr>
              <w:t>分值</w:t>
            </w:r>
          </w:p>
        </w:tc>
        <w:tc>
          <w:tcPr>
            <w:tcW w:w="899" w:type="dxa"/>
            <w:tcBorders>
              <w:top w:val="nil"/>
              <w:left w:val="nil"/>
              <w:bottom w:val="single" w:color="auto" w:sz="4" w:space="0"/>
              <w:right w:val="single" w:color="auto" w:sz="4" w:space="0"/>
            </w:tcBorders>
            <w:noWrap/>
            <w:vAlign w:val="center"/>
          </w:tcPr>
          <w:p>
            <w:pPr>
              <w:spacing w:line="240" w:lineRule="exact"/>
              <w:rPr>
                <w:rFonts w:eastAsia="仿宋_GB2312"/>
                <w:sz w:val="18"/>
                <w:szCs w:val="18"/>
              </w:rPr>
            </w:pPr>
            <w:r>
              <w:rPr>
                <w:rFonts w:eastAsia="仿宋_GB2312"/>
                <w:sz w:val="18"/>
                <w:szCs w:val="18"/>
              </w:rPr>
              <w:t>执行率</w:t>
            </w:r>
          </w:p>
        </w:tc>
        <w:tc>
          <w:tcPr>
            <w:tcW w:w="1236" w:type="dxa"/>
            <w:tcBorders>
              <w:top w:val="nil"/>
              <w:left w:val="nil"/>
              <w:bottom w:val="single" w:color="auto" w:sz="4" w:space="0"/>
              <w:right w:val="single" w:color="auto" w:sz="4" w:space="0"/>
            </w:tcBorders>
            <w:noWrap/>
            <w:vAlign w:val="center"/>
          </w:tcPr>
          <w:p>
            <w:pPr>
              <w:spacing w:line="240" w:lineRule="exact"/>
              <w:rPr>
                <w:rFonts w:eastAsia="仿宋_GB2312"/>
                <w:sz w:val="18"/>
                <w:szCs w:val="18"/>
              </w:rPr>
            </w:pPr>
            <w:r>
              <w:rPr>
                <w:rFonts w:eastAsia="仿宋_GB2312"/>
                <w:sz w:val="18"/>
                <w:szCs w:val="18"/>
              </w:rPr>
              <w:t>得分</w:t>
            </w:r>
          </w:p>
        </w:tc>
      </w:tr>
      <w:tr>
        <w:tblPrEx>
          <w:tblCellMar>
            <w:top w:w="0" w:type="dxa"/>
            <w:left w:w="108" w:type="dxa"/>
            <w:bottom w:w="0" w:type="dxa"/>
            <w:right w:w="108" w:type="dxa"/>
          </w:tblCellMar>
        </w:tblPrEx>
        <w:trPr>
          <w:trHeight w:val="231" w:hRule="atLeast"/>
          <w:jc w:val="center"/>
        </w:trPr>
        <w:tc>
          <w:tcPr>
            <w:tcW w:w="978" w:type="dxa"/>
            <w:vMerge w:val="continue"/>
            <w:tcBorders>
              <w:top w:val="nil"/>
              <w:left w:val="single" w:color="auto" w:sz="4" w:space="0"/>
              <w:right w:val="single" w:color="auto" w:sz="4" w:space="0"/>
            </w:tcBorders>
            <w:noWrap/>
            <w:vAlign w:val="center"/>
          </w:tcPr>
          <w:p>
            <w:pPr>
              <w:spacing w:line="240" w:lineRule="exact"/>
              <w:ind w:firstLine="360"/>
              <w:jc w:val="center"/>
              <w:rPr>
                <w:rFonts w:eastAsia="仿宋_GB2312"/>
                <w:color w:val="000000"/>
                <w:kern w:val="0"/>
                <w:sz w:val="18"/>
                <w:szCs w:val="18"/>
              </w:rPr>
            </w:pPr>
          </w:p>
        </w:tc>
        <w:tc>
          <w:tcPr>
            <w:tcW w:w="1698" w:type="dxa"/>
            <w:gridSpan w:val="2"/>
            <w:tcBorders>
              <w:top w:val="nil"/>
              <w:left w:val="nil"/>
              <w:bottom w:val="single" w:color="auto" w:sz="4" w:space="0"/>
              <w:right w:val="single" w:color="auto" w:sz="4" w:space="0"/>
            </w:tcBorders>
            <w:noWrap/>
            <w:vAlign w:val="center"/>
          </w:tcPr>
          <w:p>
            <w:pPr>
              <w:spacing w:line="240" w:lineRule="exact"/>
              <w:rPr>
                <w:rFonts w:eastAsia="仿宋_GB2312"/>
                <w:sz w:val="18"/>
                <w:szCs w:val="18"/>
              </w:rPr>
            </w:pPr>
            <w:r>
              <w:rPr>
                <w:rFonts w:eastAsia="仿宋_GB2312"/>
                <w:color w:val="000000"/>
                <w:kern w:val="0"/>
                <w:sz w:val="18"/>
                <w:szCs w:val="18"/>
              </w:rPr>
              <w:t>年度资金总额</w:t>
            </w:r>
          </w:p>
        </w:tc>
        <w:tc>
          <w:tcPr>
            <w:tcW w:w="1286" w:type="dxa"/>
            <w:tcBorders>
              <w:top w:val="nil"/>
              <w:left w:val="nil"/>
              <w:bottom w:val="single" w:color="auto" w:sz="4" w:space="0"/>
              <w:right w:val="single" w:color="auto" w:sz="4" w:space="0"/>
            </w:tcBorders>
            <w:noWrap/>
            <w:vAlign w:val="center"/>
          </w:tcPr>
          <w:p>
            <w:pPr>
              <w:spacing w:line="240" w:lineRule="exact"/>
              <w:ind w:firstLine="360"/>
              <w:jc w:val="center"/>
              <w:rPr>
                <w:rFonts w:eastAsia="仿宋_GB2312"/>
                <w:sz w:val="18"/>
                <w:szCs w:val="18"/>
              </w:rPr>
            </w:pPr>
            <w:r>
              <w:rPr>
                <w:rFonts w:eastAsia="仿宋_GB2312"/>
                <w:sz w:val="18"/>
                <w:szCs w:val="18"/>
              </w:rPr>
              <w:t>356.18</w:t>
            </w:r>
          </w:p>
        </w:tc>
        <w:tc>
          <w:tcPr>
            <w:tcW w:w="1173" w:type="dxa"/>
            <w:gridSpan w:val="2"/>
            <w:tcBorders>
              <w:top w:val="nil"/>
              <w:left w:val="nil"/>
              <w:bottom w:val="single" w:color="auto" w:sz="4" w:space="0"/>
              <w:right w:val="single" w:color="auto" w:sz="4" w:space="0"/>
            </w:tcBorders>
            <w:noWrap/>
            <w:vAlign w:val="center"/>
          </w:tcPr>
          <w:p>
            <w:pPr>
              <w:spacing w:line="240" w:lineRule="exact"/>
              <w:ind w:firstLine="360"/>
              <w:jc w:val="center"/>
              <w:rPr>
                <w:rFonts w:eastAsia="仿宋_GB2312"/>
                <w:sz w:val="18"/>
                <w:szCs w:val="18"/>
              </w:rPr>
            </w:pPr>
            <w:r>
              <w:rPr>
                <w:rFonts w:eastAsia="仿宋_GB2312"/>
                <w:sz w:val="18"/>
                <w:szCs w:val="18"/>
              </w:rPr>
              <w:t>678.99</w:t>
            </w:r>
          </w:p>
        </w:tc>
        <w:tc>
          <w:tcPr>
            <w:tcW w:w="1158" w:type="dxa"/>
            <w:tcBorders>
              <w:top w:val="nil"/>
              <w:left w:val="nil"/>
              <w:bottom w:val="single" w:color="auto" w:sz="4" w:space="0"/>
              <w:right w:val="single" w:color="auto" w:sz="4" w:space="0"/>
            </w:tcBorders>
            <w:noWrap/>
            <w:vAlign w:val="center"/>
          </w:tcPr>
          <w:p>
            <w:pPr>
              <w:spacing w:line="240" w:lineRule="exact"/>
              <w:ind w:firstLine="360"/>
              <w:jc w:val="center"/>
              <w:rPr>
                <w:rFonts w:eastAsia="仿宋_GB2312"/>
                <w:sz w:val="18"/>
                <w:szCs w:val="18"/>
              </w:rPr>
            </w:pPr>
            <w:r>
              <w:rPr>
                <w:rFonts w:eastAsia="仿宋_GB2312"/>
                <w:sz w:val="18"/>
                <w:szCs w:val="18"/>
              </w:rPr>
              <w:t>665.63</w:t>
            </w:r>
          </w:p>
        </w:tc>
        <w:tc>
          <w:tcPr>
            <w:tcW w:w="643" w:type="dxa"/>
            <w:tcBorders>
              <w:top w:val="nil"/>
              <w:left w:val="nil"/>
              <w:bottom w:val="single" w:color="auto" w:sz="4" w:space="0"/>
              <w:right w:val="single" w:color="auto" w:sz="4" w:space="0"/>
            </w:tcBorders>
            <w:noWrap/>
            <w:vAlign w:val="center"/>
          </w:tcPr>
          <w:p>
            <w:pPr>
              <w:spacing w:line="240" w:lineRule="exact"/>
              <w:jc w:val="center"/>
              <w:rPr>
                <w:rFonts w:eastAsia="仿宋_GB2312"/>
                <w:sz w:val="18"/>
                <w:szCs w:val="18"/>
              </w:rPr>
            </w:pPr>
            <w:r>
              <w:rPr>
                <w:rFonts w:eastAsia="仿宋_GB2312"/>
                <w:sz w:val="18"/>
                <w:szCs w:val="18"/>
              </w:rPr>
              <w:t>10</w:t>
            </w:r>
          </w:p>
        </w:tc>
        <w:tc>
          <w:tcPr>
            <w:tcW w:w="899" w:type="dxa"/>
            <w:tcBorders>
              <w:top w:val="nil"/>
              <w:left w:val="nil"/>
              <w:bottom w:val="single" w:color="auto" w:sz="4" w:space="0"/>
              <w:right w:val="single" w:color="auto" w:sz="4" w:space="0"/>
            </w:tcBorders>
            <w:noWrap/>
            <w:vAlign w:val="center"/>
          </w:tcPr>
          <w:p>
            <w:pPr>
              <w:spacing w:line="240" w:lineRule="exact"/>
              <w:rPr>
                <w:rFonts w:eastAsia="仿宋_GB2312"/>
                <w:sz w:val="18"/>
                <w:szCs w:val="18"/>
              </w:rPr>
            </w:pPr>
            <w:r>
              <w:rPr>
                <w:rFonts w:eastAsia="仿宋_GB2312"/>
                <w:sz w:val="18"/>
                <w:szCs w:val="18"/>
              </w:rPr>
              <w:t>97.85%</w:t>
            </w:r>
          </w:p>
        </w:tc>
        <w:tc>
          <w:tcPr>
            <w:tcW w:w="1236" w:type="dxa"/>
            <w:tcBorders>
              <w:top w:val="nil"/>
              <w:left w:val="nil"/>
              <w:bottom w:val="single" w:color="auto" w:sz="4" w:space="0"/>
              <w:right w:val="single" w:color="auto" w:sz="4" w:space="0"/>
            </w:tcBorders>
            <w:noWrap/>
            <w:vAlign w:val="center"/>
          </w:tcPr>
          <w:p>
            <w:pPr>
              <w:spacing w:line="240" w:lineRule="exact"/>
              <w:rPr>
                <w:rFonts w:eastAsia="仿宋_GB2312"/>
                <w:sz w:val="18"/>
                <w:szCs w:val="18"/>
              </w:rPr>
            </w:pPr>
            <w:r>
              <w:rPr>
                <w:rFonts w:eastAsia="仿宋_GB2312"/>
                <w:sz w:val="18"/>
                <w:szCs w:val="18"/>
              </w:rPr>
              <w:t>9.79</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936" w:type="dxa"/>
            <w:gridSpan w:val="4"/>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其中：  一般公共预算：498.18</w:t>
            </w:r>
          </w:p>
        </w:tc>
        <w:tc>
          <w:tcPr>
            <w:tcW w:w="3936" w:type="dxa"/>
            <w:gridSpan w:val="4"/>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其中：基本支出：490.11</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pPr>
              <w:spacing w:line="240" w:lineRule="exact"/>
              <w:ind w:firstLine="720" w:firstLineChars="400"/>
              <w:jc w:val="left"/>
              <w:rPr>
                <w:rFonts w:eastAsia="仿宋_GB2312"/>
                <w:color w:val="000000"/>
                <w:kern w:val="0"/>
                <w:sz w:val="18"/>
                <w:szCs w:val="18"/>
              </w:rPr>
            </w:pPr>
            <w:r>
              <w:rPr>
                <w:rFonts w:eastAsia="仿宋_GB2312"/>
                <w:color w:val="000000"/>
                <w:kern w:val="0"/>
                <w:sz w:val="18"/>
                <w:szCs w:val="18"/>
              </w:rPr>
              <w:t>政府性基金拨款：</w:t>
            </w:r>
          </w:p>
        </w:tc>
        <w:tc>
          <w:tcPr>
            <w:tcW w:w="3936" w:type="dxa"/>
            <w:gridSpan w:val="4"/>
            <w:tcBorders>
              <w:top w:val="nil"/>
              <w:left w:val="nil"/>
              <w:bottom w:val="single" w:color="auto" w:sz="4" w:space="0"/>
              <w:right w:val="single" w:color="auto" w:sz="4" w:space="0"/>
            </w:tcBorders>
            <w:noWrap/>
            <w:vAlign w:val="center"/>
          </w:tcPr>
          <w:p>
            <w:pPr>
              <w:spacing w:line="240" w:lineRule="exact"/>
              <w:ind w:firstLine="540" w:firstLineChars="300"/>
              <w:jc w:val="left"/>
              <w:rPr>
                <w:rFonts w:eastAsia="仿宋_GB2312"/>
                <w:color w:val="000000"/>
                <w:kern w:val="0"/>
                <w:sz w:val="18"/>
                <w:szCs w:val="18"/>
              </w:rPr>
            </w:pPr>
            <w:r>
              <w:rPr>
                <w:rFonts w:hint="eastAsia" w:eastAsia="仿宋_GB2312"/>
                <w:color w:val="000000"/>
                <w:kern w:val="0"/>
                <w:sz w:val="18"/>
                <w:szCs w:val="18"/>
              </w:rPr>
              <w:t>专项资金</w:t>
            </w:r>
            <w:r>
              <w:rPr>
                <w:rFonts w:eastAsia="仿宋_GB2312"/>
                <w:color w:val="000000"/>
                <w:kern w:val="0"/>
                <w:sz w:val="18"/>
                <w:szCs w:val="18"/>
              </w:rPr>
              <w:t>：175.52</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纳入专户管理的非税收入拨款：158.31</w:t>
            </w:r>
          </w:p>
        </w:tc>
        <w:tc>
          <w:tcPr>
            <w:tcW w:w="3936" w:type="dxa"/>
            <w:gridSpan w:val="4"/>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bottom w:val="single" w:color="000000"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pPr>
              <w:spacing w:line="240" w:lineRule="exact"/>
              <w:ind w:firstLine="1260" w:firstLineChars="700"/>
              <w:jc w:val="left"/>
              <w:rPr>
                <w:rFonts w:eastAsia="仿宋_GB2312"/>
                <w:color w:val="000000"/>
                <w:kern w:val="0"/>
                <w:sz w:val="18"/>
                <w:szCs w:val="18"/>
              </w:rPr>
            </w:pPr>
            <w:r>
              <w:rPr>
                <w:rFonts w:eastAsia="仿宋_GB2312"/>
                <w:color w:val="000000"/>
                <w:kern w:val="0"/>
                <w:sz w:val="18"/>
                <w:szCs w:val="18"/>
              </w:rPr>
              <w:t>其他资金：22.5</w:t>
            </w:r>
          </w:p>
        </w:tc>
        <w:tc>
          <w:tcPr>
            <w:tcW w:w="3936" w:type="dxa"/>
            <w:gridSpan w:val="4"/>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r>
      <w:tr>
        <w:tblPrEx>
          <w:tblCellMar>
            <w:top w:w="0" w:type="dxa"/>
            <w:left w:w="108" w:type="dxa"/>
            <w:bottom w:w="0" w:type="dxa"/>
            <w:right w:w="108" w:type="dxa"/>
          </w:tblCellMar>
        </w:tblPrEx>
        <w:trPr>
          <w:trHeight w:val="254" w:hRule="atLeast"/>
          <w:jc w:val="center"/>
        </w:trPr>
        <w:tc>
          <w:tcPr>
            <w:tcW w:w="978" w:type="dxa"/>
            <w:vMerge w:val="restart"/>
            <w:tcBorders>
              <w:top w:val="nil"/>
              <w:left w:val="single" w:color="auto" w:sz="4" w:space="0"/>
              <w:bottom w:val="single" w:color="000000" w:sz="4" w:space="0"/>
              <w:right w:val="single" w:color="auto" w:sz="4" w:space="0"/>
            </w:tcBorders>
            <w:noWrap/>
            <w:vAlign w:val="center"/>
          </w:tcPr>
          <w:p>
            <w:pPr>
              <w:spacing w:line="240" w:lineRule="exact"/>
              <w:rPr>
                <w:rFonts w:eastAsia="仿宋_GB2312"/>
                <w:color w:val="000000"/>
                <w:kern w:val="0"/>
                <w:sz w:val="18"/>
                <w:szCs w:val="18"/>
              </w:rPr>
            </w:pPr>
            <w:r>
              <w:rPr>
                <w:rFonts w:eastAsia="仿宋_GB2312"/>
                <w:color w:val="000000"/>
                <w:kern w:val="0"/>
                <w:sz w:val="18"/>
                <w:szCs w:val="18"/>
              </w:rPr>
              <w:t>年度总体目标</w:t>
            </w:r>
          </w:p>
        </w:tc>
        <w:tc>
          <w:tcPr>
            <w:tcW w:w="4157" w:type="dxa"/>
            <w:gridSpan w:val="5"/>
            <w:tcBorders>
              <w:top w:val="single" w:color="auto" w:sz="4" w:space="0"/>
              <w:left w:val="nil"/>
              <w:bottom w:val="single" w:color="auto" w:sz="4" w:space="0"/>
              <w:right w:val="single" w:color="000000" w:sz="4" w:space="0"/>
            </w:tcBorders>
            <w:noWrap/>
            <w:vAlign w:val="center"/>
          </w:tcPr>
          <w:p>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936" w:type="dxa"/>
            <w:gridSpan w:val="4"/>
            <w:tcBorders>
              <w:top w:val="single" w:color="auto" w:sz="4" w:space="0"/>
              <w:left w:val="nil"/>
              <w:bottom w:val="single" w:color="auto" w:sz="4" w:space="0"/>
              <w:right w:val="single" w:color="auto" w:sz="4" w:space="0"/>
            </w:tcBorders>
            <w:noWrap/>
            <w:vAlign w:val="center"/>
          </w:tcPr>
          <w:p>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tblPrEx>
          <w:tblCellMar>
            <w:top w:w="0" w:type="dxa"/>
            <w:left w:w="108" w:type="dxa"/>
            <w:bottom w:w="0" w:type="dxa"/>
            <w:right w:w="108" w:type="dxa"/>
          </w:tblCellMar>
        </w:tblPrEx>
        <w:trPr>
          <w:trHeight w:val="254" w:hRule="atLeast"/>
          <w:jc w:val="center"/>
        </w:trPr>
        <w:tc>
          <w:tcPr>
            <w:tcW w:w="978" w:type="dxa"/>
            <w:vMerge w:val="continue"/>
            <w:tcBorders>
              <w:top w:val="nil"/>
              <w:left w:val="single" w:color="auto" w:sz="4" w:space="0"/>
              <w:bottom w:val="single" w:color="000000"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4157" w:type="dxa"/>
            <w:gridSpan w:val="5"/>
            <w:tcBorders>
              <w:top w:val="single" w:color="auto" w:sz="4" w:space="0"/>
              <w:left w:val="nil"/>
              <w:bottom w:val="single" w:color="auto" w:sz="4" w:space="0"/>
              <w:right w:val="single" w:color="000000" w:sz="4" w:space="0"/>
            </w:tcBorders>
            <w:noWrap/>
            <w:vAlign w:val="center"/>
          </w:tcPr>
          <w:p>
            <w:pPr>
              <w:spacing w:line="240" w:lineRule="exact"/>
              <w:ind w:firstLine="360"/>
              <w:jc w:val="center"/>
              <w:rPr>
                <w:rFonts w:eastAsia="仿宋_GB2312"/>
                <w:color w:val="000000"/>
                <w:kern w:val="0"/>
                <w:sz w:val="18"/>
                <w:szCs w:val="18"/>
              </w:rPr>
            </w:pPr>
            <w:r>
              <w:rPr>
                <w:rFonts w:eastAsia="仿宋_GB2312"/>
                <w:color w:val="000000"/>
                <w:kern w:val="0"/>
                <w:sz w:val="18"/>
                <w:szCs w:val="18"/>
              </w:rPr>
              <w:t>　　</w:t>
            </w:r>
          </w:p>
        </w:tc>
        <w:tc>
          <w:tcPr>
            <w:tcW w:w="3936" w:type="dxa"/>
            <w:gridSpan w:val="4"/>
            <w:tcBorders>
              <w:top w:val="single" w:color="auto" w:sz="4" w:space="0"/>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498" w:hRule="atLeast"/>
          <w:jc w:val="center"/>
        </w:trPr>
        <w:tc>
          <w:tcPr>
            <w:tcW w:w="978" w:type="dxa"/>
            <w:vMerge w:val="restart"/>
            <w:tcBorders>
              <w:top w:val="nil"/>
              <w:left w:val="single" w:color="auto" w:sz="4" w:space="0"/>
              <w:right w:val="single" w:color="auto" w:sz="4" w:space="0"/>
            </w:tcBorders>
            <w:noWrap/>
            <w:vAlign w:val="center"/>
          </w:tcPr>
          <w:p>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79" w:type="dxa"/>
            <w:tcBorders>
              <w:top w:val="nil"/>
              <w:left w:val="nil"/>
              <w:bottom w:val="single" w:color="auto" w:sz="4" w:space="0"/>
              <w:right w:val="single" w:color="auto" w:sz="4" w:space="0"/>
            </w:tcBorders>
            <w:noWrap/>
            <w:vAlign w:val="center"/>
          </w:tcPr>
          <w:p>
            <w:pPr>
              <w:spacing w:line="240" w:lineRule="exact"/>
              <w:rPr>
                <w:rFonts w:eastAsia="仿宋_GB2312"/>
                <w:color w:val="000000"/>
                <w:kern w:val="0"/>
                <w:sz w:val="18"/>
                <w:szCs w:val="18"/>
              </w:rPr>
            </w:pPr>
            <w:r>
              <w:rPr>
                <w:rFonts w:eastAsia="仿宋_GB2312"/>
                <w:color w:val="000000"/>
                <w:kern w:val="0"/>
                <w:sz w:val="18"/>
                <w:szCs w:val="18"/>
              </w:rPr>
              <w:t>一级指标</w:t>
            </w:r>
          </w:p>
        </w:tc>
        <w:tc>
          <w:tcPr>
            <w:tcW w:w="719" w:type="dxa"/>
            <w:tcBorders>
              <w:top w:val="nil"/>
              <w:left w:val="nil"/>
              <w:bottom w:val="single" w:color="auto" w:sz="4" w:space="0"/>
              <w:right w:val="single" w:color="auto" w:sz="4" w:space="0"/>
            </w:tcBorders>
            <w:noWrap/>
            <w:tcMar>
              <w:top w:w="0" w:type="dxa"/>
              <w:left w:w="0" w:type="dxa"/>
              <w:bottom w:w="0" w:type="dxa"/>
              <w:right w:w="0" w:type="dxa"/>
            </w:tcMar>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二级指标</w:t>
            </w:r>
          </w:p>
        </w:tc>
        <w:tc>
          <w:tcPr>
            <w:tcW w:w="1371"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三级指标</w:t>
            </w:r>
          </w:p>
        </w:tc>
        <w:tc>
          <w:tcPr>
            <w:tcW w:w="1088" w:type="dxa"/>
            <w:tcBorders>
              <w:top w:val="nil"/>
              <w:left w:val="nil"/>
              <w:bottom w:val="single" w:color="auto" w:sz="4" w:space="0"/>
              <w:right w:val="single" w:color="auto" w:sz="4" w:space="0"/>
            </w:tcBorders>
            <w:noWrap/>
            <w:vAlign w:val="center"/>
          </w:tcPr>
          <w:p>
            <w:pPr>
              <w:spacing w:line="240" w:lineRule="exact"/>
              <w:rPr>
                <w:rFonts w:eastAsia="仿宋_GB2312"/>
                <w:color w:val="000000"/>
                <w:kern w:val="0"/>
                <w:sz w:val="18"/>
                <w:szCs w:val="18"/>
              </w:rPr>
            </w:pPr>
            <w:r>
              <w:rPr>
                <w:rFonts w:eastAsia="仿宋_GB2312"/>
                <w:color w:val="000000"/>
                <w:kern w:val="0"/>
                <w:sz w:val="18"/>
                <w:szCs w:val="18"/>
              </w:rPr>
              <w:t>年度指标值</w:t>
            </w:r>
          </w:p>
        </w:tc>
        <w:tc>
          <w:tcPr>
            <w:tcW w:w="1158" w:type="dxa"/>
            <w:tcBorders>
              <w:top w:val="nil"/>
              <w:left w:val="nil"/>
              <w:bottom w:val="single" w:color="auto" w:sz="4" w:space="0"/>
              <w:right w:val="single" w:color="auto" w:sz="4" w:space="0"/>
            </w:tcBorders>
            <w:noWrap/>
            <w:vAlign w:val="center"/>
          </w:tcPr>
          <w:p>
            <w:pPr>
              <w:spacing w:line="240" w:lineRule="exact"/>
              <w:rPr>
                <w:rFonts w:eastAsia="仿宋_GB2312"/>
                <w:color w:val="000000"/>
                <w:kern w:val="0"/>
                <w:sz w:val="18"/>
                <w:szCs w:val="18"/>
              </w:rPr>
            </w:pPr>
            <w:r>
              <w:rPr>
                <w:rFonts w:eastAsia="仿宋_GB2312"/>
                <w:color w:val="000000"/>
                <w:kern w:val="0"/>
                <w:sz w:val="18"/>
                <w:szCs w:val="18"/>
              </w:rPr>
              <w:t>实际完成值</w:t>
            </w:r>
          </w:p>
        </w:tc>
        <w:tc>
          <w:tcPr>
            <w:tcW w:w="643" w:type="dxa"/>
            <w:tcBorders>
              <w:top w:val="nil"/>
              <w:left w:val="nil"/>
              <w:bottom w:val="single" w:color="auto" w:sz="4" w:space="0"/>
              <w:right w:val="single" w:color="auto" w:sz="4" w:space="0"/>
            </w:tcBorders>
            <w:noWrap/>
            <w:vAlign w:val="center"/>
          </w:tcPr>
          <w:p>
            <w:pPr>
              <w:spacing w:line="240" w:lineRule="exact"/>
              <w:rPr>
                <w:rFonts w:eastAsia="仿宋_GB2312"/>
                <w:color w:val="000000"/>
                <w:kern w:val="0"/>
                <w:sz w:val="18"/>
                <w:szCs w:val="18"/>
              </w:rPr>
            </w:pPr>
            <w:r>
              <w:rPr>
                <w:rFonts w:eastAsia="仿宋_GB2312"/>
                <w:color w:val="000000"/>
                <w:kern w:val="0"/>
                <w:sz w:val="18"/>
                <w:szCs w:val="18"/>
              </w:rPr>
              <w:t>分值</w:t>
            </w:r>
          </w:p>
        </w:tc>
        <w:tc>
          <w:tcPr>
            <w:tcW w:w="899" w:type="dxa"/>
            <w:tcBorders>
              <w:top w:val="nil"/>
              <w:left w:val="nil"/>
              <w:bottom w:val="single" w:color="auto" w:sz="4" w:space="0"/>
              <w:right w:val="single" w:color="auto" w:sz="4" w:space="0"/>
            </w:tcBorders>
            <w:noWrap/>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得分</w:t>
            </w:r>
          </w:p>
        </w:tc>
        <w:tc>
          <w:tcPr>
            <w:tcW w:w="1236" w:type="dxa"/>
            <w:tcBorders>
              <w:top w:val="nil"/>
              <w:left w:val="nil"/>
              <w:bottom w:val="single" w:color="auto" w:sz="4" w:space="0"/>
              <w:right w:val="single" w:color="auto" w:sz="4" w:space="0"/>
            </w:tcBorders>
            <w:noWrap/>
            <w:vAlign w:val="center"/>
          </w:tcPr>
          <w:p>
            <w:pPr>
              <w:spacing w:line="240" w:lineRule="exact"/>
              <w:rPr>
                <w:rFonts w:eastAsia="仿宋_GB2312"/>
                <w:color w:val="000000"/>
                <w:kern w:val="0"/>
                <w:sz w:val="18"/>
                <w:szCs w:val="18"/>
              </w:rPr>
            </w:pPr>
            <w:r>
              <w:rPr>
                <w:rFonts w:eastAsia="仿宋_GB2312"/>
                <w:color w:val="000000"/>
                <w:kern w:val="0"/>
                <w:sz w:val="18"/>
                <w:szCs w:val="18"/>
              </w:rPr>
              <w:t>偏差原因分析及改进措施</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979" w:type="dxa"/>
            <w:vMerge w:val="restart"/>
            <w:tcBorders>
              <w:top w:val="nil"/>
              <w:left w:val="nil"/>
              <w:right w:val="single" w:color="auto" w:sz="4" w:space="0"/>
            </w:tcBorders>
            <w:noWrap/>
            <w:vAlign w:val="center"/>
          </w:tcPr>
          <w:p>
            <w:pPr>
              <w:spacing w:line="240" w:lineRule="exact"/>
              <w:rPr>
                <w:rFonts w:eastAsia="仿宋_GB2312"/>
                <w:color w:val="000000"/>
                <w:kern w:val="0"/>
                <w:sz w:val="18"/>
                <w:szCs w:val="18"/>
              </w:rPr>
            </w:pPr>
            <w:r>
              <w:rPr>
                <w:rFonts w:eastAsia="仿宋_GB2312"/>
                <w:color w:val="000000"/>
                <w:kern w:val="0"/>
                <w:sz w:val="18"/>
                <w:szCs w:val="18"/>
              </w:rPr>
              <w:t>产出指标</w:t>
            </w:r>
          </w:p>
          <w:p>
            <w:pPr>
              <w:spacing w:line="240" w:lineRule="exact"/>
              <w:rPr>
                <w:rFonts w:eastAsia="仿宋_GB2312"/>
                <w:color w:val="000000"/>
                <w:kern w:val="0"/>
                <w:sz w:val="18"/>
                <w:szCs w:val="18"/>
              </w:rPr>
            </w:pPr>
            <w:r>
              <w:rPr>
                <w:rFonts w:eastAsia="仿宋_GB2312"/>
                <w:color w:val="000000"/>
                <w:kern w:val="0"/>
                <w:sz w:val="18"/>
                <w:szCs w:val="18"/>
              </w:rPr>
              <w:t>(50分)</w:t>
            </w:r>
          </w:p>
        </w:tc>
        <w:tc>
          <w:tcPr>
            <w:tcW w:w="719" w:type="dxa"/>
            <w:vMerge w:val="restart"/>
            <w:tcBorders>
              <w:top w:val="nil"/>
              <w:left w:val="nil"/>
              <w:right w:val="single" w:color="auto" w:sz="4" w:space="0"/>
            </w:tcBorders>
            <w:noWrap/>
            <w:tcMar>
              <w:top w:w="0" w:type="dxa"/>
              <w:left w:w="0" w:type="dxa"/>
              <w:bottom w:w="0" w:type="dxa"/>
              <w:right w:w="0" w:type="dxa"/>
            </w:tcMar>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数量指标</w:t>
            </w:r>
          </w:p>
        </w:tc>
        <w:tc>
          <w:tcPr>
            <w:tcW w:w="1371" w:type="dxa"/>
            <w:gridSpan w:val="2"/>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课研报告篇数</w:t>
            </w:r>
          </w:p>
        </w:tc>
        <w:tc>
          <w:tcPr>
            <w:tcW w:w="108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5</w:t>
            </w:r>
          </w:p>
        </w:tc>
        <w:tc>
          <w:tcPr>
            <w:tcW w:w="115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ign w:val="center"/>
          </w:tcPr>
          <w:p>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5</w:t>
            </w:r>
          </w:p>
        </w:tc>
        <w:tc>
          <w:tcPr>
            <w:tcW w:w="899"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719" w:type="dxa"/>
            <w:vMerge w:val="continue"/>
            <w:tcBorders>
              <w:left w:val="nil"/>
              <w:right w:val="single" w:color="auto" w:sz="4" w:space="0"/>
            </w:tcBorders>
            <w:noWrap/>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出具建设性报告份数</w:t>
            </w:r>
          </w:p>
        </w:tc>
        <w:tc>
          <w:tcPr>
            <w:tcW w:w="108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1</w:t>
            </w:r>
          </w:p>
        </w:tc>
        <w:tc>
          <w:tcPr>
            <w:tcW w:w="115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3</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ign w:val="center"/>
          </w:tcPr>
          <w:p>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198"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719" w:type="dxa"/>
            <w:vMerge w:val="continue"/>
            <w:tcBorders>
              <w:left w:val="nil"/>
              <w:bottom w:val="single" w:color="auto" w:sz="4" w:space="0"/>
              <w:right w:val="single" w:color="auto" w:sz="4" w:space="0"/>
            </w:tcBorders>
            <w:noWrap/>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主体班及入党积极分子培训期数</w:t>
            </w:r>
          </w:p>
        </w:tc>
        <w:tc>
          <w:tcPr>
            <w:tcW w:w="108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3</w:t>
            </w:r>
          </w:p>
        </w:tc>
        <w:tc>
          <w:tcPr>
            <w:tcW w:w="115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ign w:val="center"/>
          </w:tcPr>
          <w:p>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719" w:type="dxa"/>
            <w:vMerge w:val="restart"/>
            <w:tcBorders>
              <w:top w:val="nil"/>
              <w:left w:val="nil"/>
              <w:right w:val="single" w:color="auto" w:sz="4" w:space="0"/>
            </w:tcBorders>
            <w:noWrap/>
            <w:tcMar>
              <w:top w:w="0" w:type="dxa"/>
              <w:left w:w="0" w:type="dxa"/>
              <w:bottom w:w="0" w:type="dxa"/>
              <w:right w:w="0" w:type="dxa"/>
            </w:tcMar>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质量指标</w:t>
            </w:r>
          </w:p>
        </w:tc>
        <w:tc>
          <w:tcPr>
            <w:tcW w:w="1371" w:type="dxa"/>
            <w:gridSpan w:val="2"/>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专题研究报告合格率</w:t>
            </w:r>
          </w:p>
        </w:tc>
        <w:tc>
          <w:tcPr>
            <w:tcW w:w="1088" w:type="dxa"/>
            <w:tcBorders>
              <w:top w:val="nil"/>
              <w:left w:val="nil"/>
              <w:bottom w:val="single" w:color="auto" w:sz="4" w:space="0"/>
              <w:right w:val="single" w:color="auto" w:sz="4" w:space="0"/>
            </w:tcBorders>
            <w:noWrap/>
            <w:vAlign w:val="center"/>
          </w:tcPr>
          <w:p>
            <w:pPr>
              <w:spacing w:line="240" w:lineRule="exact"/>
              <w:ind w:firstLine="450" w:firstLineChars="250"/>
              <w:jc w:val="left"/>
              <w:rPr>
                <w:rFonts w:eastAsia="仿宋_GB2312"/>
                <w:color w:val="000000"/>
                <w:kern w:val="0"/>
                <w:sz w:val="18"/>
                <w:szCs w:val="18"/>
              </w:rPr>
            </w:pPr>
            <w:r>
              <w:rPr>
                <w:rFonts w:eastAsia="仿宋_GB2312"/>
                <w:color w:val="000000"/>
                <w:kern w:val="0"/>
                <w:sz w:val="18"/>
                <w:szCs w:val="18"/>
              </w:rPr>
              <w:t>100　</w:t>
            </w:r>
          </w:p>
        </w:tc>
        <w:tc>
          <w:tcPr>
            <w:tcW w:w="115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100</w:t>
            </w:r>
          </w:p>
        </w:tc>
        <w:tc>
          <w:tcPr>
            <w:tcW w:w="643" w:type="dxa"/>
            <w:tcBorders>
              <w:top w:val="nil"/>
              <w:left w:val="nil"/>
              <w:bottom w:val="single" w:color="auto" w:sz="4" w:space="0"/>
              <w:right w:val="single" w:color="auto" w:sz="4" w:space="0"/>
            </w:tcBorders>
            <w:noWrap/>
            <w:vAlign w:val="center"/>
          </w:tcPr>
          <w:p>
            <w:pPr>
              <w:spacing w:line="240" w:lineRule="exact"/>
              <w:ind w:firstLine="180" w:firstLineChars="10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pPr>
              <w:spacing w:line="240" w:lineRule="exact"/>
              <w:ind w:firstLine="360" w:firstLineChars="20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719" w:type="dxa"/>
            <w:vMerge w:val="continue"/>
            <w:tcBorders>
              <w:left w:val="nil"/>
              <w:bottom w:val="single" w:color="auto" w:sz="4" w:space="0"/>
              <w:right w:val="single" w:color="auto" w:sz="4" w:space="0"/>
            </w:tcBorders>
            <w:noWrap/>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各类培训合格率</w:t>
            </w:r>
          </w:p>
        </w:tc>
        <w:tc>
          <w:tcPr>
            <w:tcW w:w="1088" w:type="dxa"/>
            <w:tcBorders>
              <w:top w:val="nil"/>
              <w:left w:val="nil"/>
              <w:bottom w:val="single" w:color="auto" w:sz="4" w:space="0"/>
              <w:right w:val="single" w:color="auto" w:sz="4" w:space="0"/>
            </w:tcBorders>
            <w:noWrap/>
            <w:vAlign w:val="center"/>
          </w:tcPr>
          <w:p>
            <w:pPr>
              <w:spacing w:line="240" w:lineRule="exact"/>
              <w:ind w:firstLine="450" w:firstLineChars="250"/>
              <w:jc w:val="left"/>
              <w:rPr>
                <w:rFonts w:eastAsia="仿宋_GB2312"/>
                <w:color w:val="000000"/>
                <w:kern w:val="0"/>
                <w:sz w:val="18"/>
                <w:szCs w:val="18"/>
              </w:rPr>
            </w:pPr>
            <w:r>
              <w:rPr>
                <w:rFonts w:hint="eastAsia" w:eastAsia="仿宋_GB2312"/>
                <w:color w:val="000000"/>
                <w:kern w:val="0"/>
                <w:sz w:val="18"/>
                <w:szCs w:val="18"/>
              </w:rPr>
              <w:t>90</w:t>
            </w:r>
          </w:p>
        </w:tc>
        <w:tc>
          <w:tcPr>
            <w:tcW w:w="1158" w:type="dxa"/>
            <w:tcBorders>
              <w:top w:val="nil"/>
              <w:left w:val="nil"/>
              <w:bottom w:val="single" w:color="auto" w:sz="4" w:space="0"/>
              <w:right w:val="single" w:color="auto" w:sz="4" w:space="0"/>
            </w:tcBorders>
            <w:noWrap/>
            <w:vAlign w:val="center"/>
          </w:tcPr>
          <w:p>
            <w:pPr>
              <w:spacing w:line="240" w:lineRule="exact"/>
              <w:ind w:firstLine="180" w:firstLineChars="10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100</w:t>
            </w:r>
          </w:p>
        </w:tc>
        <w:tc>
          <w:tcPr>
            <w:tcW w:w="643" w:type="dxa"/>
            <w:tcBorders>
              <w:top w:val="nil"/>
              <w:left w:val="nil"/>
              <w:bottom w:val="single" w:color="auto" w:sz="4" w:space="0"/>
              <w:right w:val="single" w:color="auto" w:sz="4" w:space="0"/>
            </w:tcBorders>
            <w:noWrap/>
            <w:vAlign w:val="center"/>
          </w:tcPr>
          <w:p>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979" w:type="dxa"/>
            <w:vMerge w:val="continue"/>
            <w:tcBorders>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71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时效指标</w:t>
            </w:r>
          </w:p>
        </w:tc>
        <w:tc>
          <w:tcPr>
            <w:tcW w:w="1371" w:type="dxa"/>
            <w:gridSpan w:val="2"/>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培训及时率</w:t>
            </w:r>
            <w:r>
              <w:rPr>
                <w:rFonts w:eastAsia="仿宋_GB2312"/>
                <w:color w:val="000000"/>
                <w:kern w:val="0"/>
                <w:sz w:val="18"/>
                <w:szCs w:val="18"/>
              </w:rPr>
              <w:t>：</w:t>
            </w:r>
          </w:p>
        </w:tc>
        <w:tc>
          <w:tcPr>
            <w:tcW w:w="1088" w:type="dxa"/>
            <w:tcBorders>
              <w:top w:val="nil"/>
              <w:left w:val="nil"/>
              <w:bottom w:val="single" w:color="auto" w:sz="4" w:space="0"/>
              <w:right w:val="single" w:color="auto" w:sz="4" w:space="0"/>
            </w:tcBorders>
            <w:noWrap/>
            <w:vAlign w:val="center"/>
          </w:tcPr>
          <w:p>
            <w:pPr>
              <w:spacing w:line="240" w:lineRule="exact"/>
              <w:ind w:firstLine="450" w:firstLineChars="250"/>
              <w:jc w:val="left"/>
              <w:rPr>
                <w:rFonts w:eastAsia="仿宋_GB2312"/>
                <w:color w:val="000000"/>
                <w:kern w:val="0"/>
                <w:sz w:val="18"/>
                <w:szCs w:val="18"/>
              </w:rPr>
            </w:pPr>
            <w:r>
              <w:rPr>
                <w:rFonts w:eastAsia="仿宋_GB2312"/>
                <w:color w:val="000000"/>
                <w:kern w:val="0"/>
                <w:sz w:val="18"/>
                <w:szCs w:val="18"/>
              </w:rPr>
              <w:t>95</w:t>
            </w:r>
          </w:p>
        </w:tc>
        <w:tc>
          <w:tcPr>
            <w:tcW w:w="115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95</w:t>
            </w:r>
          </w:p>
        </w:tc>
        <w:tc>
          <w:tcPr>
            <w:tcW w:w="643" w:type="dxa"/>
            <w:tcBorders>
              <w:top w:val="nil"/>
              <w:left w:val="nil"/>
              <w:bottom w:val="single" w:color="auto" w:sz="4" w:space="0"/>
              <w:right w:val="single" w:color="auto" w:sz="4" w:space="0"/>
            </w:tcBorders>
            <w:noWrap/>
            <w:vAlign w:val="center"/>
          </w:tcPr>
          <w:p>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15</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15</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710"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979" w:type="dxa"/>
            <w:tcBorders>
              <w:top w:val="single" w:color="auto" w:sz="4" w:space="0"/>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成</w:t>
            </w:r>
            <w:r>
              <w:rPr>
                <w:rFonts w:eastAsia="仿宋_GB2312"/>
                <w:color w:val="000000"/>
                <w:kern w:val="0"/>
                <w:sz w:val="18"/>
                <w:szCs w:val="18"/>
              </w:rPr>
              <w:t>本指标</w:t>
            </w:r>
            <w:r>
              <w:rPr>
                <w:rFonts w:hint="eastAsia" w:eastAsia="仿宋_GB2312"/>
                <w:color w:val="000000"/>
                <w:kern w:val="0"/>
                <w:sz w:val="18"/>
                <w:szCs w:val="18"/>
              </w:rPr>
              <w:t>（10分）</w:t>
            </w:r>
          </w:p>
        </w:tc>
        <w:tc>
          <w:tcPr>
            <w:tcW w:w="71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成本指标</w:t>
            </w:r>
          </w:p>
        </w:tc>
        <w:tc>
          <w:tcPr>
            <w:tcW w:w="1371" w:type="dxa"/>
            <w:gridSpan w:val="2"/>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部门预算支出金额</w:t>
            </w:r>
          </w:p>
        </w:tc>
        <w:tc>
          <w:tcPr>
            <w:tcW w:w="1088" w:type="dxa"/>
            <w:tcBorders>
              <w:top w:val="nil"/>
              <w:left w:val="nil"/>
              <w:bottom w:val="single" w:color="auto" w:sz="4" w:space="0"/>
              <w:right w:val="single" w:color="auto" w:sz="4" w:space="0"/>
            </w:tcBorders>
            <w:noWrap/>
            <w:vAlign w:val="center"/>
          </w:tcPr>
          <w:p>
            <w:pPr>
              <w:spacing w:line="240" w:lineRule="exact"/>
              <w:ind w:left="271" w:leftChars="129" w:firstLine="90" w:firstLineChars="50"/>
              <w:jc w:val="left"/>
              <w:rPr>
                <w:rFonts w:eastAsia="仿宋_GB2312"/>
                <w:color w:val="000000"/>
                <w:kern w:val="0"/>
                <w:sz w:val="18"/>
                <w:szCs w:val="18"/>
              </w:rPr>
            </w:pPr>
            <w:r>
              <w:rPr>
                <w:rFonts w:eastAsia="仿宋_GB2312"/>
                <w:color w:val="000000"/>
                <w:kern w:val="0"/>
                <w:sz w:val="18"/>
                <w:szCs w:val="18"/>
              </w:rPr>
              <w:t>　356.18</w:t>
            </w:r>
          </w:p>
        </w:tc>
        <w:tc>
          <w:tcPr>
            <w:tcW w:w="1158" w:type="dxa"/>
            <w:tcBorders>
              <w:top w:val="nil"/>
              <w:left w:val="nil"/>
              <w:bottom w:val="single" w:color="auto" w:sz="4" w:space="0"/>
              <w:right w:val="single" w:color="auto" w:sz="4" w:space="0"/>
            </w:tcBorders>
            <w:noWrap/>
            <w:vAlign w:val="center"/>
          </w:tcPr>
          <w:p>
            <w:pPr>
              <w:spacing w:line="240" w:lineRule="exact"/>
              <w:ind w:left="181" w:leftChars="86" w:firstLine="180" w:firstLineChars="100"/>
              <w:jc w:val="left"/>
              <w:rPr>
                <w:rFonts w:eastAsia="仿宋_GB2312"/>
                <w:color w:val="000000"/>
                <w:kern w:val="0"/>
                <w:sz w:val="18"/>
                <w:szCs w:val="18"/>
              </w:rPr>
            </w:pPr>
            <w:r>
              <w:rPr>
                <w:rFonts w:eastAsia="仿宋_GB2312"/>
                <w:color w:val="000000"/>
                <w:kern w:val="0"/>
                <w:sz w:val="18"/>
                <w:szCs w:val="18"/>
              </w:rPr>
              <w:t>　483.61</w:t>
            </w:r>
          </w:p>
        </w:tc>
        <w:tc>
          <w:tcPr>
            <w:tcW w:w="643" w:type="dxa"/>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p>
          <w:p>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10</w:t>
            </w:r>
          </w:p>
        </w:tc>
        <w:tc>
          <w:tcPr>
            <w:tcW w:w="899" w:type="dxa"/>
            <w:tcBorders>
              <w:top w:val="nil"/>
              <w:left w:val="nil"/>
              <w:bottom w:val="single" w:color="auto" w:sz="4" w:space="0"/>
              <w:right w:val="single" w:color="auto" w:sz="4" w:space="0"/>
            </w:tcBorders>
            <w:noWrap/>
            <w:vAlign w:val="center"/>
          </w:tcPr>
          <w:p>
            <w:pPr>
              <w:spacing w:line="240" w:lineRule="exact"/>
              <w:ind w:left="271" w:leftChars="129" w:firstLine="90" w:firstLineChars="50"/>
              <w:jc w:val="left"/>
              <w:rPr>
                <w:rFonts w:eastAsia="仿宋_GB2312"/>
                <w:color w:val="000000"/>
                <w:kern w:val="0"/>
                <w:sz w:val="18"/>
                <w:szCs w:val="18"/>
              </w:rPr>
            </w:pPr>
            <w:r>
              <w:rPr>
                <w:rFonts w:eastAsia="仿宋_GB2312"/>
                <w:color w:val="000000"/>
                <w:kern w:val="0"/>
                <w:sz w:val="18"/>
                <w:szCs w:val="18"/>
              </w:rPr>
              <w:t>　8.21</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976"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979" w:type="dxa"/>
            <w:tcBorders>
              <w:top w:val="single" w:color="auto" w:sz="4" w:space="0"/>
              <w:left w:val="nil"/>
              <w:right w:val="single" w:color="auto" w:sz="4" w:space="0"/>
            </w:tcBorders>
            <w:noWrap/>
            <w:vAlign w:val="center"/>
          </w:tcPr>
          <w:p>
            <w:pPr>
              <w:spacing w:line="240" w:lineRule="exact"/>
              <w:jc w:val="left"/>
              <w:rPr>
                <w:rFonts w:eastAsia="仿宋_GB2312"/>
                <w:color w:val="000000"/>
                <w:kern w:val="0"/>
                <w:sz w:val="18"/>
                <w:szCs w:val="18"/>
              </w:rPr>
            </w:pPr>
            <w:r>
              <w:rPr>
                <w:rFonts w:eastAsia="仿宋_GB2312"/>
                <w:color w:val="000000"/>
                <w:kern w:val="0"/>
                <w:sz w:val="18"/>
                <w:szCs w:val="18"/>
              </w:rPr>
              <w:t>效益指标</w:t>
            </w:r>
            <w:r>
              <w:rPr>
                <w:rFonts w:hint="eastAsia" w:eastAsia="仿宋_GB2312"/>
                <w:color w:val="000000"/>
                <w:kern w:val="0"/>
                <w:sz w:val="18"/>
                <w:szCs w:val="18"/>
              </w:rPr>
              <w:t>（20分）</w:t>
            </w:r>
          </w:p>
        </w:tc>
        <w:tc>
          <w:tcPr>
            <w:tcW w:w="71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社会</w:t>
            </w:r>
          </w:p>
          <w:p>
            <w:pPr>
              <w:spacing w:line="240" w:lineRule="exact"/>
              <w:jc w:val="center"/>
              <w:rPr>
                <w:rFonts w:eastAsia="仿宋_GB2312"/>
                <w:color w:val="000000"/>
                <w:kern w:val="0"/>
                <w:sz w:val="18"/>
                <w:szCs w:val="18"/>
              </w:rPr>
            </w:pPr>
            <w:r>
              <w:rPr>
                <w:rFonts w:eastAsia="仿宋_GB2312"/>
                <w:color w:val="000000"/>
                <w:kern w:val="0"/>
                <w:sz w:val="18"/>
                <w:szCs w:val="18"/>
              </w:rPr>
              <w:t>效益</w:t>
            </w:r>
          </w:p>
          <w:p>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1371" w:type="dxa"/>
            <w:gridSpan w:val="2"/>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提高党员干部素质</w:t>
            </w:r>
          </w:p>
        </w:tc>
        <w:tc>
          <w:tcPr>
            <w:tcW w:w="108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提高</w:t>
            </w:r>
          </w:p>
        </w:tc>
        <w:tc>
          <w:tcPr>
            <w:tcW w:w="1158" w:type="dxa"/>
            <w:tcBorders>
              <w:top w:val="nil"/>
              <w:left w:val="nil"/>
              <w:bottom w:val="single" w:color="auto" w:sz="4" w:space="0"/>
              <w:right w:val="single" w:color="auto" w:sz="4" w:space="0"/>
            </w:tcBorders>
            <w:noWrap/>
            <w:vAlign w:val="center"/>
          </w:tcPr>
          <w:p>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显著提高</w:t>
            </w:r>
          </w:p>
        </w:tc>
        <w:tc>
          <w:tcPr>
            <w:tcW w:w="643" w:type="dxa"/>
            <w:tcBorders>
              <w:top w:val="nil"/>
              <w:left w:val="nil"/>
              <w:bottom w:val="single" w:color="auto" w:sz="4" w:space="0"/>
              <w:right w:val="single" w:color="auto" w:sz="4" w:space="0"/>
            </w:tcBorders>
            <w:noWrap/>
            <w:vAlign w:val="center"/>
          </w:tcPr>
          <w:p>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20</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20</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267" w:hRule="atLeast"/>
          <w:jc w:val="center"/>
        </w:trPr>
        <w:tc>
          <w:tcPr>
            <w:tcW w:w="978" w:type="dxa"/>
            <w:vMerge w:val="continue"/>
            <w:tcBorders>
              <w:left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p>
        </w:tc>
        <w:tc>
          <w:tcPr>
            <w:tcW w:w="979" w:type="dxa"/>
            <w:tcBorders>
              <w:top w:val="single" w:color="auto" w:sz="4" w:space="0"/>
              <w:left w:val="nil"/>
              <w:right w:val="single" w:color="auto" w:sz="4" w:space="0"/>
            </w:tcBorders>
            <w:noWrap/>
            <w:vAlign w:val="center"/>
          </w:tcPr>
          <w:p>
            <w:pPr>
              <w:spacing w:line="240" w:lineRule="exact"/>
              <w:rPr>
                <w:rFonts w:eastAsia="仿宋_GB2312"/>
                <w:color w:val="000000"/>
                <w:kern w:val="0"/>
                <w:sz w:val="18"/>
                <w:szCs w:val="18"/>
              </w:rPr>
            </w:pPr>
            <w:r>
              <w:rPr>
                <w:rFonts w:eastAsia="仿宋_GB2312"/>
                <w:color w:val="000000"/>
                <w:kern w:val="0"/>
                <w:sz w:val="18"/>
                <w:szCs w:val="18"/>
              </w:rPr>
              <w:t>满意度指标（10分）</w:t>
            </w:r>
          </w:p>
        </w:tc>
        <w:tc>
          <w:tcPr>
            <w:tcW w:w="719" w:type="dxa"/>
            <w:tcBorders>
              <w:top w:val="single" w:color="auto" w:sz="4" w:space="0"/>
              <w:left w:val="nil"/>
              <w:right w:val="single" w:color="auto" w:sz="4" w:space="0"/>
            </w:tcBorders>
            <w:noWrap/>
            <w:tcMar>
              <w:top w:w="0" w:type="dxa"/>
              <w:left w:w="0" w:type="dxa"/>
              <w:bottom w:w="0" w:type="dxa"/>
              <w:right w:w="0" w:type="dxa"/>
            </w:tcMar>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服务</w:t>
            </w:r>
          </w:p>
          <w:p>
            <w:pPr>
              <w:spacing w:line="240" w:lineRule="exact"/>
              <w:jc w:val="center"/>
              <w:rPr>
                <w:rFonts w:eastAsia="仿宋_GB2312"/>
                <w:color w:val="000000"/>
                <w:kern w:val="0"/>
                <w:sz w:val="18"/>
                <w:szCs w:val="18"/>
              </w:rPr>
            </w:pPr>
            <w:r>
              <w:rPr>
                <w:rFonts w:eastAsia="仿宋_GB2312"/>
                <w:color w:val="000000"/>
                <w:kern w:val="0"/>
                <w:sz w:val="18"/>
                <w:szCs w:val="18"/>
              </w:rPr>
              <w:t>对象</w:t>
            </w:r>
          </w:p>
          <w:p>
            <w:pPr>
              <w:spacing w:line="240" w:lineRule="exact"/>
              <w:jc w:val="center"/>
              <w:rPr>
                <w:rFonts w:eastAsia="仿宋_GB2312"/>
                <w:color w:val="000000"/>
                <w:kern w:val="0"/>
                <w:sz w:val="18"/>
                <w:szCs w:val="18"/>
              </w:rPr>
            </w:pPr>
            <w:r>
              <w:rPr>
                <w:rFonts w:eastAsia="仿宋_GB2312"/>
                <w:color w:val="000000"/>
                <w:kern w:val="0"/>
                <w:sz w:val="18"/>
                <w:szCs w:val="18"/>
              </w:rPr>
              <w:t>满意度</w:t>
            </w:r>
          </w:p>
          <w:p>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1371" w:type="dxa"/>
            <w:gridSpan w:val="2"/>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学员满意度</w:t>
            </w:r>
          </w:p>
        </w:tc>
        <w:tc>
          <w:tcPr>
            <w:tcW w:w="1088" w:type="dxa"/>
            <w:tcBorders>
              <w:top w:val="nil"/>
              <w:left w:val="nil"/>
              <w:bottom w:val="single" w:color="auto" w:sz="4" w:space="0"/>
              <w:right w:val="single" w:color="auto" w:sz="4" w:space="0"/>
            </w:tcBorders>
            <w:noWrap/>
            <w:vAlign w:val="center"/>
          </w:tcPr>
          <w:p>
            <w:pPr>
              <w:spacing w:line="240" w:lineRule="exact"/>
              <w:ind w:firstLine="450" w:firstLineChars="250"/>
              <w:jc w:val="left"/>
              <w:rPr>
                <w:rFonts w:eastAsia="仿宋_GB2312"/>
                <w:color w:val="000000"/>
                <w:kern w:val="0"/>
                <w:sz w:val="18"/>
                <w:szCs w:val="18"/>
              </w:rPr>
            </w:pPr>
            <w:r>
              <w:rPr>
                <w:rFonts w:eastAsia="仿宋_GB2312"/>
                <w:color w:val="000000"/>
                <w:kern w:val="0"/>
                <w:sz w:val="18"/>
                <w:szCs w:val="18"/>
              </w:rPr>
              <w:t>90　</w:t>
            </w:r>
          </w:p>
        </w:tc>
        <w:tc>
          <w:tcPr>
            <w:tcW w:w="1158"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98</w:t>
            </w:r>
          </w:p>
        </w:tc>
        <w:tc>
          <w:tcPr>
            <w:tcW w:w="643" w:type="dxa"/>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295" w:hRule="atLeast"/>
          <w:jc w:val="center"/>
        </w:trPr>
        <w:tc>
          <w:tcPr>
            <w:tcW w:w="6293" w:type="dxa"/>
            <w:gridSpan w:val="7"/>
            <w:tcBorders>
              <w:top w:val="single" w:color="auto" w:sz="4" w:space="0"/>
              <w:left w:val="single" w:color="auto" w:sz="4" w:space="0"/>
              <w:bottom w:val="single" w:color="auto" w:sz="4" w:space="0"/>
              <w:right w:val="single" w:color="000000" w:sz="4" w:space="0"/>
            </w:tcBorders>
            <w:noWrap/>
            <w:vAlign w:val="center"/>
          </w:tcPr>
          <w:p>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43" w:type="dxa"/>
            <w:tcBorders>
              <w:top w:val="nil"/>
              <w:left w:val="nil"/>
              <w:bottom w:val="single" w:color="auto" w:sz="4" w:space="0"/>
              <w:right w:val="single" w:color="auto" w:sz="4" w:space="0"/>
            </w:tcBorders>
            <w:noWrap/>
            <w:vAlign w:val="center"/>
          </w:tcPr>
          <w:p>
            <w:pPr>
              <w:spacing w:line="240" w:lineRule="exact"/>
              <w:jc w:val="center"/>
              <w:rPr>
                <w:rFonts w:eastAsia="仿宋_GB2312"/>
                <w:color w:val="000000"/>
                <w:kern w:val="0"/>
                <w:sz w:val="18"/>
                <w:szCs w:val="18"/>
              </w:rPr>
            </w:pPr>
            <w:r>
              <w:rPr>
                <w:rFonts w:eastAsia="仿宋_GB2312"/>
                <w:color w:val="000000"/>
                <w:kern w:val="0"/>
                <w:sz w:val="18"/>
                <w:szCs w:val="18"/>
              </w:rPr>
              <w:t>100</w:t>
            </w:r>
          </w:p>
        </w:tc>
        <w:tc>
          <w:tcPr>
            <w:tcW w:w="899"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98</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pPr>
        <w:pStyle w:val="7"/>
        <w:ind w:firstLine="0" w:firstLineChars="0"/>
        <w:rPr>
          <w:rFonts w:ascii="仿宋" w:hAnsi="仿宋" w:eastAsia="仿宋" w:cs="仿宋"/>
          <w:b/>
          <w:bCs/>
          <w:kern w:val="0"/>
          <w:sz w:val="24"/>
        </w:rPr>
      </w:pPr>
      <w:bookmarkStart w:id="0" w:name="_GoBack"/>
      <w:bookmarkEnd w:id="0"/>
    </w:p>
    <w:sectPr>
      <w:pgSz w:w="11905" w:h="16837"/>
      <w:pgMar w:top="1440" w:right="1800" w:bottom="1440" w:left="1800" w:header="720" w:footer="992" w:gutter="0"/>
      <w:pgNumType w:fmt="numberInDash"/>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- 6 -</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abstractNum w:abstractNumId="1">
    <w:nsid w:val="19F337F0"/>
    <w:multiLevelType w:val="multilevel"/>
    <w:tmpl w:val="19F337F0"/>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Y1ZWE4NGI1ZDExMTJlNzRiNGU4MmFlYTBkMWRmNjAifQ=="/>
  </w:docVars>
  <w:rsids>
    <w:rsidRoot w:val="18D538B0"/>
    <w:rsid w:val="00007CFF"/>
    <w:rsid w:val="0005582E"/>
    <w:rsid w:val="00165413"/>
    <w:rsid w:val="001B7B2F"/>
    <w:rsid w:val="001E4169"/>
    <w:rsid w:val="002D56D1"/>
    <w:rsid w:val="00334F22"/>
    <w:rsid w:val="003752C8"/>
    <w:rsid w:val="00440316"/>
    <w:rsid w:val="004732F3"/>
    <w:rsid w:val="004B48CF"/>
    <w:rsid w:val="004C5777"/>
    <w:rsid w:val="0053606A"/>
    <w:rsid w:val="005455E0"/>
    <w:rsid w:val="00576C9D"/>
    <w:rsid w:val="005A2C37"/>
    <w:rsid w:val="00637F57"/>
    <w:rsid w:val="006D301F"/>
    <w:rsid w:val="006F1601"/>
    <w:rsid w:val="00742968"/>
    <w:rsid w:val="00795D7E"/>
    <w:rsid w:val="008A670D"/>
    <w:rsid w:val="008E06FC"/>
    <w:rsid w:val="008F23D3"/>
    <w:rsid w:val="009152CB"/>
    <w:rsid w:val="00915F01"/>
    <w:rsid w:val="00931D7A"/>
    <w:rsid w:val="009361AF"/>
    <w:rsid w:val="009A012D"/>
    <w:rsid w:val="009A7A2E"/>
    <w:rsid w:val="00A469AE"/>
    <w:rsid w:val="00A55C3C"/>
    <w:rsid w:val="00A74589"/>
    <w:rsid w:val="00AC07C4"/>
    <w:rsid w:val="00AE6E6C"/>
    <w:rsid w:val="00B11FEC"/>
    <w:rsid w:val="00CD0AB0"/>
    <w:rsid w:val="00D2758D"/>
    <w:rsid w:val="00D57553"/>
    <w:rsid w:val="00DA0941"/>
    <w:rsid w:val="00DB7B6A"/>
    <w:rsid w:val="00DC667C"/>
    <w:rsid w:val="00E05366"/>
    <w:rsid w:val="00E5756E"/>
    <w:rsid w:val="00E80055"/>
    <w:rsid w:val="00F815ED"/>
    <w:rsid w:val="00F959F7"/>
    <w:rsid w:val="01243634"/>
    <w:rsid w:val="015E0632"/>
    <w:rsid w:val="01600BAC"/>
    <w:rsid w:val="018067FB"/>
    <w:rsid w:val="018E17F6"/>
    <w:rsid w:val="019127B6"/>
    <w:rsid w:val="019329D2"/>
    <w:rsid w:val="01A4698D"/>
    <w:rsid w:val="01B34E22"/>
    <w:rsid w:val="01B6046E"/>
    <w:rsid w:val="01B91D0C"/>
    <w:rsid w:val="01CE57B8"/>
    <w:rsid w:val="01E50D53"/>
    <w:rsid w:val="01EB6738"/>
    <w:rsid w:val="025263E9"/>
    <w:rsid w:val="027A76EE"/>
    <w:rsid w:val="03A013D6"/>
    <w:rsid w:val="03B24C65"/>
    <w:rsid w:val="03B40C48"/>
    <w:rsid w:val="03BB1DE6"/>
    <w:rsid w:val="03D2624F"/>
    <w:rsid w:val="03E272F9"/>
    <w:rsid w:val="04001E75"/>
    <w:rsid w:val="040501C3"/>
    <w:rsid w:val="049A7BD3"/>
    <w:rsid w:val="04A96068"/>
    <w:rsid w:val="04DF7CDC"/>
    <w:rsid w:val="050B0AD1"/>
    <w:rsid w:val="0526590B"/>
    <w:rsid w:val="05323055"/>
    <w:rsid w:val="05AD7DDA"/>
    <w:rsid w:val="05D709B3"/>
    <w:rsid w:val="05E337FC"/>
    <w:rsid w:val="06536294"/>
    <w:rsid w:val="06F51A39"/>
    <w:rsid w:val="07155C37"/>
    <w:rsid w:val="071F2B16"/>
    <w:rsid w:val="07287718"/>
    <w:rsid w:val="074B78AB"/>
    <w:rsid w:val="074D22E3"/>
    <w:rsid w:val="077E558A"/>
    <w:rsid w:val="086C1887"/>
    <w:rsid w:val="091066B6"/>
    <w:rsid w:val="095E3180"/>
    <w:rsid w:val="09833F19"/>
    <w:rsid w:val="099472E7"/>
    <w:rsid w:val="09972933"/>
    <w:rsid w:val="09D347BB"/>
    <w:rsid w:val="09D65B51"/>
    <w:rsid w:val="0A314B36"/>
    <w:rsid w:val="0A40746F"/>
    <w:rsid w:val="0A6273E5"/>
    <w:rsid w:val="0A686BF6"/>
    <w:rsid w:val="0AD96F7B"/>
    <w:rsid w:val="0AE24082"/>
    <w:rsid w:val="0B1D155E"/>
    <w:rsid w:val="0B301291"/>
    <w:rsid w:val="0BC65752"/>
    <w:rsid w:val="0C6B6720"/>
    <w:rsid w:val="0C760F26"/>
    <w:rsid w:val="0C8D3125"/>
    <w:rsid w:val="0C9E6D20"/>
    <w:rsid w:val="0CBD4DA7"/>
    <w:rsid w:val="0CBF1356"/>
    <w:rsid w:val="0CC779D3"/>
    <w:rsid w:val="0CDD2D53"/>
    <w:rsid w:val="0D766D04"/>
    <w:rsid w:val="0DD74424"/>
    <w:rsid w:val="0E8F2773"/>
    <w:rsid w:val="0F31382A"/>
    <w:rsid w:val="0F582B65"/>
    <w:rsid w:val="10060813"/>
    <w:rsid w:val="10196798"/>
    <w:rsid w:val="101A42BE"/>
    <w:rsid w:val="10234F21"/>
    <w:rsid w:val="1024256C"/>
    <w:rsid w:val="107F4121"/>
    <w:rsid w:val="10C57C4D"/>
    <w:rsid w:val="10FD39C4"/>
    <w:rsid w:val="112B6C40"/>
    <w:rsid w:val="11456604"/>
    <w:rsid w:val="11553800"/>
    <w:rsid w:val="115630D4"/>
    <w:rsid w:val="115B4B8E"/>
    <w:rsid w:val="117C2E73"/>
    <w:rsid w:val="11AD363C"/>
    <w:rsid w:val="11E9622E"/>
    <w:rsid w:val="122D02D9"/>
    <w:rsid w:val="123B762F"/>
    <w:rsid w:val="12607728"/>
    <w:rsid w:val="126104A5"/>
    <w:rsid w:val="1292638E"/>
    <w:rsid w:val="12A83E03"/>
    <w:rsid w:val="130F3E82"/>
    <w:rsid w:val="13113C31"/>
    <w:rsid w:val="13C57FC2"/>
    <w:rsid w:val="13DD7ADC"/>
    <w:rsid w:val="13E40E6B"/>
    <w:rsid w:val="13EB2DF0"/>
    <w:rsid w:val="144F5156"/>
    <w:rsid w:val="14740441"/>
    <w:rsid w:val="14B52807"/>
    <w:rsid w:val="14E46C49"/>
    <w:rsid w:val="15023C9F"/>
    <w:rsid w:val="15916DD0"/>
    <w:rsid w:val="15C076B6"/>
    <w:rsid w:val="167504A0"/>
    <w:rsid w:val="1711641B"/>
    <w:rsid w:val="17233A58"/>
    <w:rsid w:val="174148B4"/>
    <w:rsid w:val="1767588B"/>
    <w:rsid w:val="176D1177"/>
    <w:rsid w:val="178A1D29"/>
    <w:rsid w:val="18383533"/>
    <w:rsid w:val="184E2D57"/>
    <w:rsid w:val="18956BD8"/>
    <w:rsid w:val="18BC23B6"/>
    <w:rsid w:val="18BD1C8B"/>
    <w:rsid w:val="18D538B0"/>
    <w:rsid w:val="18DF42F7"/>
    <w:rsid w:val="18E032C2"/>
    <w:rsid w:val="19662322"/>
    <w:rsid w:val="19954A44"/>
    <w:rsid w:val="19A277FE"/>
    <w:rsid w:val="1A073B05"/>
    <w:rsid w:val="1A27385F"/>
    <w:rsid w:val="1A440A74"/>
    <w:rsid w:val="1A5605E9"/>
    <w:rsid w:val="1B326960"/>
    <w:rsid w:val="1B8B42C2"/>
    <w:rsid w:val="1BCD6688"/>
    <w:rsid w:val="1BD417C5"/>
    <w:rsid w:val="1CB05D8E"/>
    <w:rsid w:val="1CCF110C"/>
    <w:rsid w:val="1D743260"/>
    <w:rsid w:val="1D9456B0"/>
    <w:rsid w:val="1DEB1048"/>
    <w:rsid w:val="1E0F4D36"/>
    <w:rsid w:val="1E164317"/>
    <w:rsid w:val="1EDD568A"/>
    <w:rsid w:val="1F0E3240"/>
    <w:rsid w:val="1F3A2287"/>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3D04F68"/>
    <w:rsid w:val="24457704"/>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84457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AE79CE"/>
    <w:rsid w:val="2CB6067E"/>
    <w:rsid w:val="2CC66F08"/>
    <w:rsid w:val="2CCA094F"/>
    <w:rsid w:val="2D610085"/>
    <w:rsid w:val="2DB41456"/>
    <w:rsid w:val="2DE27D71"/>
    <w:rsid w:val="2E1B3283"/>
    <w:rsid w:val="2E2B5E45"/>
    <w:rsid w:val="2E515D05"/>
    <w:rsid w:val="2EA43279"/>
    <w:rsid w:val="2F0E4B96"/>
    <w:rsid w:val="2F9C21A2"/>
    <w:rsid w:val="2FC02FA6"/>
    <w:rsid w:val="2FD22068"/>
    <w:rsid w:val="2FDC6A42"/>
    <w:rsid w:val="2FE57F9B"/>
    <w:rsid w:val="2FF4311D"/>
    <w:rsid w:val="2FF745A3"/>
    <w:rsid w:val="304D7ABC"/>
    <w:rsid w:val="30901D07"/>
    <w:rsid w:val="30B11567"/>
    <w:rsid w:val="30F878AC"/>
    <w:rsid w:val="315F16D9"/>
    <w:rsid w:val="316450AF"/>
    <w:rsid w:val="317433D6"/>
    <w:rsid w:val="318A0E4C"/>
    <w:rsid w:val="31BE0AF5"/>
    <w:rsid w:val="31C37EBA"/>
    <w:rsid w:val="31D2634F"/>
    <w:rsid w:val="31D40319"/>
    <w:rsid w:val="31E542D4"/>
    <w:rsid w:val="31FE7144"/>
    <w:rsid w:val="32052280"/>
    <w:rsid w:val="32081D71"/>
    <w:rsid w:val="325B4596"/>
    <w:rsid w:val="32601BAD"/>
    <w:rsid w:val="3296737C"/>
    <w:rsid w:val="335115F0"/>
    <w:rsid w:val="339A4C4A"/>
    <w:rsid w:val="33A04957"/>
    <w:rsid w:val="33D939C5"/>
    <w:rsid w:val="34B8182C"/>
    <w:rsid w:val="352769B2"/>
    <w:rsid w:val="3546366F"/>
    <w:rsid w:val="35492DCC"/>
    <w:rsid w:val="357070B5"/>
    <w:rsid w:val="35773495"/>
    <w:rsid w:val="35867B7C"/>
    <w:rsid w:val="35C42453"/>
    <w:rsid w:val="36C95F72"/>
    <w:rsid w:val="372907BF"/>
    <w:rsid w:val="376A3C4C"/>
    <w:rsid w:val="377D6D5D"/>
    <w:rsid w:val="37CD55EE"/>
    <w:rsid w:val="37D270A9"/>
    <w:rsid w:val="38433C8A"/>
    <w:rsid w:val="38761300"/>
    <w:rsid w:val="38D330D8"/>
    <w:rsid w:val="38E452E6"/>
    <w:rsid w:val="38F90665"/>
    <w:rsid w:val="38FC7F68"/>
    <w:rsid w:val="39194863"/>
    <w:rsid w:val="391E32EE"/>
    <w:rsid w:val="39C175C6"/>
    <w:rsid w:val="3A754CC9"/>
    <w:rsid w:val="3A771FCA"/>
    <w:rsid w:val="3B082DE1"/>
    <w:rsid w:val="3B2E2848"/>
    <w:rsid w:val="3B4A51A8"/>
    <w:rsid w:val="3B563B4D"/>
    <w:rsid w:val="3B820DE6"/>
    <w:rsid w:val="3B90705F"/>
    <w:rsid w:val="3BDC6748"/>
    <w:rsid w:val="3BDD7DCA"/>
    <w:rsid w:val="3BEA370A"/>
    <w:rsid w:val="3C6B3628"/>
    <w:rsid w:val="3D7E738B"/>
    <w:rsid w:val="3DCE3E6E"/>
    <w:rsid w:val="3DFE0BF8"/>
    <w:rsid w:val="3E030FFE"/>
    <w:rsid w:val="3E3A69A0"/>
    <w:rsid w:val="3EAD617A"/>
    <w:rsid w:val="3ECD3124"/>
    <w:rsid w:val="3ED43706"/>
    <w:rsid w:val="3EE61364"/>
    <w:rsid w:val="3EF115E1"/>
    <w:rsid w:val="3EF142B8"/>
    <w:rsid w:val="3F3E3276"/>
    <w:rsid w:val="3F5017C4"/>
    <w:rsid w:val="3F520ACF"/>
    <w:rsid w:val="3F830C89"/>
    <w:rsid w:val="3F852C53"/>
    <w:rsid w:val="3F966C0E"/>
    <w:rsid w:val="3F9A003D"/>
    <w:rsid w:val="3FEA0343"/>
    <w:rsid w:val="401B00E9"/>
    <w:rsid w:val="40363F4D"/>
    <w:rsid w:val="4044666A"/>
    <w:rsid w:val="40550877"/>
    <w:rsid w:val="409A272E"/>
    <w:rsid w:val="413B181B"/>
    <w:rsid w:val="418307B3"/>
    <w:rsid w:val="41A25D3E"/>
    <w:rsid w:val="41CC2DBB"/>
    <w:rsid w:val="42A25018"/>
    <w:rsid w:val="42E80618"/>
    <w:rsid w:val="42E867DB"/>
    <w:rsid w:val="4303280C"/>
    <w:rsid w:val="434A21E9"/>
    <w:rsid w:val="435B61A4"/>
    <w:rsid w:val="43925E19"/>
    <w:rsid w:val="439E42E3"/>
    <w:rsid w:val="44A818BD"/>
    <w:rsid w:val="454A2974"/>
    <w:rsid w:val="45E306D3"/>
    <w:rsid w:val="46222FA9"/>
    <w:rsid w:val="46A2058E"/>
    <w:rsid w:val="46D52711"/>
    <w:rsid w:val="47040901"/>
    <w:rsid w:val="470B7EE1"/>
    <w:rsid w:val="47215957"/>
    <w:rsid w:val="474927B8"/>
    <w:rsid w:val="475F4422"/>
    <w:rsid w:val="47743CD8"/>
    <w:rsid w:val="4786135E"/>
    <w:rsid w:val="4874505C"/>
    <w:rsid w:val="488F069E"/>
    <w:rsid w:val="48A56114"/>
    <w:rsid w:val="49136AFE"/>
    <w:rsid w:val="49201968"/>
    <w:rsid w:val="492D2391"/>
    <w:rsid w:val="49DB003F"/>
    <w:rsid w:val="49F04DE4"/>
    <w:rsid w:val="49F977A4"/>
    <w:rsid w:val="4A0B1FA6"/>
    <w:rsid w:val="4ADB406F"/>
    <w:rsid w:val="4B6814D6"/>
    <w:rsid w:val="4BB905DA"/>
    <w:rsid w:val="4BC468B1"/>
    <w:rsid w:val="4C9E5354"/>
    <w:rsid w:val="4D896004"/>
    <w:rsid w:val="4DE4323A"/>
    <w:rsid w:val="4E0B709E"/>
    <w:rsid w:val="4E2A5D47"/>
    <w:rsid w:val="4E7E368F"/>
    <w:rsid w:val="4EDF237F"/>
    <w:rsid w:val="4F3B1723"/>
    <w:rsid w:val="4F702FD7"/>
    <w:rsid w:val="4F7A3E56"/>
    <w:rsid w:val="4F8627FB"/>
    <w:rsid w:val="4FA462B3"/>
    <w:rsid w:val="4FD832AA"/>
    <w:rsid w:val="4FE6773D"/>
    <w:rsid w:val="50192406"/>
    <w:rsid w:val="5039786D"/>
    <w:rsid w:val="506348EA"/>
    <w:rsid w:val="507028FD"/>
    <w:rsid w:val="507C62DD"/>
    <w:rsid w:val="508D1967"/>
    <w:rsid w:val="50B20CEB"/>
    <w:rsid w:val="50E517A3"/>
    <w:rsid w:val="51431169"/>
    <w:rsid w:val="5167040A"/>
    <w:rsid w:val="521E54EC"/>
    <w:rsid w:val="522E2CD6"/>
    <w:rsid w:val="527E3C5D"/>
    <w:rsid w:val="52974D1F"/>
    <w:rsid w:val="52F42171"/>
    <w:rsid w:val="545D5AF4"/>
    <w:rsid w:val="547370C6"/>
    <w:rsid w:val="54CF07A0"/>
    <w:rsid w:val="55164621"/>
    <w:rsid w:val="552F2E36"/>
    <w:rsid w:val="558D41B7"/>
    <w:rsid w:val="55DA1F51"/>
    <w:rsid w:val="55F81F79"/>
    <w:rsid w:val="55FE57CA"/>
    <w:rsid w:val="56231F37"/>
    <w:rsid w:val="562B40FC"/>
    <w:rsid w:val="563C6D66"/>
    <w:rsid w:val="565C4B5A"/>
    <w:rsid w:val="56C43C09"/>
    <w:rsid w:val="57034731"/>
    <w:rsid w:val="578E37A1"/>
    <w:rsid w:val="579D2DD8"/>
    <w:rsid w:val="57DB3900"/>
    <w:rsid w:val="57E00F16"/>
    <w:rsid w:val="58C76ABA"/>
    <w:rsid w:val="58E10AA2"/>
    <w:rsid w:val="592B7F6F"/>
    <w:rsid w:val="59875AED"/>
    <w:rsid w:val="59941FB8"/>
    <w:rsid w:val="59CA59DA"/>
    <w:rsid w:val="59E7033A"/>
    <w:rsid w:val="5A026F22"/>
    <w:rsid w:val="5A696FA1"/>
    <w:rsid w:val="5AC02939"/>
    <w:rsid w:val="5B152C85"/>
    <w:rsid w:val="5B523ED9"/>
    <w:rsid w:val="5B955B74"/>
    <w:rsid w:val="5C3F26AF"/>
    <w:rsid w:val="5C3F445D"/>
    <w:rsid w:val="5C8400C2"/>
    <w:rsid w:val="5C910A31"/>
    <w:rsid w:val="5D415FB3"/>
    <w:rsid w:val="5D6C7344"/>
    <w:rsid w:val="5DF474C9"/>
    <w:rsid w:val="5E007C1C"/>
    <w:rsid w:val="5E211941"/>
    <w:rsid w:val="5E5E5BE2"/>
    <w:rsid w:val="5E84084D"/>
    <w:rsid w:val="5E9640DD"/>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2C14B3"/>
    <w:rsid w:val="6346230D"/>
    <w:rsid w:val="63521D29"/>
    <w:rsid w:val="635B32B1"/>
    <w:rsid w:val="63870498"/>
    <w:rsid w:val="639808F7"/>
    <w:rsid w:val="63AD5DD7"/>
    <w:rsid w:val="63D3192F"/>
    <w:rsid w:val="64354398"/>
    <w:rsid w:val="648C045C"/>
    <w:rsid w:val="64AD03D2"/>
    <w:rsid w:val="6502071E"/>
    <w:rsid w:val="650E0E71"/>
    <w:rsid w:val="65491EA9"/>
    <w:rsid w:val="654C7BEB"/>
    <w:rsid w:val="65A417D5"/>
    <w:rsid w:val="65B57F02"/>
    <w:rsid w:val="65B75B1D"/>
    <w:rsid w:val="65BA2DA7"/>
    <w:rsid w:val="65D06126"/>
    <w:rsid w:val="65ED7F30"/>
    <w:rsid w:val="666A3541"/>
    <w:rsid w:val="670B01C0"/>
    <w:rsid w:val="675D60DF"/>
    <w:rsid w:val="676E209B"/>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CB95B66"/>
    <w:rsid w:val="6D946D06"/>
    <w:rsid w:val="6DB93944"/>
    <w:rsid w:val="6DF27FD2"/>
    <w:rsid w:val="6E615BFD"/>
    <w:rsid w:val="6E71421E"/>
    <w:rsid w:val="6EB505AF"/>
    <w:rsid w:val="6ED21161"/>
    <w:rsid w:val="6ED924EF"/>
    <w:rsid w:val="6F1654F2"/>
    <w:rsid w:val="6F1E7F02"/>
    <w:rsid w:val="6F3040D9"/>
    <w:rsid w:val="6F4F026E"/>
    <w:rsid w:val="6F765F90"/>
    <w:rsid w:val="6F8166E3"/>
    <w:rsid w:val="6F9401C4"/>
    <w:rsid w:val="6FD902CD"/>
    <w:rsid w:val="6FF005A6"/>
    <w:rsid w:val="70C60851"/>
    <w:rsid w:val="70C64CF5"/>
    <w:rsid w:val="714F6A99"/>
    <w:rsid w:val="719B1CDE"/>
    <w:rsid w:val="71DB032D"/>
    <w:rsid w:val="71F0075E"/>
    <w:rsid w:val="723637B5"/>
    <w:rsid w:val="724265FE"/>
    <w:rsid w:val="73301622"/>
    <w:rsid w:val="7343262D"/>
    <w:rsid w:val="73685BF0"/>
    <w:rsid w:val="738B5D82"/>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C06311"/>
    <w:rsid w:val="7AF4420D"/>
    <w:rsid w:val="7AFE508C"/>
    <w:rsid w:val="7B09415C"/>
    <w:rsid w:val="7B3D3D71"/>
    <w:rsid w:val="7B5573A2"/>
    <w:rsid w:val="7C9712F4"/>
    <w:rsid w:val="7D124E1E"/>
    <w:rsid w:val="7D2A54B9"/>
    <w:rsid w:val="7D817E5A"/>
    <w:rsid w:val="7D871368"/>
    <w:rsid w:val="7D887789"/>
    <w:rsid w:val="7D8C697F"/>
    <w:rsid w:val="7D9B4E14"/>
    <w:rsid w:val="7DBA7990"/>
    <w:rsid w:val="7E745D91"/>
    <w:rsid w:val="7E747B3F"/>
    <w:rsid w:val="7EB048EF"/>
    <w:rsid w:val="7F390D88"/>
    <w:rsid w:val="7F930498"/>
    <w:rsid w:val="7FA61257"/>
    <w:rsid w:val="7FBC5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sz w:val="24"/>
    </w:rPr>
  </w:style>
  <w:style w:type="paragraph" w:styleId="4">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99"/>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15DF2-2A54-43D4-8742-5BDE86BEA3DF}">
  <ds:schemaRefs/>
</ds:datastoreItem>
</file>

<file path=docProps/app.xml><?xml version="1.0" encoding="utf-8"?>
<Properties xmlns="http://schemas.openxmlformats.org/officeDocument/2006/extended-properties" xmlns:vt="http://schemas.openxmlformats.org/officeDocument/2006/docPropsVTypes">
  <Template>Normal</Template>
  <Pages>7</Pages>
  <Words>543</Words>
  <Characters>3099</Characters>
  <Lines>25</Lines>
  <Paragraphs>7</Paragraphs>
  <TotalTime>2</TotalTime>
  <ScaleCrop>false</ScaleCrop>
  <LinksUpToDate>false</LinksUpToDate>
  <CharactersWithSpaces>3635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2025-04-21T04:54:00Z</dcterms:created>
  <dc:creator>彭礼孝</dc:creator>
  <cp:lastModifiedBy>嘎猛砸</cp:lastModifiedBy>
  <cp:lastPrinted>2025-04-21T03:57:00Z</cp:lastPrinted>
  <dcterms:modified xsi:type="dcterms:W3CDTF">2025-10-10T08:40:55Z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949D8FA945D246679D0E37B7BA7F8F8A_13</vt:lpwstr>
  </property>
  <property fmtid="{D5CDD505-2E9C-101B-9397-08002B2CF9AE}" pid="4" name="KSOTemplateDocerSaveRecord">
    <vt:lpwstr>eyJoZGlkIjoiZWViMDE0MmVmMjM4ODM3YzJiNDdjNTYwYWJhOTQxMTgiLCJ1c2VySWQiOiI0MzMwMDEzMjMifQ==</vt:lpwstr>
  </property>
</Properties>
</file>