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1A3D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隆回县卫健局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434424F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F80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  <w:bookmarkStart w:id="0" w:name="_GoBack"/>
      <w:bookmarkEnd w:id="0"/>
    </w:p>
    <w:p w14:paraId="1B5CB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（一）机构设置情况、人员编制情况、主要职能职责、202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年的重点工作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、绩效目标设定情况。</w:t>
      </w:r>
    </w:p>
    <w:p w14:paraId="05E7390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隆回县卫生健康局成立于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4月，因机构改革由原隆回县卫生和计划生育局转隶而来，为县人民政府工作部门，属全额拨款行政单位，主要职责为贯彻执行卫生健康工作方针、政策和法律法规，负责全县卫生健康和人口计划生育行政管理工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1B39A2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/>
          <w:color w:val="auto"/>
          <w:kern w:val="0"/>
          <w:sz w:val="32"/>
          <w:szCs w:val="32"/>
          <w:lang w:val="en-US" w:eastAsia="zh-CN"/>
        </w:rPr>
        <w:t>隆回县卫生健康局</w:t>
      </w:r>
      <w:r>
        <w:rPr>
          <w:rFonts w:hint="eastAsia" w:ascii="仿宋" w:hAnsi="仿宋" w:eastAsia="仿宋" w:cs="仿宋"/>
          <w:b w:val="0"/>
          <w:bCs w:val="0"/>
          <w:i w:val="0"/>
          <w:iCs/>
          <w:color w:val="auto"/>
          <w:kern w:val="0"/>
          <w:sz w:val="32"/>
          <w:szCs w:val="32"/>
          <w:lang w:val="zh-CN"/>
        </w:rPr>
        <w:t>内设机构包括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/>
          <w:color w:val="auto"/>
          <w:kern w:val="0"/>
          <w:sz w:val="32"/>
          <w:szCs w:val="32"/>
          <w:lang w:val="zh-CN"/>
        </w:rPr>
        <w:t>：</w:t>
      </w:r>
      <w:r>
        <w:rPr>
          <w:rFonts w:ascii="仿宋_GB2312" w:hAnsi="宋体" w:eastAsia="仿宋_GB2312" w:cs="仿宋_GB2312"/>
          <w:color w:val="333333"/>
          <w:sz w:val="32"/>
          <w:szCs w:val="32"/>
          <w:shd w:val="clear" w:color="auto" w:fill="FFFFFF"/>
        </w:rPr>
        <w:t>办公室、政工股、规划发展与信息化股、财务股、政策法规股、行政审批服务股、疾病预防控制股、医政医管股、中医药管理股、基层卫生健康股、老龄健康股、妇幼健康股、职业健康股、人口监测与家庭发展股、党建办公室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0C5D4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楷体_GB2312" w:cs="楷体_GB2312"/>
          <w:b/>
          <w:b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所属事业单位分别是:</w:t>
      </w:r>
      <w:r>
        <w:rPr>
          <w:rFonts w:ascii="仿宋_GB2312" w:hAnsi="宋体" w:eastAsia="仿宋_GB2312" w:cs="仿宋_GB2312"/>
          <w:color w:val="333333"/>
          <w:sz w:val="32"/>
          <w:szCs w:val="32"/>
          <w:shd w:val="clear" w:color="auto" w:fill="FFFFFF"/>
        </w:rPr>
        <w:t>卫生健康服务中心</w:t>
      </w:r>
    </w:p>
    <w:p w14:paraId="13628A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部门整体支出情况</w:t>
      </w:r>
    </w:p>
    <w:p w14:paraId="6C408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eastAsia="仿宋_GB2312"/>
          <w:sz w:val="32"/>
          <w:szCs w:val="32"/>
          <w:lang w:val="en-US" w:eastAsia="zh-CN"/>
        </w:rPr>
        <w:t>8667.61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其中：基本支出</w:t>
      </w:r>
      <w:r>
        <w:rPr>
          <w:rFonts w:hint="eastAsia" w:eastAsia="仿宋_GB2312"/>
          <w:sz w:val="32"/>
          <w:szCs w:val="32"/>
          <w:lang w:val="en-US" w:eastAsia="zh-CN"/>
        </w:rPr>
        <w:t>1630.66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7036.95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/>
          <w:sz w:val="32"/>
          <w:szCs w:val="32"/>
        </w:rPr>
        <w:t>主要用于以下方面：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8.3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0.1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%；卫生健康支出</w:t>
      </w:r>
      <w:r>
        <w:rPr>
          <w:rFonts w:hint="eastAsia" w:eastAsia="仿宋_GB2312"/>
          <w:sz w:val="32"/>
          <w:szCs w:val="32"/>
          <w:lang w:val="en-US" w:eastAsia="zh-CN"/>
        </w:rPr>
        <w:t>7988.47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万元，占9</w:t>
      </w:r>
      <w:r>
        <w:rPr>
          <w:rFonts w:hint="eastAsia" w:eastAsia="仿宋_GB2312"/>
          <w:sz w:val="32"/>
          <w:szCs w:val="32"/>
          <w:lang w:val="en-US" w:eastAsia="zh-CN"/>
        </w:rPr>
        <w:t>2.16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%；</w:t>
      </w:r>
      <w:r>
        <w:rPr>
          <w:rFonts w:hint="eastAsia" w:eastAsia="仿宋_GB2312"/>
          <w:sz w:val="32"/>
          <w:szCs w:val="32"/>
          <w:lang w:val="en-US" w:eastAsia="zh-CN"/>
        </w:rPr>
        <w:t>城乡社区支出665万元，占7.67%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农林水支出</w:t>
      </w:r>
      <w:r>
        <w:rPr>
          <w:rFonts w:hint="eastAsia" w:eastAsia="仿宋_GB2312"/>
          <w:sz w:val="32"/>
          <w:szCs w:val="32"/>
          <w:lang w:val="en-US" w:eastAsia="zh-CN"/>
        </w:rPr>
        <w:t>5.84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万元，占0.</w:t>
      </w:r>
      <w:r>
        <w:rPr>
          <w:rFonts w:hint="eastAsia" w:eastAsia="仿宋_GB2312"/>
          <w:sz w:val="32"/>
          <w:szCs w:val="32"/>
          <w:lang w:val="en-US" w:eastAsia="zh-CN"/>
        </w:rPr>
        <w:t>07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%。</w:t>
      </w:r>
    </w:p>
    <w:p w14:paraId="7BD6E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70A48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（一）基本支出情况</w:t>
      </w:r>
    </w:p>
    <w:p w14:paraId="1460E7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1630.66</w:t>
      </w:r>
      <w:r>
        <w:rPr>
          <w:rFonts w:hint="eastAsia" w:ascii="Times New Roman" w:hAnsi="Times New Roman" w:eastAsia="仿宋_GB2312"/>
          <w:sz w:val="32"/>
          <w:szCs w:val="32"/>
        </w:rPr>
        <w:t>万元，其中：</w:t>
      </w:r>
    </w:p>
    <w:p w14:paraId="5D5733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1037.82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63.64</w:t>
      </w:r>
      <w:r>
        <w:rPr>
          <w:rFonts w:hint="eastAsia" w:ascii="Times New Roman" w:hAnsi="Times New Roman" w:eastAsia="仿宋_GB2312"/>
          <w:sz w:val="32"/>
          <w:szCs w:val="32"/>
        </w:rPr>
        <w:t>%,主要包括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95DC2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592.85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36.36</w:t>
      </w:r>
      <w:r>
        <w:rPr>
          <w:rFonts w:hint="eastAsia" w:ascii="Times New Roman" w:hAnsi="Times New Roman" w:eastAsia="仿宋_GB2312"/>
          <w:sz w:val="32"/>
          <w:szCs w:val="32"/>
        </w:rPr>
        <w:t>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。</w:t>
      </w:r>
    </w:p>
    <w:p w14:paraId="2BA8A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县级专项资金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情况</w:t>
      </w:r>
    </w:p>
    <w:p w14:paraId="1452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县级专项经费825.445万元。主要用于：计划生育利益导向县配套资金550万元，四类特困老人意外伤害保险经费75.445万元，老年乡村医生生活补助县配套资金100万元，改水改厕及除四害经费10万元，卫生健康事业经费80万元，医疗纠纷调处经费10万元。</w:t>
      </w:r>
    </w:p>
    <w:p w14:paraId="6528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（三）“三公”经费情况</w:t>
      </w:r>
    </w:p>
    <w:p w14:paraId="7B2B9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因公出国（境）费用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因公出国（境）费支出预算为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%，决算数大于（小于）预算数的主要原因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/>
          <w:sz w:val="32"/>
          <w:szCs w:val="32"/>
        </w:rPr>
        <w:t>，与上年相比减少（增加）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万元，减少（增长）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%,减少（增长）的主要原因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29373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2.01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67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预算数的主要原因是</w:t>
      </w:r>
      <w:r>
        <w:rPr>
          <w:rFonts w:hint="eastAsia" w:ascii="仿宋" w:hAnsi="仿宋" w:eastAsia="仿宋" w:cs="仿宋"/>
          <w:sz w:val="32"/>
          <w:szCs w:val="32"/>
        </w:rPr>
        <w:t>按照中央、省和县委县政府要求，厉行节约，继续严控“三公”经费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与上年相比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减少0.99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主要原因是</w:t>
      </w:r>
      <w:r>
        <w:rPr>
          <w:rFonts w:hint="eastAsia" w:ascii="仿宋" w:hAnsi="仿宋" w:eastAsia="仿宋" w:cs="仿宋"/>
          <w:sz w:val="32"/>
          <w:szCs w:val="32"/>
        </w:rPr>
        <w:t>厉行节约，继续严控“三公”经费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35CB1D3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%，决算数大于（小于）预算数的主要原因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/>
          <w:sz w:val="32"/>
          <w:szCs w:val="32"/>
        </w:rPr>
        <w:t>，与上年相比减少（增加）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万元，减少（增长）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%,减少（增长）的主要原因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E5FE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%，决算数大于（小于）预算数的主要原因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/>
          <w:sz w:val="32"/>
          <w:szCs w:val="32"/>
        </w:rPr>
        <w:t>，与上年相比减少（增加）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万元，减少（增长）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%,减少（增长）的主要原因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76F3E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无</w:t>
      </w:r>
    </w:p>
    <w:p w14:paraId="5EFB3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四、国有资本经营预算支出情况：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无</w:t>
      </w:r>
    </w:p>
    <w:p w14:paraId="46EFE4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五、社会保险基金预算支出情况：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无</w:t>
      </w:r>
    </w:p>
    <w:p w14:paraId="451FA9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685D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2"/>
          <w:szCs w:val="32"/>
          <w:lang w:val="en-US" w:eastAsia="zh-CN"/>
        </w:rPr>
        <w:t>1.筑牢传染病防控防线。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县共报告24种传染病合计7155例，发病率727.98/10万，发病数居前五位的依次为：流行性感冒3933例、乙肝900例、肺结核530例（其中病原学阳性371例）、新型冠状病毒感染409例、梅毒336例；截至12月2日全县HIV共确诊977例（2024年新增确诊74例），其中存活689例，在治647例，累计死亡288例。无甲类传染病报告，无不明原因肺炎、非典、脊灰等病例报告。2024年共报告死亡病例20例，其中因艾滋病死亡19例，肺结核1例。规范处置一犬伤多人事件2起、人感染布鲁氏菌病疫情9起、登革热输入疫情5起、疟疾输入疫情51起、诺如病毒感染性腹泻聚集性疫情2起，均无重症死亡病例。</w:t>
      </w:r>
    </w:p>
    <w:p w14:paraId="469CF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2.持续深化公立医院改革。一是统筹高质量发展。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以县政府办名义下发了《隆回县推动公立医院高质量发展实施方案》，依托县级公立医院现有医疗资源，促进</w:t>
      </w:r>
      <w:r>
        <w:rPr>
          <w:rFonts w:hint="eastAsia" w:ascii="仿宋" w:hAnsi="仿宋" w:eastAsia="仿宋" w:cs="仿宋"/>
          <w:sz w:val="32"/>
          <w:szCs w:val="32"/>
        </w:rPr>
        <w:t>公立医院发展方式从规模扩张转向提质增效，运行模式从粗放管理转向精细化管理，资源配置从注重物质要素转向更加注重人才技术要素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构建优质高效的公立医院发展体系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二是加快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薪酬制度改革。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出台了《隆回县公立医院薪酬制度改革实施方案》，在</w:t>
      </w:r>
      <w:r>
        <w:rPr>
          <w:rFonts w:hint="eastAsia" w:ascii="仿宋" w:hAnsi="仿宋" w:eastAsia="仿宋" w:cs="仿宋"/>
          <w:sz w:val="32"/>
          <w:szCs w:val="32"/>
        </w:rPr>
        <w:t>强化公立医院公益属性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与医疗、医保、医药联动改革相衔接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的基础上，落实“两个允许”</w:t>
      </w:r>
      <w:r>
        <w:rPr>
          <w:rFonts w:hint="eastAsia" w:ascii="仿宋" w:hAnsi="仿宋" w:eastAsia="仿宋" w:cs="仿宋"/>
          <w:sz w:val="32"/>
          <w:szCs w:val="32"/>
        </w:rPr>
        <w:t>，遵循“突出公益导向，坚持按劳分配，注重统筹兼顾，合理动态调整”原则，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充分落实公立医院分配自主权，</w:t>
      </w:r>
      <w:r>
        <w:rPr>
          <w:rFonts w:hint="eastAsia" w:ascii="仿宋" w:hAnsi="仿宋" w:eastAsia="仿宋" w:cs="仿宋"/>
          <w:sz w:val="32"/>
          <w:szCs w:val="32"/>
        </w:rPr>
        <w:t>建立适应医疗行业特点的公立医院薪酬制度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目前，县中医医院已建立好符合单位实际的绩效考核方案，县人民医院正在邀请第三方公司打造更科学全面的考核制度。</w:t>
      </w:r>
    </w:p>
    <w:p w14:paraId="5932B50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3.加强医疗服务能力提升。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县人民医院在成功创建三级综合医院的基础上，持续开展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卓越服务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、重点学科建设、医疗质量提升等专项行动，不断推进整体能力提升，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3月份接受了三级医院等级评审专家现场验收，并按指导意见开展为期半年的整改提升，10月通过省卫健委等级评审，11月14日正式发文确定晋升三级甲等综合性医院，成为全市首家县级三甲医院。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县二人民医院全力加强二甲医院创建，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10月中旬通过了市级评审验收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金石桥镇中心卫生院通过两年的建设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在9月底通过了县域医疗次中心建设验收，达到了A级建设标准。</w:t>
      </w:r>
    </w:p>
    <w:p w14:paraId="08666C2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4.稳步推进紧密型医共体建设。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一是推进“五个一体化”建设。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依托县人民医院统筹资金5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0万元，建设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5G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”智慧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急救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体系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县域医共体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信息平台；对医共体建设中人员管理、药品管理、管理考核的一体化建设，在原有基础上，按照省级要求，进行了全面细化，形成了规范性指导制度。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是推进远程诊疗。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出台了远程医疗服务实施方案，依托县人民医院和县中医医院建设我县远程医疗服务中心，提供远程心电、远程DR/CT诊疗服务，构建乡级检查、县级诊断、县乡同治的医疗服务新模式，进一步提升基层诊疗服务水平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今年来已实施15000余例。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是推行上培下派。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出台了实施方案，完善与紧密医共体建设相适应的人才双向交流机制。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基层卫生院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选派业务骨干到牵头医院进修培训，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医院选派专家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下沉卫生院开展帮扶，今年来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下派基层医务人员21人，上培基层医务人员162人。</w:t>
      </w:r>
    </w:p>
    <w:p w14:paraId="71843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强化基本公共卫生服务。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全县572个行政村（社区）卫生室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医保定点报销开通率和使用率均达100%，截至12月底，全县普通、两病门诊报账累计109.15万人次，报销金额7428.83万元；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纳入医保报销的两病患者健康管理覆盖率达100%，对高血压患者分级分层达100%，“两病”就诊人数达104916，高血压、糖尿病就诊购药率分别达93.36%、93%，26家卫生院全部开设慢病“一站式”门诊，进一步推进医防融合；全人群累计签约770559人，签约率达77.65%；健康教育、预防接种、传染病与突发公共卫生事件、卫生监督协管等按要求开展。全县常住人口992300人，建立居民电子健康档案984200份，建档率达99.18%，活动档案数932094份，活动率达94.71%，需公卫服务评价656605人次，已完成评价464438人次，评价率达70.73%，已认领档案824424份，认领率达83.77%；老年人健康体检任务数113400人，完成体检数118686人，完成率达104.66%，超额完成省级指标，超额完成的有23家乡镇卫生院；四类慢病随访服务531403人次，高血压指标任务完成率110.5%，糖尿病指标任务完成率106.87%，规范管理率分别为83.52%、83.13%，严重精神障碍患者规范管理率99.66%，肺结核病规范管理率达99.42%；0-6岁儿童健康管理率98.99%，孕产妇健康管理率99.58%；老年人、儿童中医药管理率分别达88.97%、90.13 %；均超额完成国家规定的任务指标。</w:t>
      </w:r>
    </w:p>
    <w:p w14:paraId="790313D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32"/>
          <w:szCs w:val="32"/>
          <w:lang w:val="en-US" w:eastAsia="zh-CN"/>
        </w:rPr>
        <w:t>6.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做好计生惠民政策落实。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32"/>
          <w:szCs w:val="32"/>
          <w:lang w:val="en-US" w:eastAsia="zh-CN"/>
        </w:rPr>
        <w:t>对全县农村计生奖扶对象、特扶对象进行全面核查清理，2024年我县农村奖扶对象年审正常发放对象13529人，新增2467人，退出405人；按每人每月80元的标准发放到位。计生特扶对象年审正常发放489人，新增85人，退出13人。其中：独生子女伤残115人，按每人每月580元的标准发放，独生子女死亡374人，按每人每月800元的标准发放；2024年计生并发症对象年审正常发放对象142人，其中：二级1人，按每人每月460元标准发放，三级141人，按每人每月330元标准发放。</w:t>
      </w:r>
    </w:p>
    <w:p w14:paraId="02FCA35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强化医疗卫生监管执法力度。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2024年立案查处违规执业案件42家，处罚42 家，其中一般程序案件18家，简易程序24家。国家“双随机”任务 91家，任务完结率 100/100，行政处罚15家。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一是加大医疗执业执法力度，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开展整顿医疗秩序、打击非法行医专项行动，加大对游医、非法执业的整顿，年内立案3件，结案3件。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二是突出职业和放射卫生监督，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县内有职业病危害因素的86家用人单位现场下达监督意见书，督促用人单位对工作场所进行职业病危害因素现场评价。督促86家用人单位进行职业病危害因素检测，督促用人单位对工作场所岗前、岗中、离岗后职业健康体检675人次，职业健康卫生监督立案11件，结案11 件。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三是突出公共场所、学校生活饮用水监管。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对全县 625家各类公共场所进行卫生监督检查，下达监督意见书625 份，立案 6件，结案6件；对全县609家学校（托幼机构）卫生、生活饮用水专项监督，给各乡镇人民政府交办各乡镇供水厂的问题，学校卫生立案 5 件，完成了县域内所有医疗机构医疗废物、废水的全面清理整顿。</w:t>
      </w:r>
    </w:p>
    <w:p w14:paraId="020B0F23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2ACC41B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2024年度我局资金严格按照各项规章制度进行管理，但也还存在一些问题，一是</w:t>
      </w:r>
      <w:r>
        <w:rPr>
          <w:rFonts w:hint="eastAsia" w:ascii="仿宋" w:hAnsi="仿宋" w:eastAsia="仿宋" w:cs="仿宋"/>
          <w:bCs/>
          <w:sz w:val="32"/>
          <w:szCs w:val="32"/>
        </w:rPr>
        <w:t>预算安排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bCs/>
          <w:sz w:val="32"/>
          <w:szCs w:val="32"/>
        </w:rPr>
        <w:t>不够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精准，使</w:t>
      </w:r>
      <w:r>
        <w:rPr>
          <w:rFonts w:hint="eastAsia" w:ascii="仿宋" w:hAnsi="仿宋" w:eastAsia="仿宋" w:cs="仿宋"/>
          <w:bCs/>
          <w:sz w:val="32"/>
          <w:szCs w:val="32"/>
        </w:rPr>
        <w:t>一些费用明细项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实际开支时</w:t>
      </w:r>
      <w:r>
        <w:rPr>
          <w:rFonts w:hint="eastAsia" w:ascii="仿宋" w:hAnsi="仿宋" w:eastAsia="仿宋" w:cs="仿宋"/>
          <w:bCs/>
          <w:sz w:val="32"/>
          <w:szCs w:val="32"/>
        </w:rPr>
        <w:t>存在超支或节余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</w:rPr>
        <w:t>问题，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导致费用调剂使用金额较大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二是资金使用进度过慢，有些资金集中在年度才支付，甚至于年底还有资金节余被收回。三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是专项资金监管力度不够，没有制度出高质量的专项资金考核指标。</w:t>
      </w:r>
    </w:p>
    <w:p w14:paraId="1C3053E3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39A5F19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力度，</w:t>
      </w:r>
      <w:r>
        <w:rPr>
          <w:rFonts w:hint="eastAsia" w:ascii="仿宋" w:hAnsi="仿宋" w:eastAsia="仿宋" w:cs="仿宋"/>
          <w:bCs/>
          <w:sz w:val="32"/>
          <w:szCs w:val="32"/>
        </w:rPr>
        <w:t>科学编制预算，提高预算安排的准确性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6BB15B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32"/>
          <w:szCs w:val="32"/>
        </w:rPr>
        <w:t>要建立健全科学合理的绩效评价指标体系，进一步完善部门绩效评价的管理制度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11104F6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3、加大对专项资金的监管力度，切实提高专项资金的使用效益</w:t>
      </w:r>
    </w:p>
    <w:p w14:paraId="7898961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AC96D28">
      <w:pPr>
        <w:spacing w:line="560" w:lineRule="exact"/>
        <w:ind w:firstLine="5120" w:firstLineChars="16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隆回县卫生健康局</w:t>
      </w:r>
    </w:p>
    <w:p w14:paraId="671A10CA">
      <w:pPr>
        <w:spacing w:line="560" w:lineRule="exact"/>
        <w:ind w:firstLine="5120" w:firstLineChars="16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2025年4月28日</w:t>
      </w:r>
    </w:p>
    <w:p w14:paraId="5B02B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629B1A"/>
    <w:multiLevelType w:val="singleLevel"/>
    <w:tmpl w:val="C3629B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D5779"/>
    <w:rsid w:val="3EC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60" w:lineRule="exact"/>
      <w:ind w:firstLine="640" w:firstLineChars="200"/>
    </w:pPr>
    <w:rPr>
      <w:rFonts w:ascii="黑体" w:hAnsi="黑体" w:eastAsia="黑体" w:cs="仿宋"/>
      <w:color w:val="0070C0"/>
      <w:sz w:val="32"/>
      <w:szCs w:val="32"/>
    </w:rPr>
  </w:style>
  <w:style w:type="paragraph" w:styleId="3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2025-09-25T07:42:00Z</dcterms:created>
  <dc:creator>萍</dc:creator>
  <cp:lastModifiedBy>萍</cp:lastModifiedBy>
  <cp:lastPrinted>2025-09-25T07:43:42Z</cp:lastPrinted>
  <dcterms:modified xsi:type="dcterms:W3CDTF">2025-09-25T08:16:06Z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512B65F936884578BF61DF21840B3479_11</vt:lpwstr>
  </property>
  <property fmtid="{D5CDD505-2E9C-101B-9397-08002B2CF9AE}" pid="4" name="KSOTemplateDocerSaveRecord">
    <vt:lpwstr>eyJoZGlkIjoiZTdiMjA3MjY2ZTc1OTI4MTYzNmVmYTQ2NTIwYzMyOGIiLCJ1c2VySWQiOiI1NjAwMzk1NTkifQ==</vt:lpwstr>
  </property>
</Properties>
</file>