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隆回县创建湖南省健康促进县实施方案</w:t>
      </w:r>
    </w:p>
    <w:p>
      <w:pPr>
        <w:jc w:val="center"/>
        <w:rPr>
          <w:rFonts w:hint="eastAsia" w:ascii="黑体" w:hAnsi="黑体" w:eastAsia="黑体" w:cs="黑体"/>
          <w:sz w:val="44"/>
          <w:szCs w:val="44"/>
        </w:rPr>
      </w:pPr>
      <w:r>
        <w:rPr>
          <w:rFonts w:hint="eastAsia" w:ascii="黑体" w:hAnsi="黑体" w:eastAsia="黑体" w:cs="黑体"/>
          <w:sz w:val="44"/>
          <w:szCs w:val="44"/>
        </w:rPr>
        <w:t>（征求意见稿）</w:t>
      </w:r>
    </w:p>
    <w:p>
      <w:pPr>
        <w:keepNext w:val="0"/>
        <w:keepLines w:val="0"/>
        <w:pageBreakBefore w:val="0"/>
        <w:widowControl w:val="0"/>
        <w:kinsoku/>
        <w:wordWrap/>
        <w:overflowPunct/>
        <w:topLinePunct w:val="0"/>
        <w:autoSpaceDE/>
        <w:autoSpaceDN/>
        <w:bidi w:val="0"/>
        <w:adjustRightInd/>
        <w:snapToGrid/>
        <w:spacing w:line="577"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牢固树立“大健康，大卫生”理念，以保障和促进人的健康为宗旨，</w:t>
      </w:r>
      <w:r>
        <w:rPr>
          <w:rFonts w:hint="default" w:ascii="Times New Roman" w:hAnsi="Times New Roman" w:eastAsia="仿宋_GB2312" w:cs="Times New Roman"/>
          <w:color w:val="auto"/>
          <w:sz w:val="32"/>
          <w:szCs w:val="32"/>
          <w:highlight w:val="none"/>
        </w:rPr>
        <w:t>为深入贯彻落实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“健康中国2030”规划纲要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val="en-US" w:eastAsia="zh-CN"/>
        </w:rPr>
        <w:t>《国务院关于实施健康中国行动的意见》</w:t>
      </w:r>
      <w:r>
        <w:rPr>
          <w:rFonts w:hint="default" w:ascii="Times New Roman" w:hAnsi="Times New Roman" w:eastAsia="仿宋_GB2312" w:cs="Times New Roman"/>
          <w:color w:val="auto"/>
          <w:sz w:val="32"/>
          <w:szCs w:val="32"/>
          <w:highlight w:val="none"/>
        </w:rPr>
        <w:t>精神，全面推进健康促进工作，提高居民健康水平，</w:t>
      </w:r>
      <w:r>
        <w:rPr>
          <w:rFonts w:hint="eastAsia" w:ascii="仿宋" w:hAnsi="仿宋" w:eastAsia="仿宋" w:cs="仿宋"/>
          <w:spacing w:val="0"/>
          <w:position w:val="0"/>
          <w:sz w:val="33"/>
          <w:szCs w:val="33"/>
        </w:rPr>
        <w:t>根据创建湖南省健康促进县要求，结合我县工作实际，特制定本实施方案。</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jc w:val="both"/>
        <w:textAlignment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jc w:val="both"/>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i w:val="0"/>
          <w:caps w:val="0"/>
          <w:color w:val="auto"/>
          <w:spacing w:val="0"/>
          <w:w w:val="100"/>
          <w:kern w:val="0"/>
          <w:sz w:val="32"/>
          <w:szCs w:val="32"/>
          <w:highlight w:val="none"/>
          <w:shd w:val="clear" w:color="auto" w:fill="FFFFFF"/>
          <w:lang w:val="en-US" w:eastAsia="zh-CN" w:bidi="ar"/>
        </w:rPr>
        <w:t>以习近平新时代中国特色社会主义思想和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“健康中国2030”规划纲要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国务院关于实施健康中国行动的意见》</w:t>
      </w:r>
      <w:r>
        <w:rPr>
          <w:rFonts w:hint="default" w:ascii="Times New Roman" w:hAnsi="Times New Roman" w:eastAsia="仿宋_GB2312" w:cs="Times New Roman"/>
          <w:b w:val="0"/>
          <w:bCs w:val="0"/>
          <w:i w:val="0"/>
          <w:caps w:val="0"/>
          <w:color w:val="auto"/>
          <w:spacing w:val="0"/>
          <w:w w:val="100"/>
          <w:kern w:val="0"/>
          <w:sz w:val="32"/>
          <w:szCs w:val="32"/>
          <w:highlight w:val="none"/>
          <w:shd w:val="clear" w:color="auto" w:fill="FFFFFF"/>
          <w:lang w:val="en-US" w:eastAsia="zh-CN" w:bidi="ar"/>
        </w:rPr>
        <w:t>为指导</w:t>
      </w:r>
      <w:r>
        <w:rPr>
          <w:rFonts w:hint="default" w:ascii="Times New Roman" w:hAnsi="Times New Roman" w:eastAsia="仿宋_GB2312" w:cs="Times New Roman"/>
          <w:color w:val="auto"/>
          <w:sz w:val="32"/>
          <w:szCs w:val="32"/>
          <w:highlight w:val="none"/>
        </w:rPr>
        <w:t>，全面落实中央、省、</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决策部署，围绕县委县</w:t>
      </w:r>
      <w:r>
        <w:rPr>
          <w:rFonts w:hint="eastAsia"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sz w:val="32"/>
          <w:szCs w:val="32"/>
          <w:highlight w:val="none"/>
        </w:rPr>
        <w:t>政府</w:t>
      </w:r>
      <w:r>
        <w:rPr>
          <w:rFonts w:hint="default" w:ascii="Times New Roman" w:hAnsi="Times New Roman" w:eastAsia="仿宋_GB2312" w:cs="Times New Roman"/>
          <w:color w:val="auto"/>
          <w:sz w:val="32"/>
          <w:szCs w:val="32"/>
          <w:highlight w:val="none"/>
          <w:lang w:eastAsia="zh-CN"/>
        </w:rPr>
        <w:t>开展</w:t>
      </w:r>
      <w:r>
        <w:rPr>
          <w:rFonts w:hint="eastAsia" w:ascii="Times New Roman" w:hAnsi="Times New Roman" w:eastAsia="仿宋_GB2312" w:cs="Times New Roman"/>
          <w:color w:val="auto"/>
          <w:sz w:val="32"/>
          <w:szCs w:val="32"/>
          <w:highlight w:val="none"/>
          <w:lang w:eastAsia="zh-CN"/>
        </w:rPr>
        <w:t>推进</w:t>
      </w:r>
      <w:r>
        <w:rPr>
          <w:rFonts w:hint="default" w:ascii="Times New Roman" w:hAnsi="Times New Roman" w:eastAsia="仿宋_GB2312" w:cs="Times New Roman"/>
          <w:color w:val="auto"/>
          <w:sz w:val="32"/>
          <w:szCs w:val="32"/>
          <w:highlight w:val="none"/>
          <w:lang w:val="en-US" w:eastAsia="zh-CN"/>
        </w:rPr>
        <w:t>健康</w:t>
      </w:r>
      <w:r>
        <w:rPr>
          <w:rFonts w:hint="eastAsia" w:ascii="Times New Roman" w:hAnsi="Times New Roman" w:eastAsia="仿宋_GB2312" w:cs="Times New Roman"/>
          <w:color w:val="auto"/>
          <w:sz w:val="32"/>
          <w:szCs w:val="32"/>
          <w:highlight w:val="none"/>
          <w:lang w:val="en-US" w:eastAsia="zh-CN"/>
        </w:rPr>
        <w:t>隆回</w:t>
      </w:r>
      <w:r>
        <w:rPr>
          <w:rFonts w:hint="default" w:ascii="Times New Roman" w:hAnsi="Times New Roman" w:eastAsia="仿宋_GB2312" w:cs="Times New Roman"/>
          <w:color w:val="auto"/>
          <w:sz w:val="32"/>
          <w:szCs w:val="32"/>
          <w:highlight w:val="none"/>
          <w:lang w:val="en-US" w:eastAsia="zh-CN"/>
        </w:rPr>
        <w:t>、乡村振兴有效衔接、积极应对人口老龄化</w:t>
      </w:r>
      <w:r>
        <w:rPr>
          <w:rFonts w:hint="default" w:ascii="Times New Roman" w:hAnsi="Times New Roman" w:eastAsia="仿宋_GB2312" w:cs="Times New Roman"/>
          <w:color w:val="auto"/>
          <w:sz w:val="32"/>
          <w:szCs w:val="32"/>
          <w:highlight w:val="none"/>
        </w:rPr>
        <w:t>战略部署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引导群众养成良好的卫生行为习惯和健康生活方式，</w:t>
      </w:r>
      <w:r>
        <w:rPr>
          <w:rFonts w:hint="default" w:ascii="Times New Roman" w:hAnsi="Times New Roman" w:eastAsia="仿宋_GB2312" w:cs="Times New Roman"/>
          <w:color w:val="auto"/>
          <w:sz w:val="32"/>
          <w:szCs w:val="32"/>
          <w:highlight w:val="none"/>
          <w:lang w:eastAsia="zh-CN"/>
        </w:rPr>
        <w:t>全面实施健康</w:t>
      </w:r>
      <w:r>
        <w:rPr>
          <w:rFonts w:hint="default" w:ascii="Times New Roman" w:hAnsi="Times New Roman" w:eastAsia="仿宋_GB2312" w:cs="Times New Roman"/>
          <w:color w:val="auto"/>
          <w:sz w:val="32"/>
          <w:szCs w:val="32"/>
          <w:highlight w:val="none"/>
          <w:lang w:val="en-US" w:eastAsia="zh-CN"/>
        </w:rPr>
        <w:t>黎平</w:t>
      </w:r>
      <w:r>
        <w:rPr>
          <w:rFonts w:hint="default" w:ascii="Times New Roman" w:hAnsi="Times New Roman" w:eastAsia="仿宋_GB2312" w:cs="Times New Roman"/>
          <w:color w:val="auto"/>
          <w:sz w:val="32"/>
          <w:szCs w:val="32"/>
          <w:highlight w:val="none"/>
          <w:lang w:eastAsia="zh-CN"/>
        </w:rPr>
        <w:t>行动，</w:t>
      </w:r>
      <w:r>
        <w:rPr>
          <w:rFonts w:hint="default" w:ascii="Times New Roman" w:hAnsi="Times New Roman" w:eastAsia="仿宋_GB2312" w:cs="Times New Roman"/>
          <w:color w:val="auto"/>
          <w:sz w:val="32"/>
          <w:szCs w:val="32"/>
          <w:highlight w:val="none"/>
        </w:rPr>
        <w:t>提高群众健康素养水平</w:t>
      </w:r>
      <w:r>
        <w:rPr>
          <w:rFonts w:hint="default" w:ascii="Times New Roman" w:hAnsi="Times New Roman" w:eastAsia="仿宋_GB2312" w:cs="Times New Roman"/>
          <w:color w:val="auto"/>
          <w:sz w:val="32"/>
          <w:szCs w:val="32"/>
          <w:highlight w:val="none"/>
          <w:lang w:eastAsia="zh-CN"/>
        </w:rPr>
        <w:t>，紧紧围绕提高人均预期寿命</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eastAsia="zh-CN"/>
        </w:rPr>
        <w:t>目标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jc w:val="both"/>
        <w:textAlignment w:val="center"/>
        <w:rPr>
          <w:rFonts w:hint="default" w:ascii="Times New Roman" w:hAnsi="Times New Roman" w:eastAsia="仿宋_GB2312" w:cs="Times New Roman"/>
          <w:color w:val="4472C4" w:themeColor="accent5"/>
          <w:sz w:val="32"/>
          <w:szCs w:val="32"/>
          <w:highlight w:val="none"/>
          <w:lang w:val="en-US" w:eastAsia="zh-CN"/>
          <w14:textFill>
            <w14:solidFill>
              <w14:schemeClr w14:val="accent5"/>
            </w14:solidFill>
          </w14:textFill>
        </w:rPr>
      </w:pPr>
      <w:r>
        <w:rPr>
          <w:rFonts w:hint="default" w:ascii="Times New Roman" w:hAnsi="Times New Roman" w:eastAsia="黑体" w:cs="Times New Roman"/>
          <w:color w:val="auto"/>
          <w:sz w:val="32"/>
          <w:szCs w:val="32"/>
          <w:highlight w:val="none"/>
        </w:rPr>
        <w:t>二、工作目标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78" w:lineRule="exact"/>
        <w:ind w:firstLine="643" w:firstLineChars="200"/>
        <w:jc w:val="both"/>
        <w:textAlignment w:val="cente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（一）坚持政府主导、全民参与。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倡导政府主导、部门共建、行业促进、群众参与的形式，创新协作联动形式，畅通公众参与渠道，提高公众参与健康县城建设的积极性和主动性。</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78" w:lineRule="exact"/>
        <w:ind w:firstLine="643" w:firstLineChars="200"/>
        <w:jc w:val="both"/>
        <w:textAlignment w:val="cente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（二）坚持以人为本、民生至上。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将人的健康作为城市发展的首要目标，实施“将健康融入所有政策”策略，构建社会、环境、人群三位一体的健康促进模式和管理体系，促进健康服务公平、可及。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78" w:lineRule="exact"/>
        <w:ind w:left="0" w:leftChars="0" w:firstLine="643" w:firstLineChars="200"/>
        <w:jc w:val="both"/>
        <w:textAlignment w:val="cente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（三）坚持问题为导向、城乡统筹。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围绕与人民群众健康息息相关的关键环节和具体问题，深入实施针对性、操作性、现实性较强的措施。推进城乡公共资源均衡配置，逐步实现城乡健康服务均等化，提升建设水平。紧紧围绕健康环境建设、健康社会保障、健康服务水平、健康人群分布、健康文化打造等5大指标扎实推进健康工作。</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方正黑体简体" w:hAnsi="方正黑体简体" w:eastAsia="方正黑体简体" w:cs="方正黑体简体"/>
          <w:spacing w:val="0"/>
          <w:position w:val="0"/>
          <w:sz w:val="33"/>
          <w:szCs w:val="33"/>
        </w:rPr>
      </w:pPr>
      <w:r>
        <w:rPr>
          <w:rFonts w:hint="eastAsia" w:ascii="方正黑体简体" w:hAnsi="方正黑体简体" w:eastAsia="方正黑体简体" w:cs="方正黑体简体"/>
          <w:spacing w:val="0"/>
          <w:position w:val="0"/>
          <w:sz w:val="33"/>
          <w:szCs w:val="33"/>
        </w:rPr>
        <w:t>三、重点建设内容</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方正楷体_GB2312" w:hAnsi="方正楷体_GB2312" w:eastAsia="方正楷体_GB2312" w:cs="方正楷体_GB2312"/>
          <w:b/>
          <w:bCs/>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一)</w:t>
      </w:r>
      <w:r>
        <w:rPr>
          <w:rFonts w:hint="eastAsia" w:ascii="方正楷体_GB2312" w:hAnsi="方正楷体_GB2312" w:eastAsia="方正楷体_GB2312" w:cs="方正楷体_GB2312"/>
          <w:b/>
          <w:bCs/>
          <w:spacing w:val="0"/>
          <w:position w:val="0"/>
          <w:sz w:val="33"/>
          <w:szCs w:val="33"/>
          <w:lang w:eastAsia="zh-CN"/>
        </w:rPr>
        <w:t>完善</w:t>
      </w:r>
      <w:r>
        <w:rPr>
          <w:rFonts w:hint="eastAsia" w:ascii="方正楷体_GB2312" w:hAnsi="方正楷体_GB2312" w:eastAsia="方正楷体_GB2312" w:cs="方正楷体_GB2312"/>
          <w:b/>
          <w:bCs/>
          <w:spacing w:val="0"/>
          <w:position w:val="0"/>
          <w:sz w:val="33"/>
          <w:szCs w:val="33"/>
        </w:rPr>
        <w:t>健康促进机制</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仿宋" w:hAnsi="仿宋" w:eastAsia="仿宋" w:cs="仿宋"/>
          <w:b/>
          <w:bCs/>
          <w:spacing w:val="0"/>
          <w:position w:val="0"/>
          <w:sz w:val="33"/>
          <w:szCs w:val="33"/>
        </w:rPr>
        <w:t>1.构建健康教育网络。</w:t>
      </w:r>
      <w:r>
        <w:rPr>
          <w:rFonts w:hint="eastAsia" w:ascii="仿宋" w:hAnsi="仿宋" w:eastAsia="仿宋" w:cs="仿宋"/>
          <w:spacing w:val="0"/>
          <w:position w:val="0"/>
          <w:sz w:val="33"/>
          <w:szCs w:val="33"/>
        </w:rPr>
        <w:t>建立覆盖县直机关各单位、省市驻隆各单位、乡镇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街道)、学校、机关、企业的健康促进工作网络，各单位明确专</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兼)职人员承担健康促进与健康教育工作。建立以健康教育专业机构为核心、覆盖辖区内所有医院、公共卫生机构、基层医疗卫生机构的健康促进专业网络，相关单位由专职人员承担健康促进与健康教育工作。通过系统培训，提高政府有关部门、专业机构对健康促进县的认识和工作能力。</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仿宋" w:hAnsi="仿宋" w:eastAsia="仿宋" w:cs="仿宋"/>
          <w:b/>
          <w:bCs/>
          <w:spacing w:val="0"/>
          <w:position w:val="0"/>
          <w:sz w:val="33"/>
          <w:szCs w:val="33"/>
        </w:rPr>
        <w:t>2.制定工作方案。</w:t>
      </w:r>
      <w:r>
        <w:rPr>
          <w:rFonts w:hint="eastAsia" w:ascii="仿宋" w:hAnsi="仿宋" w:eastAsia="仿宋" w:cs="仿宋"/>
          <w:spacing w:val="0"/>
          <w:position w:val="0"/>
          <w:sz w:val="33"/>
          <w:szCs w:val="33"/>
        </w:rPr>
        <w:t>开展基线调查和需求评估，了解全县人口、资源、环境、经济和社会发展基本情况，人群健康素养、健康状况、疾病负担和健康需求，健康促进资源和意愿等基本情况，分析主要健康问题，确定重点人群和优先干预的健康问题。结合健康促进县评价标准，研究制定适合我县经济社会发展和卫生健康工作能力的健康促进策略和措施，制定具体的工作计划，明确责任部门和完成时限。</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仿宋" w:hAnsi="仿宋" w:eastAsia="仿宋" w:cs="仿宋"/>
          <w:b/>
          <w:bCs/>
          <w:spacing w:val="0"/>
          <w:position w:val="0"/>
          <w:sz w:val="33"/>
          <w:szCs w:val="33"/>
        </w:rPr>
        <w:t>3.开展培训。</w:t>
      </w:r>
      <w:r>
        <w:rPr>
          <w:rFonts w:hint="eastAsia" w:ascii="仿宋" w:hAnsi="仿宋" w:eastAsia="仿宋" w:cs="仿宋"/>
          <w:spacing w:val="0"/>
          <w:position w:val="0"/>
          <w:sz w:val="33"/>
          <w:szCs w:val="33"/>
        </w:rPr>
        <w:t>通过多种形式，提高各级各部门、专业机构对健康促进县的认识，提高健康促进工作能力。针对政府、部门和健康促进网络人员，通过工作会议、专题讲座、研讨会等形式，提高政府对健康</w:t>
      </w:r>
      <w:r>
        <w:rPr>
          <w:rFonts w:hint="eastAsia" w:ascii="仿宋" w:hAnsi="仿宋" w:eastAsia="仿宋" w:cs="仿宋"/>
          <w:spacing w:val="0"/>
          <w:position w:val="0"/>
          <w:sz w:val="33"/>
          <w:szCs w:val="33"/>
          <w:lang w:eastAsia="zh-CN"/>
        </w:rPr>
        <w:t>促进</w:t>
      </w:r>
      <w:r>
        <w:rPr>
          <w:rFonts w:hint="eastAsia" w:ascii="仿宋" w:hAnsi="仿宋" w:eastAsia="仿宋" w:cs="仿宋"/>
          <w:spacing w:val="0"/>
          <w:position w:val="0"/>
          <w:sz w:val="33"/>
          <w:szCs w:val="33"/>
        </w:rPr>
        <w:t>理念、健康融入所有政策方针的认识，提高发挥部门优势促进居民健康的能力。通过逐级培训、案例分析、模拟演练等方式，卫生健康行政部门和健康促进与教育专业人员对健康</w:t>
      </w:r>
      <w:r>
        <w:rPr>
          <w:rFonts w:hint="eastAsia" w:ascii="仿宋" w:hAnsi="仿宋" w:eastAsia="仿宋" w:cs="仿宋"/>
          <w:spacing w:val="0"/>
          <w:position w:val="0"/>
          <w:sz w:val="33"/>
          <w:szCs w:val="33"/>
          <w:lang w:eastAsia="zh-CN"/>
        </w:rPr>
        <w:t>促进</w:t>
      </w:r>
      <w:r>
        <w:rPr>
          <w:rFonts w:hint="eastAsia" w:ascii="仿宋" w:hAnsi="仿宋" w:eastAsia="仿宋" w:cs="仿宋"/>
          <w:spacing w:val="0"/>
          <w:position w:val="0"/>
          <w:sz w:val="33"/>
          <w:szCs w:val="33"/>
        </w:rPr>
        <w:t>理念、方法和建设内容的理解，掌握健康教育理论和方法，熟悉健康素养、烟草控制、优生优育等基本内容，掌握健康教育计划制定和实施、健康传播材料设计制作、健康讲座和健康咨询、社区诊断和现场调查等基本专业技能。</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仿宋" w:hAnsi="仿宋" w:eastAsia="仿宋" w:cs="仿宋"/>
          <w:b/>
          <w:bCs/>
          <w:spacing w:val="0"/>
          <w:position w:val="0"/>
          <w:sz w:val="33"/>
          <w:szCs w:val="33"/>
        </w:rPr>
        <w:t>4.建立督导检查、技术评估工作机制。</w:t>
      </w:r>
      <w:r>
        <w:rPr>
          <w:rFonts w:hint="eastAsia" w:ascii="仿宋" w:hAnsi="仿宋" w:eastAsia="仿宋" w:cs="仿宋"/>
          <w:spacing w:val="0"/>
          <w:position w:val="0"/>
          <w:sz w:val="33"/>
          <w:szCs w:val="33"/>
        </w:rPr>
        <w:t>定期了解各项工作进展，听取各级各部门和居民的工作建议。定期监测项目组织实施情况，开展项目技术评估。</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方正楷体_GB2312" w:hAnsi="方正楷体_GB2312" w:eastAsia="方正楷体_GB2312" w:cs="方正楷体_GB2312"/>
          <w:b/>
          <w:bCs/>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二)制定健康政策</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落实“将健康融入所有政策”方针，将健康促进县建设列入全县推进健康知识普及行动的重要内容，特别是县卫健部门要主动向县委、县政府领导和部门负责人宣讲“将健康融入所有政策”的概念和意义。建立公共政策健康影响评价制度，成立健康专家委员会，在新政策制定时增加健康影响评价程序，在提出、起草、修订、发布等政策制定环节中，征求健康专家委员会的意见。制定促进健康的公共政策，相关部门和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梳理本部门与健康相关的公共政策，补充、修订或新制定促进健康的公共政策。同时，针对全县需要优先应对的健康问题，开展针对健康生活方式、慢性病防控、传染病防控、妇幼健康、老龄健康、环境与健康等重点健康问题的跨部门健康行动，在多部门协作、资源统筹、社会动员、健康管理、健康产业等方面取得创新。</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方正楷体_GB2312" w:hAnsi="方正楷体_GB2312" w:eastAsia="方正楷体_GB2312" w:cs="方正楷体_GB2312"/>
          <w:b/>
          <w:bCs/>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三)建设健康环境</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建设整洁有序、健康宜居的工作、生活和社会环境。推进污水处理、垃圾无害化处理、公共厕所建设，空气、饮用水、食品安全、环境卫生等影响因素有所改善或达到一定水平；保障居民在教育、住房、就业、安全等方面的基本需求，不断提高人民群众生活水平；建立公平可持续的社会保障制度，健全社会救助体系，积极应对老龄化。</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方正楷体_GB2312" w:hAnsi="方正楷体_GB2312" w:eastAsia="方正楷体_GB2312" w:cs="方正楷体_GB2312"/>
          <w:b/>
          <w:bCs/>
          <w:spacing w:val="0"/>
          <w:position w:val="0"/>
          <w:sz w:val="33"/>
          <w:szCs w:val="33"/>
          <w:lang w:eastAsia="zh-CN"/>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四)建设健康</w:t>
      </w:r>
      <w:r>
        <w:rPr>
          <w:rFonts w:hint="eastAsia" w:ascii="方正楷体_GB2312" w:hAnsi="方正楷体_GB2312" w:eastAsia="方正楷体_GB2312" w:cs="方正楷体_GB2312"/>
          <w:b/>
          <w:bCs/>
          <w:spacing w:val="0"/>
          <w:position w:val="0"/>
          <w:sz w:val="33"/>
          <w:szCs w:val="33"/>
          <w:lang w:eastAsia="zh-CN"/>
        </w:rPr>
        <w:t>社会</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建立健康促进场所建设工作机制，全面开展健康社区</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村)、健康家庭、健康促进医院、健康促进学校、健康促进机关和健康促进企业建设。同时，要建设促进健康的公共环境，建设健康步道、健康主题公园等公共设施，所有室内公共场所、工作场所和公共交通工具全面禁止吸烟，营造促进健康的公共环境。</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方正楷体_GB2312" w:hAnsi="方正楷体_GB2312" w:eastAsia="方正楷体_GB2312" w:cs="方正楷体_GB2312"/>
          <w:b/>
          <w:bCs/>
          <w:spacing w:val="0"/>
          <w:position w:val="0"/>
          <w:sz w:val="33"/>
          <w:szCs w:val="33"/>
          <w:lang w:eastAsia="zh-CN"/>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五)</w:t>
      </w:r>
      <w:r>
        <w:rPr>
          <w:rFonts w:hint="eastAsia" w:ascii="方正楷体_GB2312" w:hAnsi="方正楷体_GB2312" w:eastAsia="方正楷体_GB2312" w:cs="方正楷体_GB2312"/>
          <w:b/>
          <w:bCs/>
          <w:spacing w:val="0"/>
          <w:position w:val="0"/>
          <w:sz w:val="33"/>
          <w:szCs w:val="33"/>
          <w:lang w:eastAsia="zh-CN"/>
        </w:rPr>
        <w:t>提升</w:t>
      </w:r>
      <w:r>
        <w:rPr>
          <w:rFonts w:hint="eastAsia" w:ascii="方正楷体_GB2312" w:hAnsi="方正楷体_GB2312" w:eastAsia="方正楷体_GB2312" w:cs="方正楷体_GB2312"/>
          <w:b/>
          <w:bCs/>
          <w:spacing w:val="0"/>
          <w:position w:val="0"/>
          <w:sz w:val="33"/>
          <w:szCs w:val="33"/>
        </w:rPr>
        <w:t>健康</w:t>
      </w:r>
      <w:r>
        <w:rPr>
          <w:rFonts w:hint="eastAsia" w:ascii="方正楷体_GB2312" w:hAnsi="方正楷体_GB2312" w:eastAsia="方正楷体_GB2312" w:cs="方正楷体_GB2312"/>
          <w:b/>
          <w:bCs/>
          <w:spacing w:val="0"/>
          <w:position w:val="0"/>
          <w:sz w:val="33"/>
          <w:szCs w:val="33"/>
          <w:lang w:eastAsia="zh-CN"/>
        </w:rPr>
        <w:t>服务</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方正楷体_GB2312" w:hAnsi="方正楷体_GB2312" w:eastAsia="方正楷体_GB2312" w:cs="方正楷体_GB2312"/>
          <w:b/>
          <w:bCs/>
          <w:spacing w:val="0"/>
          <w:position w:val="0"/>
          <w:sz w:val="33"/>
          <w:szCs w:val="33"/>
        </w:rPr>
      </w:pPr>
      <w:r>
        <w:rPr>
          <w:rFonts w:hint="eastAsia" w:ascii="仿宋" w:hAnsi="仿宋" w:eastAsia="仿宋" w:cs="仿宋"/>
          <w:spacing w:val="0"/>
          <w:position w:val="0"/>
          <w:sz w:val="33"/>
          <w:szCs w:val="33"/>
          <w:lang w:eastAsia="zh-CN"/>
        </w:rPr>
        <w:t>加强健康服务体系建设，提升健康服务水平，确保县域全体居民健康。</w:t>
      </w:r>
      <w:r>
        <w:rPr>
          <w:rFonts w:hint="eastAsia" w:ascii="仿宋" w:hAnsi="仿宋" w:eastAsia="仿宋" w:cs="仿宋"/>
          <w:spacing w:val="0"/>
          <w:position w:val="0"/>
          <w:sz w:val="33"/>
          <w:szCs w:val="33"/>
        </w:rPr>
        <w:t>定期开展全县居民健康素养调查，根据居民健康素养水平和薄弱环节，制定健康素养促进工作规划或计划，开展有针对性的综合干预，全县居民的健康素养水平、吸烟情况、参加体育锻炼情况等影响居民健康状况的指标有所改善，学生体质达到教育部《国家学生体质健康标准》有关标准。</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方正楷体_GB2312" w:hAnsi="方正楷体_GB2312" w:eastAsia="方正楷体_GB2312" w:cs="方正楷体_GB2312"/>
          <w:b/>
          <w:bCs/>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六)建设健康文化</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充分利用融媒体平台，开设健康教育类专题节目或栏目并加强监管，积极宣传健康促进县理念、工作成效，营造良好的舆论氛围，提高社会影响力。充分利用微博、微信等平台，全面开展健康科普。充分利用世界卫生日、无烟日、高血压日、糖尿病日、结核病日、艾滋病日等时段，多部门联合、深入城乡开展健康主题活动，普及健康知识，提高群众参与程度，增强宣传教育效果，促进健康生活方式形成。</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方正黑体简体" w:hAnsi="方正黑体简体" w:eastAsia="方正黑体简体" w:cs="方正黑体简体"/>
          <w:spacing w:val="0"/>
          <w:position w:val="0"/>
          <w:sz w:val="33"/>
          <w:szCs w:val="33"/>
        </w:rPr>
      </w:pPr>
      <w:r>
        <w:rPr>
          <w:rFonts w:hint="eastAsia" w:ascii="方正黑体简体" w:hAnsi="方正黑体简体" w:eastAsia="方正黑体简体" w:cs="方正黑体简体"/>
          <w:spacing w:val="0"/>
          <w:position w:val="0"/>
          <w:sz w:val="33"/>
          <w:szCs w:val="33"/>
        </w:rPr>
        <w:t>四、时间安排</w:t>
      </w:r>
    </w:p>
    <w:p>
      <w:pPr>
        <w:keepNext w:val="0"/>
        <w:keepLines w:val="0"/>
        <w:pageBreakBefore w:val="0"/>
        <w:widowControl w:val="0"/>
        <w:kinsoku/>
        <w:wordWrap/>
        <w:overflowPunct/>
        <w:topLinePunct w:val="0"/>
        <w:autoSpaceDE/>
        <w:autoSpaceDN/>
        <w:bidi w:val="0"/>
        <w:adjustRightInd/>
        <w:snapToGrid/>
        <w:spacing w:line="577" w:lineRule="exact"/>
        <w:ind w:left="0" w:firstLine="643" w:firstLineChars="200"/>
        <w:textAlignment w:val="auto"/>
        <w:rPr>
          <w:rFonts w:hint="eastAsia" w:ascii="仿宋" w:hAnsi="仿宋" w:eastAsia="仿宋" w:cs="仿宋"/>
          <w:spacing w:val="0"/>
          <w:position w:val="0"/>
          <w:sz w:val="33"/>
          <w:szCs w:val="33"/>
        </w:rPr>
      </w:pPr>
      <w:r>
        <w:rPr>
          <w:rFonts w:hint="eastAsia" w:ascii="楷体" w:hAnsi="楷体" w:eastAsia="楷体" w:cs="楷体"/>
          <w:b/>
          <w:bCs/>
          <w:spacing w:val="0"/>
          <w:position w:val="0"/>
          <w:sz w:val="32"/>
          <w:szCs w:val="32"/>
        </w:rPr>
        <w:t>第一阶段</w:t>
      </w: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rPr>
        <w:t>202</w:t>
      </w:r>
      <w:r>
        <w:rPr>
          <w:rFonts w:hint="eastAsia" w:ascii="楷体" w:hAnsi="楷体" w:eastAsia="楷体" w:cs="楷体"/>
          <w:b/>
          <w:bCs/>
          <w:spacing w:val="0"/>
          <w:position w:val="0"/>
          <w:sz w:val="32"/>
          <w:szCs w:val="32"/>
          <w:lang w:val="en-US" w:eastAsia="zh-CN"/>
        </w:rPr>
        <w:t>3</w:t>
      </w:r>
      <w:r>
        <w:rPr>
          <w:rFonts w:hint="eastAsia" w:ascii="楷体" w:hAnsi="楷体" w:eastAsia="楷体" w:cs="楷体"/>
          <w:b/>
          <w:bCs/>
          <w:spacing w:val="0"/>
          <w:position w:val="0"/>
          <w:sz w:val="32"/>
          <w:szCs w:val="32"/>
        </w:rPr>
        <w:t>年3月-4月)</w:t>
      </w: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rPr>
        <w:t>工作启动。</w:t>
      </w:r>
      <w:r>
        <w:rPr>
          <w:rFonts w:hint="eastAsia" w:ascii="仿宋" w:hAnsi="仿宋" w:eastAsia="仿宋" w:cs="仿宋"/>
          <w:spacing w:val="0"/>
          <w:position w:val="0"/>
          <w:sz w:val="33"/>
          <w:szCs w:val="33"/>
        </w:rPr>
        <w:t>成立隆回县创建湖南省健康促进县工作领导小组，召开全县创建湖南省健康促进县推进会，开展基线调查。</w:t>
      </w:r>
    </w:p>
    <w:p>
      <w:pPr>
        <w:keepNext w:val="0"/>
        <w:keepLines w:val="0"/>
        <w:pageBreakBefore w:val="0"/>
        <w:widowControl w:val="0"/>
        <w:kinsoku/>
        <w:wordWrap/>
        <w:overflowPunct/>
        <w:topLinePunct w:val="0"/>
        <w:autoSpaceDE/>
        <w:autoSpaceDN/>
        <w:bidi w:val="0"/>
        <w:adjustRightInd/>
        <w:snapToGrid/>
        <w:spacing w:line="577" w:lineRule="exact"/>
        <w:ind w:left="0" w:firstLine="643" w:firstLineChars="200"/>
        <w:textAlignment w:val="auto"/>
        <w:rPr>
          <w:rFonts w:hint="eastAsia" w:ascii="仿宋" w:hAnsi="仿宋" w:eastAsia="仿宋" w:cs="仿宋"/>
          <w:spacing w:val="0"/>
          <w:position w:val="0"/>
          <w:sz w:val="33"/>
          <w:szCs w:val="33"/>
        </w:rPr>
      </w:pPr>
      <w:r>
        <w:rPr>
          <w:rFonts w:hint="eastAsia" w:ascii="楷体" w:hAnsi="楷体" w:eastAsia="楷体" w:cs="楷体"/>
          <w:b/>
          <w:bCs/>
          <w:spacing w:val="0"/>
          <w:position w:val="0"/>
          <w:sz w:val="32"/>
          <w:szCs w:val="32"/>
        </w:rPr>
        <w:t>第二阶段</w:t>
      </w: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rPr>
        <w:t>202</w:t>
      </w:r>
      <w:r>
        <w:rPr>
          <w:rFonts w:hint="eastAsia" w:ascii="楷体" w:hAnsi="楷体" w:eastAsia="楷体" w:cs="楷体"/>
          <w:b/>
          <w:bCs/>
          <w:spacing w:val="0"/>
          <w:position w:val="0"/>
          <w:sz w:val="32"/>
          <w:szCs w:val="32"/>
          <w:lang w:val="en-US" w:eastAsia="zh-CN"/>
        </w:rPr>
        <w:t>3</w:t>
      </w:r>
      <w:r>
        <w:rPr>
          <w:rFonts w:hint="eastAsia" w:ascii="楷体" w:hAnsi="楷体" w:eastAsia="楷体" w:cs="楷体"/>
          <w:b/>
          <w:bCs/>
          <w:spacing w:val="0"/>
          <w:position w:val="0"/>
          <w:sz w:val="32"/>
          <w:szCs w:val="32"/>
        </w:rPr>
        <w:t>年5月-7月)</w:t>
      </w: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rPr>
        <w:t>全面达标。</w:t>
      </w:r>
      <w:r>
        <w:rPr>
          <w:rFonts w:hint="eastAsia" w:ascii="仿宋" w:hAnsi="仿宋" w:eastAsia="仿宋" w:cs="仿宋"/>
          <w:spacing w:val="0"/>
          <w:position w:val="0"/>
          <w:sz w:val="33"/>
          <w:szCs w:val="33"/>
        </w:rPr>
        <w:t>各部门深入开展创建工作，细化分解目标任务、落实责任，全面推进健康促进县建设。</w:t>
      </w:r>
    </w:p>
    <w:p>
      <w:pPr>
        <w:keepNext w:val="0"/>
        <w:keepLines w:val="0"/>
        <w:pageBreakBefore w:val="0"/>
        <w:widowControl w:val="0"/>
        <w:kinsoku/>
        <w:wordWrap/>
        <w:overflowPunct/>
        <w:topLinePunct w:val="0"/>
        <w:autoSpaceDE/>
        <w:autoSpaceDN/>
        <w:bidi w:val="0"/>
        <w:adjustRightInd/>
        <w:snapToGrid/>
        <w:spacing w:line="577" w:lineRule="exact"/>
        <w:ind w:left="0" w:firstLine="643" w:firstLineChars="200"/>
        <w:textAlignment w:val="auto"/>
        <w:rPr>
          <w:rFonts w:hint="eastAsia" w:ascii="仿宋" w:hAnsi="仿宋" w:eastAsia="仿宋" w:cs="仿宋"/>
          <w:spacing w:val="0"/>
          <w:position w:val="0"/>
          <w:sz w:val="33"/>
          <w:szCs w:val="33"/>
        </w:rPr>
      </w:pPr>
      <w:r>
        <w:rPr>
          <w:rFonts w:hint="eastAsia" w:ascii="楷体" w:hAnsi="楷体" w:eastAsia="楷体" w:cs="楷体"/>
          <w:b/>
          <w:bCs/>
          <w:spacing w:val="0"/>
          <w:position w:val="0"/>
          <w:sz w:val="32"/>
          <w:szCs w:val="32"/>
        </w:rPr>
        <w:t>第三阶段</w:t>
      </w: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rPr>
        <w:t>202</w:t>
      </w:r>
      <w:r>
        <w:rPr>
          <w:rFonts w:hint="eastAsia" w:ascii="楷体" w:hAnsi="楷体" w:eastAsia="楷体" w:cs="楷体"/>
          <w:b/>
          <w:bCs/>
          <w:spacing w:val="0"/>
          <w:position w:val="0"/>
          <w:sz w:val="32"/>
          <w:szCs w:val="32"/>
          <w:lang w:val="en-US" w:eastAsia="zh-CN"/>
        </w:rPr>
        <w:t>3</w:t>
      </w:r>
      <w:r>
        <w:rPr>
          <w:rFonts w:hint="eastAsia" w:ascii="楷体" w:hAnsi="楷体" w:eastAsia="楷体" w:cs="楷体"/>
          <w:b/>
          <w:bCs/>
          <w:spacing w:val="0"/>
          <w:position w:val="0"/>
          <w:sz w:val="32"/>
          <w:szCs w:val="32"/>
        </w:rPr>
        <w:t>年8月—9月)</w:t>
      </w: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rPr>
        <w:t>自查提高。</w:t>
      </w:r>
      <w:r>
        <w:rPr>
          <w:rFonts w:hint="eastAsia" w:ascii="仿宋" w:hAnsi="仿宋" w:eastAsia="仿宋" w:cs="仿宋"/>
          <w:spacing w:val="0"/>
          <w:position w:val="0"/>
          <w:sz w:val="33"/>
          <w:szCs w:val="33"/>
        </w:rPr>
        <w:t>进一步对照标准查漏补缺，完善各类工作项目及相关资料整理建档，开展终末调查，按照分类标准进行创建效果评估并提交资料，迎接省级验收。</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方正黑体简体" w:hAnsi="方正黑体简体" w:eastAsia="方正黑体简体" w:cs="方正黑体简体"/>
          <w:spacing w:val="0"/>
          <w:position w:val="0"/>
          <w:sz w:val="33"/>
          <w:szCs w:val="33"/>
        </w:rPr>
      </w:pPr>
      <w:r>
        <w:rPr>
          <w:rFonts w:hint="eastAsia" w:ascii="方正黑体简体" w:hAnsi="方正黑体简体" w:eastAsia="方正黑体简体" w:cs="方正黑体简体"/>
          <w:spacing w:val="0"/>
          <w:position w:val="0"/>
          <w:sz w:val="33"/>
          <w:szCs w:val="33"/>
        </w:rPr>
        <w:t>五、组织实施</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一)加强组织领导，提高思想认识。</w:t>
      </w:r>
      <w:r>
        <w:rPr>
          <w:rFonts w:hint="eastAsia" w:ascii="仿宋" w:hAnsi="仿宋" w:eastAsia="仿宋" w:cs="仿宋"/>
          <w:spacing w:val="0"/>
          <w:position w:val="0"/>
          <w:sz w:val="33"/>
          <w:szCs w:val="33"/>
        </w:rPr>
        <w:t>县里成立了以</w:t>
      </w:r>
      <w:r>
        <w:rPr>
          <w:rFonts w:hint="eastAsia" w:ascii="仿宋" w:hAnsi="仿宋" w:eastAsia="仿宋" w:cs="仿宋"/>
          <w:spacing w:val="0"/>
          <w:position w:val="0"/>
          <w:sz w:val="33"/>
          <w:szCs w:val="33"/>
          <w:lang w:eastAsia="zh-CN"/>
        </w:rPr>
        <w:t>主要领导</w:t>
      </w:r>
      <w:r>
        <w:rPr>
          <w:rFonts w:hint="eastAsia" w:ascii="仿宋" w:hAnsi="仿宋" w:eastAsia="仿宋" w:cs="仿宋"/>
          <w:spacing w:val="0"/>
          <w:position w:val="0"/>
          <w:sz w:val="33"/>
          <w:szCs w:val="33"/>
        </w:rPr>
        <w:t>为组长</w:t>
      </w:r>
      <w:r>
        <w:rPr>
          <w:rFonts w:hint="eastAsia" w:ascii="仿宋" w:hAnsi="仿宋" w:eastAsia="仿宋" w:cs="仿宋"/>
          <w:spacing w:val="0"/>
          <w:position w:val="0"/>
          <w:sz w:val="33"/>
          <w:szCs w:val="33"/>
          <w:lang w:eastAsia="zh-CN"/>
        </w:rPr>
        <w:t>、相关</w:t>
      </w:r>
      <w:r>
        <w:rPr>
          <w:rFonts w:hint="eastAsia" w:ascii="仿宋" w:hAnsi="仿宋" w:eastAsia="仿宋" w:cs="仿宋"/>
          <w:spacing w:val="0"/>
          <w:position w:val="0"/>
          <w:sz w:val="33"/>
          <w:szCs w:val="33"/>
        </w:rPr>
        <w:t>县领导为副组长、相关单位负责人为成员的隆回县创建湖南省健康促进县工作领导小组，县直机关各单位、省市驻隆各单位和各乡镇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街道)也要成立相应的工作领导小组，制定切合实际的创建实施方案，及时召开会议，安排部署创建工作全面宣传动员。</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二)压实工作责任，积极开展创建。</w:t>
      </w:r>
      <w:r>
        <w:rPr>
          <w:rFonts w:hint="eastAsia" w:ascii="仿宋" w:hAnsi="仿宋" w:eastAsia="仿宋" w:cs="仿宋"/>
          <w:spacing w:val="0"/>
          <w:position w:val="0"/>
          <w:sz w:val="33"/>
          <w:szCs w:val="33"/>
        </w:rPr>
        <w:t>县直机关各单位、省市驻隆各单位和各乡镇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街道)要将创建工作与单位业务工作同安排、同部署、同检查，将健康融入所有政策，明确责任分工，细化工作任务，积极开展创建工作。</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三)注重资料收集，加强资料管理。</w:t>
      </w:r>
      <w:r>
        <w:rPr>
          <w:rFonts w:hint="eastAsia" w:ascii="仿宋" w:hAnsi="仿宋" w:eastAsia="仿宋" w:cs="仿宋"/>
          <w:spacing w:val="0"/>
          <w:position w:val="0"/>
          <w:sz w:val="33"/>
          <w:szCs w:val="33"/>
        </w:rPr>
        <w:t>县直机关各单位、省市驻隆各单位和各乡镇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街道)要对创建健康促进县工作进行专题部署，活动开展要有文字记载和图片、影像等资料，所有材料要有专人负责，装成专档。</w:t>
      </w:r>
    </w:p>
    <w:p>
      <w:pPr>
        <w:keepNext w:val="0"/>
        <w:keepLines w:val="0"/>
        <w:pageBreakBefore w:val="0"/>
        <w:widowControl w:val="0"/>
        <w:kinsoku/>
        <w:wordWrap/>
        <w:overflowPunct/>
        <w:topLinePunct w:val="0"/>
        <w:autoSpaceDE/>
        <w:autoSpaceDN/>
        <w:bidi w:val="0"/>
        <w:adjustRightInd/>
        <w:snapToGrid/>
        <w:spacing w:line="577" w:lineRule="exact"/>
        <w:ind w:left="0" w:firstLine="663" w:firstLineChars="200"/>
        <w:textAlignment w:val="auto"/>
        <w:rPr>
          <w:rFonts w:hint="eastAsia" w:ascii="仿宋" w:hAnsi="仿宋" w:eastAsia="仿宋" w:cs="仿宋"/>
          <w:spacing w:val="0"/>
          <w:position w:val="0"/>
          <w:sz w:val="33"/>
          <w:szCs w:val="33"/>
        </w:rPr>
      </w:pPr>
      <w:r>
        <w:rPr>
          <w:rFonts w:hint="eastAsia" w:ascii="方正楷体_GB2312" w:hAnsi="方正楷体_GB2312" w:eastAsia="方正楷体_GB2312" w:cs="方正楷体_GB2312"/>
          <w:b/>
          <w:bCs/>
          <w:spacing w:val="0"/>
          <w:position w:val="0"/>
          <w:sz w:val="33"/>
          <w:szCs w:val="33"/>
          <w:lang w:eastAsia="zh-CN"/>
        </w:rPr>
        <w:t>（</w:t>
      </w:r>
      <w:r>
        <w:rPr>
          <w:rFonts w:hint="eastAsia" w:ascii="方正楷体_GB2312" w:hAnsi="方正楷体_GB2312" w:eastAsia="方正楷体_GB2312" w:cs="方正楷体_GB2312"/>
          <w:b/>
          <w:bCs/>
          <w:spacing w:val="0"/>
          <w:position w:val="0"/>
          <w:sz w:val="33"/>
          <w:szCs w:val="33"/>
        </w:rPr>
        <w:t>四)强化督导检查，确保创建达标。</w:t>
      </w:r>
      <w:r>
        <w:rPr>
          <w:rFonts w:hint="eastAsia" w:ascii="仿宋" w:hAnsi="仿宋" w:eastAsia="仿宋" w:cs="仿宋"/>
          <w:spacing w:val="0"/>
          <w:position w:val="0"/>
          <w:sz w:val="33"/>
          <w:szCs w:val="33"/>
        </w:rPr>
        <w:t>县创建湖南省健康促进县工作领导小组办公室会同县委督查室、县政府督查室加强督导检查，及时通报检查情况，并将督查结果纳入县直机关各单位、省市驻隆各单位和各乡镇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街道)年度考核。县直机关各单位、省市驻隆各单位和各乡镇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街道)要根据督导检查反馈的问题，举一反三，全面整改，确保创建工作顺利通过省级验收。</w:t>
      </w:r>
    </w:p>
    <w:p>
      <w:pPr>
        <w:keepNext w:val="0"/>
        <w:keepLines w:val="0"/>
        <w:pageBreakBefore w:val="0"/>
        <w:widowControl w:val="0"/>
        <w:kinsoku/>
        <w:wordWrap/>
        <w:overflowPunct/>
        <w:topLinePunct w:val="0"/>
        <w:autoSpaceDE/>
        <w:autoSpaceDN/>
        <w:bidi w:val="0"/>
        <w:adjustRightInd/>
        <w:snapToGrid/>
        <w:spacing w:line="577" w:lineRule="exact"/>
        <w:ind w:left="0" w:firstLine="602" w:firstLineChars="200"/>
        <w:textAlignment w:val="auto"/>
        <w:rPr>
          <w:rFonts w:hint="eastAsia" w:ascii="仿宋" w:hAnsi="仿宋" w:eastAsia="仿宋" w:cs="仿宋"/>
          <w:spacing w:val="0"/>
          <w:position w:val="0"/>
          <w:sz w:val="33"/>
          <w:szCs w:val="33"/>
        </w:rPr>
      </w:pPr>
      <w:r>
        <w:rPr>
          <w:rFonts w:hint="eastAsia" w:ascii="楷体" w:hAnsi="楷体" w:eastAsia="楷体" w:cs="楷体"/>
          <w:b/>
          <w:bCs/>
          <w:spacing w:val="0"/>
          <w:position w:val="0"/>
          <w:sz w:val="30"/>
          <w:szCs w:val="30"/>
          <w:lang w:eastAsia="zh-CN"/>
        </w:rPr>
        <w:t>（</w:t>
      </w:r>
      <w:r>
        <w:rPr>
          <w:rFonts w:hint="eastAsia" w:ascii="楷体" w:hAnsi="楷体" w:eastAsia="楷体" w:cs="楷体"/>
          <w:b/>
          <w:bCs/>
          <w:spacing w:val="0"/>
          <w:position w:val="0"/>
          <w:sz w:val="30"/>
          <w:szCs w:val="30"/>
        </w:rPr>
        <w:t>五)加大宣传力度，营造良好氛围。</w:t>
      </w:r>
      <w:r>
        <w:rPr>
          <w:rFonts w:hint="eastAsia" w:ascii="仿宋" w:hAnsi="仿宋" w:eastAsia="仿宋" w:cs="仿宋"/>
          <w:spacing w:val="0"/>
          <w:position w:val="0"/>
          <w:sz w:val="33"/>
          <w:szCs w:val="33"/>
        </w:rPr>
        <w:t>县直机关各单位、省市驻隆各单位和各乡镇</w:t>
      </w:r>
      <w:r>
        <w:rPr>
          <w:rFonts w:hint="eastAsia" w:ascii="仿宋" w:hAnsi="仿宋" w:eastAsia="仿宋" w:cs="仿宋"/>
          <w:spacing w:val="0"/>
          <w:position w:val="0"/>
          <w:sz w:val="33"/>
          <w:szCs w:val="33"/>
          <w:lang w:eastAsia="zh-CN"/>
        </w:rPr>
        <w:t>（</w:t>
      </w:r>
      <w:r>
        <w:rPr>
          <w:rFonts w:hint="eastAsia" w:ascii="仿宋" w:hAnsi="仿宋" w:eastAsia="仿宋" w:cs="仿宋"/>
          <w:spacing w:val="0"/>
          <w:position w:val="0"/>
          <w:sz w:val="33"/>
          <w:szCs w:val="33"/>
        </w:rPr>
        <w:t>街道)要充分发挥健康教育宣传栏的主阵地作用，在主要公共场所、人口密集地带设立户外广告宣传牌或利用户外电子屏幕开展健康宣传，普及健康知识，努力营造创建湖南省健康促进县的良好氛围。</w:t>
      </w: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仿宋" w:hAnsi="仿宋" w:eastAsia="仿宋" w:cs="仿宋"/>
          <w:spacing w:val="0"/>
          <w:position w:val="0"/>
          <w:sz w:val="33"/>
          <w:szCs w:val="33"/>
        </w:rPr>
      </w:pPr>
    </w:p>
    <w:p>
      <w:pPr>
        <w:keepNext w:val="0"/>
        <w:keepLines w:val="0"/>
        <w:pageBreakBefore w:val="0"/>
        <w:widowControl w:val="0"/>
        <w:kinsoku/>
        <w:wordWrap/>
        <w:overflowPunct/>
        <w:topLinePunct w:val="0"/>
        <w:autoSpaceDE/>
        <w:autoSpaceDN/>
        <w:bidi w:val="0"/>
        <w:adjustRightInd/>
        <w:snapToGrid/>
        <w:spacing w:line="577" w:lineRule="exact"/>
        <w:ind w:left="0" w:firstLine="660" w:firstLineChars="2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附件：1.隆回县创建湖南省健康促进县工作领导小组</w:t>
      </w:r>
    </w:p>
    <w:p>
      <w:pPr>
        <w:keepNext w:val="0"/>
        <w:keepLines w:val="0"/>
        <w:pageBreakBefore w:val="0"/>
        <w:widowControl w:val="0"/>
        <w:kinsoku/>
        <w:wordWrap/>
        <w:overflowPunct/>
        <w:topLinePunct w:val="0"/>
        <w:autoSpaceDE/>
        <w:autoSpaceDN/>
        <w:bidi w:val="0"/>
        <w:adjustRightInd/>
        <w:snapToGrid/>
        <w:spacing w:line="577" w:lineRule="exact"/>
        <w:ind w:left="0" w:firstLine="1650" w:firstLineChars="5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2.隆回县创建湖南省健康促进县评价指标及责任</w:t>
      </w:r>
    </w:p>
    <w:p>
      <w:pPr>
        <w:keepNext w:val="0"/>
        <w:keepLines w:val="0"/>
        <w:pageBreakBefore w:val="0"/>
        <w:widowControl w:val="0"/>
        <w:kinsoku/>
        <w:wordWrap/>
        <w:overflowPunct/>
        <w:topLinePunct w:val="0"/>
        <w:autoSpaceDE/>
        <w:autoSpaceDN/>
        <w:bidi w:val="0"/>
        <w:adjustRightInd/>
        <w:snapToGrid/>
        <w:spacing w:line="577" w:lineRule="exact"/>
        <w:ind w:left="0" w:firstLine="1980" w:firstLineChars="6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分解</w:t>
      </w:r>
    </w:p>
    <w:p>
      <w:pPr>
        <w:keepNext w:val="0"/>
        <w:keepLines w:val="0"/>
        <w:pageBreakBefore w:val="0"/>
        <w:widowControl w:val="0"/>
        <w:kinsoku/>
        <w:wordWrap/>
        <w:overflowPunct/>
        <w:topLinePunct w:val="0"/>
        <w:autoSpaceDE/>
        <w:autoSpaceDN/>
        <w:bidi w:val="0"/>
        <w:adjustRightInd/>
        <w:snapToGrid/>
        <w:spacing w:line="577" w:lineRule="exact"/>
        <w:ind w:left="0" w:firstLine="1650" w:firstLineChars="5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t>3.现场抽查单位及查看内容</w:t>
      </w:r>
    </w:p>
    <w:p>
      <w:pPr>
        <w:keepNext w:val="0"/>
        <w:keepLines w:val="0"/>
        <w:pageBreakBefore w:val="0"/>
        <w:widowControl w:val="0"/>
        <w:kinsoku/>
        <w:wordWrap/>
        <w:overflowPunct/>
        <w:topLinePunct w:val="0"/>
        <w:autoSpaceDE/>
        <w:autoSpaceDN/>
        <w:bidi w:val="0"/>
        <w:adjustRightInd/>
        <w:snapToGrid/>
        <w:ind w:left="0" w:firstLine="660" w:firstLineChars="200"/>
        <w:textAlignment w:val="auto"/>
        <w:rPr>
          <w:rFonts w:hint="eastAsia" w:ascii="仿宋" w:hAnsi="仿宋" w:eastAsia="仿宋" w:cs="仿宋"/>
          <w:spacing w:val="0"/>
          <w:position w:val="0"/>
          <w:sz w:val="33"/>
          <w:szCs w:val="33"/>
        </w:rPr>
      </w:pPr>
      <w:r>
        <w:rPr>
          <w:rFonts w:hint="eastAsia" w:ascii="仿宋" w:hAnsi="仿宋" w:eastAsia="仿宋" w:cs="仿宋"/>
          <w:spacing w:val="0"/>
          <w:position w:val="0"/>
          <w:sz w:val="33"/>
          <w:szCs w:val="33"/>
        </w:rPr>
        <w:br w:type="page"/>
      </w:r>
    </w:p>
    <w:p>
      <w:pPr>
        <w:spacing w:before="101" w:line="224" w:lineRule="auto"/>
        <w:rPr>
          <w:rFonts w:hint="eastAsia" w:ascii="仿宋" w:hAnsi="仿宋" w:eastAsia="仿宋" w:cs="仿宋"/>
          <w:b w:val="0"/>
          <w:bCs w:val="0"/>
          <w:sz w:val="31"/>
          <w:szCs w:val="31"/>
        </w:rPr>
      </w:pPr>
      <w:r>
        <w:rPr>
          <w:rFonts w:hint="eastAsia" w:ascii="仿宋" w:hAnsi="仿宋" w:eastAsia="仿宋" w:cs="仿宋"/>
          <w:b w:val="0"/>
          <w:bCs w:val="0"/>
          <w:spacing w:val="26"/>
          <w:sz w:val="31"/>
          <w:szCs w:val="31"/>
        </w:rPr>
        <w:t>附件1</w:t>
      </w:r>
    </w:p>
    <w:p>
      <w:pPr>
        <w:keepNext w:val="0"/>
        <w:keepLines w:val="0"/>
        <w:pageBreakBefore w:val="0"/>
        <w:widowControl/>
        <w:kinsoku w:val="0"/>
        <w:wordWrap/>
        <w:overflowPunct/>
        <w:topLinePunct w:val="0"/>
        <w:autoSpaceDE w:val="0"/>
        <w:autoSpaceDN w:val="0"/>
        <w:bidi w:val="0"/>
        <w:adjustRightInd w:val="0"/>
        <w:snapToGrid w:val="0"/>
        <w:spacing w:line="700" w:lineRule="exact"/>
        <w:ind w:left="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lang w:eastAsia="zh-CN"/>
        </w:rPr>
        <w:t>隆回县</w:t>
      </w:r>
      <w:r>
        <w:rPr>
          <w:rFonts w:hint="eastAsia" w:ascii="方正小标宋简体" w:hAnsi="方正小标宋简体" w:eastAsia="方正小标宋简体" w:cs="方正小标宋简体"/>
          <w:b w:val="0"/>
          <w:bCs w:val="0"/>
          <w:spacing w:val="-8"/>
          <w:sz w:val="44"/>
          <w:szCs w:val="44"/>
        </w:rPr>
        <w:t>创建湖南省健康促进</w:t>
      </w:r>
      <w:r>
        <w:rPr>
          <w:rFonts w:hint="eastAsia" w:ascii="方正小标宋简体" w:hAnsi="方正小标宋简体" w:eastAsia="方正小标宋简体" w:cs="方正小标宋简体"/>
          <w:b w:val="0"/>
          <w:bCs w:val="0"/>
          <w:spacing w:val="-8"/>
          <w:sz w:val="44"/>
          <w:szCs w:val="44"/>
          <w:lang w:eastAsia="zh-CN"/>
        </w:rPr>
        <w:t>县</w:t>
      </w:r>
      <w:r>
        <w:rPr>
          <w:rFonts w:hint="eastAsia" w:ascii="方正小标宋简体" w:hAnsi="方正小标宋简体" w:eastAsia="方正小标宋简体" w:cs="方正小标宋简体"/>
          <w:b w:val="0"/>
          <w:bCs w:val="0"/>
          <w:spacing w:val="-8"/>
          <w:sz w:val="44"/>
          <w:szCs w:val="44"/>
        </w:rPr>
        <w:t>工作领导小组</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jc w:val="both"/>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spacing w:val="0"/>
          <w:sz w:val="32"/>
          <w:szCs w:val="32"/>
        </w:rPr>
      </w:pPr>
      <w:r>
        <w:rPr>
          <w:rFonts w:hint="eastAsia" w:ascii="仿宋" w:hAnsi="仿宋" w:eastAsia="仿宋" w:cs="仿宋"/>
          <w:b/>
          <w:bCs/>
          <w:spacing w:val="0"/>
          <w:sz w:val="32"/>
          <w:szCs w:val="32"/>
          <w:lang w:eastAsia="zh-CN"/>
        </w:rPr>
        <w:t>组</w:t>
      </w:r>
      <w:r>
        <w:rPr>
          <w:rFonts w:hint="eastAsia" w:ascii="仿宋" w:hAnsi="仿宋" w:eastAsia="仿宋" w:cs="仿宋"/>
          <w:b/>
          <w:bCs/>
          <w:spacing w:val="0"/>
          <w:sz w:val="32"/>
          <w:szCs w:val="32"/>
          <w:lang w:val="en-US" w:eastAsia="zh-CN"/>
        </w:rPr>
        <w:t xml:space="preserve">  </w:t>
      </w:r>
      <w:r>
        <w:rPr>
          <w:rFonts w:hint="eastAsia" w:ascii="仿宋" w:hAnsi="仿宋" w:eastAsia="仿宋" w:cs="仿宋"/>
          <w:b/>
          <w:bCs/>
          <w:spacing w:val="0"/>
          <w:sz w:val="32"/>
          <w:szCs w:val="32"/>
          <w:lang w:eastAsia="zh-CN"/>
        </w:rPr>
        <w:t>长：</w:t>
      </w:r>
      <w:r>
        <w:rPr>
          <w:rFonts w:hint="eastAsia" w:ascii="仿宋" w:hAnsi="仿宋" w:eastAsia="仿宋" w:cs="仿宋"/>
          <w:spacing w:val="0"/>
          <w:sz w:val="32"/>
          <w:szCs w:val="32"/>
          <w:lang w:eastAsia="zh-CN"/>
        </w:rPr>
        <w:t>刘</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军</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委书记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杨韶辉</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委副书记、</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spacing w:val="0"/>
          <w:sz w:val="32"/>
          <w:szCs w:val="32"/>
        </w:rPr>
      </w:pPr>
      <w:r>
        <w:rPr>
          <w:rFonts w:hint="eastAsia" w:ascii="仿宋" w:hAnsi="仿宋" w:eastAsia="仿宋" w:cs="仿宋"/>
          <w:b/>
          <w:bCs/>
          <w:spacing w:val="0"/>
          <w:sz w:val="32"/>
          <w:szCs w:val="32"/>
        </w:rPr>
        <w:t>副组长</w:t>
      </w:r>
      <w:r>
        <w:rPr>
          <w:rFonts w:hint="eastAsia" w:ascii="仿宋" w:hAnsi="仿宋" w:eastAsia="仿宋" w:cs="仿宋"/>
          <w:b/>
          <w:bCs/>
          <w:spacing w:val="0"/>
          <w:sz w:val="32"/>
          <w:szCs w:val="32"/>
          <w:lang w:eastAsia="zh-CN"/>
        </w:rPr>
        <w:t>：</w:t>
      </w:r>
      <w:r>
        <w:rPr>
          <w:rFonts w:hint="eastAsia" w:ascii="仿宋" w:hAnsi="仿宋" w:eastAsia="仿宋" w:cs="仿宋"/>
          <w:spacing w:val="0"/>
          <w:sz w:val="32"/>
          <w:szCs w:val="32"/>
          <w:lang w:eastAsia="zh-CN"/>
        </w:rPr>
        <w:t>王兰鹏</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委常委、</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人民政府常务副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杨方且</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委常委、</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委办主任</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刘咏波</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委常委、</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雷</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勇</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委常委、</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委宣传部部长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 xml:space="preserve">胡江南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人大常委会副主任</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杨喜国</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张</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胤</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申智军</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公安局局长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贺海飞</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刘</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琴（</w:t>
      </w:r>
      <w:r>
        <w:rPr>
          <w:rFonts w:hint="eastAsia" w:ascii="仿宋" w:hAnsi="仿宋" w:eastAsia="仿宋" w:cs="仿宋"/>
          <w:spacing w:val="-57"/>
          <w:sz w:val="32"/>
          <w:szCs w:val="32"/>
          <w:lang w:eastAsia="zh-CN"/>
        </w:rPr>
        <w:t>常务</w:t>
      </w:r>
      <w:r>
        <w:rPr>
          <w:rFonts w:hint="eastAsia" w:ascii="仿宋" w:hAnsi="仿宋" w:eastAsia="仿宋" w:cs="仿宋"/>
          <w:spacing w:val="-57"/>
          <w:sz w:val="32"/>
          <w:szCs w:val="32"/>
        </w:rPr>
        <w:t>)</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蒋</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吉</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吴厚宾</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政协副主席</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谭小菊</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隆回高新区</w:t>
      </w:r>
      <w:r>
        <w:rPr>
          <w:rFonts w:hint="eastAsia" w:ascii="仿宋" w:hAnsi="仿宋" w:eastAsia="仿宋" w:cs="仿宋"/>
          <w:spacing w:val="0"/>
          <w:sz w:val="32"/>
          <w:szCs w:val="32"/>
        </w:rPr>
        <w:t>管委会主任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spacing w:val="0"/>
          <w:sz w:val="32"/>
          <w:szCs w:val="32"/>
        </w:rPr>
      </w:pPr>
      <w:r>
        <w:rPr>
          <w:rFonts w:hint="eastAsia" w:ascii="仿宋" w:hAnsi="仿宋" w:eastAsia="仿宋" w:cs="仿宋"/>
          <w:b/>
          <w:bCs/>
          <w:spacing w:val="0"/>
          <w:sz w:val="32"/>
          <w:szCs w:val="32"/>
        </w:rPr>
        <w:t>成</w:t>
      </w:r>
      <w:r>
        <w:rPr>
          <w:rFonts w:hint="eastAsia" w:ascii="仿宋" w:hAnsi="仿宋" w:eastAsia="仿宋" w:cs="仿宋"/>
          <w:b/>
          <w:bCs/>
          <w:spacing w:val="0"/>
          <w:sz w:val="32"/>
          <w:szCs w:val="32"/>
          <w:lang w:val="en-US" w:eastAsia="zh-CN"/>
        </w:rPr>
        <w:t xml:space="preserve">  </w:t>
      </w:r>
      <w:r>
        <w:rPr>
          <w:rFonts w:hint="eastAsia" w:ascii="仿宋" w:hAnsi="仿宋" w:eastAsia="仿宋" w:cs="仿宋"/>
          <w:b/>
          <w:bCs/>
          <w:spacing w:val="0"/>
          <w:sz w:val="32"/>
          <w:szCs w:val="32"/>
        </w:rPr>
        <w:t>员</w:t>
      </w:r>
      <w:r>
        <w:rPr>
          <w:rFonts w:hint="eastAsia" w:ascii="仿宋" w:hAnsi="仿宋" w:eastAsia="仿宋" w:cs="仿宋"/>
          <w:b/>
          <w:bCs/>
          <w:spacing w:val="0"/>
          <w:sz w:val="32"/>
          <w:szCs w:val="32"/>
          <w:lang w:eastAsia="zh-CN"/>
        </w:rPr>
        <w:t>：</w:t>
      </w:r>
      <w:r>
        <w:rPr>
          <w:rFonts w:hint="eastAsia" w:ascii="仿宋" w:hAnsi="仿宋" w:eastAsia="仿宋" w:cs="仿宋"/>
          <w:spacing w:val="0"/>
          <w:sz w:val="32"/>
          <w:szCs w:val="32"/>
          <w:lang w:eastAsia="zh-CN"/>
        </w:rPr>
        <w:t>丁加阳</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政府办主任</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张飞军</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委办副主任</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向翠琳</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政府办副主任</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魏志坚</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委宣传部常务副部长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周英华</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人大科教文卫委主任</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范四玲</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政协文教卫体委主任</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王柏玉</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人社局局长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唐荷花</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妇联主席</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范志海</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财政局局长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彭文波</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发改局局长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周玉科</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住建局局长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李</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良</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教育局局长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张  诚</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民政局局长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简丽华</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卫健局局长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魏</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彪</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文旅广体局局长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周文锋</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交通运输局局长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罗运河</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水利局局长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刘朝晖</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商务局局长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李</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波</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农业农村局</w:t>
      </w:r>
      <w:r>
        <w:rPr>
          <w:rFonts w:hint="eastAsia" w:ascii="仿宋" w:hAnsi="仿宋" w:eastAsia="仿宋" w:cs="仿宋"/>
          <w:spacing w:val="0"/>
          <w:sz w:val="32"/>
          <w:szCs w:val="32"/>
          <w:lang w:eastAsia="zh-CN"/>
        </w:rPr>
        <w:t>副</w:t>
      </w:r>
      <w:r>
        <w:rPr>
          <w:rFonts w:hint="eastAsia" w:ascii="仿宋" w:hAnsi="仿宋" w:eastAsia="仿宋" w:cs="仿宋"/>
          <w:spacing w:val="0"/>
          <w:sz w:val="32"/>
          <w:szCs w:val="32"/>
        </w:rPr>
        <w:t>局长</w:t>
      </w:r>
      <w:r>
        <w:rPr>
          <w:rFonts w:hint="eastAsia" w:ascii="仿宋" w:hAnsi="仿宋" w:eastAsia="仿宋" w:cs="仿宋"/>
          <w:spacing w:val="0"/>
          <w:sz w:val="32"/>
          <w:szCs w:val="32"/>
          <w:lang w:eastAsia="zh-CN"/>
        </w:rPr>
        <w:t>（主持工作）</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李金平</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自然资源局局长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曾庆湘</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应急</w:t>
      </w:r>
      <w:r>
        <w:rPr>
          <w:rFonts w:hint="eastAsia" w:ascii="仿宋" w:hAnsi="仿宋" w:eastAsia="仿宋" w:cs="仿宋"/>
          <w:spacing w:val="0"/>
          <w:sz w:val="32"/>
          <w:szCs w:val="32"/>
          <w:lang w:eastAsia="zh-CN"/>
        </w:rPr>
        <w:t>管理</w:t>
      </w:r>
      <w:r>
        <w:rPr>
          <w:rFonts w:hint="eastAsia" w:ascii="仿宋" w:hAnsi="仿宋" w:eastAsia="仿宋" w:cs="仿宋"/>
          <w:spacing w:val="0"/>
          <w:sz w:val="32"/>
          <w:szCs w:val="32"/>
        </w:rPr>
        <w:t>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刘振华</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行政审批局局长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戴  琛</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林业局局长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胡国胜</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医保局局长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陈建华</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邵阳市生态环境局</w:t>
      </w:r>
      <w:r>
        <w:rPr>
          <w:rFonts w:hint="eastAsia" w:ascii="仿宋" w:hAnsi="仿宋" w:eastAsia="仿宋" w:cs="仿宋"/>
          <w:spacing w:val="0"/>
          <w:sz w:val="32"/>
          <w:szCs w:val="32"/>
          <w:lang w:eastAsia="zh-CN"/>
        </w:rPr>
        <w:t>隆回</w:t>
      </w:r>
      <w:r>
        <w:rPr>
          <w:rFonts w:hint="eastAsia" w:ascii="仿宋" w:hAnsi="仿宋" w:eastAsia="仿宋" w:cs="仿宋"/>
          <w:spacing w:val="0"/>
          <w:sz w:val="32"/>
          <w:szCs w:val="32"/>
        </w:rPr>
        <w:t>分局局长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 xml:space="preserve">肖升初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统计局局长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戴</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飞</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科工信局局长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钱先武</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城管局局长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陈林习</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市监局局长</w:t>
      </w:r>
    </w:p>
    <w:p>
      <w:pPr>
        <w:keepNext w:val="0"/>
        <w:keepLines w:val="0"/>
        <w:pageBreakBefore w:val="0"/>
        <w:widowControl/>
        <w:tabs>
          <w:tab w:val="left" w:pos="1274"/>
        </w:tabs>
        <w:kinsoku w:val="0"/>
        <w:wordWrap/>
        <w:overflowPunct/>
        <w:topLinePunct w:val="0"/>
        <w:autoSpaceDE w:val="0"/>
        <w:autoSpaceDN w:val="0"/>
        <w:bidi w:val="0"/>
        <w:adjustRightInd w:val="0"/>
        <w:snapToGrid w:val="0"/>
        <w:spacing w:line="560" w:lineRule="exact"/>
        <w:ind w:firstLine="1920" w:firstLineChars="600"/>
        <w:jc w:val="both"/>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eastAsia="zh-CN"/>
        </w:rPr>
        <w:t>郑超文</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团</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委书记</w:t>
      </w:r>
    </w:p>
    <w:p>
      <w:pPr>
        <w:spacing w:before="209" w:line="334" w:lineRule="auto"/>
        <w:ind w:firstLine="1690" w:firstLineChars="500"/>
        <w:jc w:val="both"/>
        <w:rPr>
          <w:rFonts w:hint="eastAsia" w:ascii="仿宋" w:hAnsi="仿宋" w:eastAsia="仿宋" w:cs="仿宋"/>
          <w:spacing w:val="9"/>
          <w:sz w:val="32"/>
          <w:szCs w:val="32"/>
          <w:lang w:eastAsia="zh-CN"/>
        </w:rPr>
      </w:pPr>
      <w:r>
        <w:rPr>
          <w:rFonts w:hint="eastAsia" w:ascii="仿宋" w:hAnsi="仿宋" w:eastAsia="仿宋" w:cs="仿宋"/>
          <w:spacing w:val="9"/>
          <w:sz w:val="32"/>
          <w:szCs w:val="32"/>
          <w:lang w:eastAsia="zh-CN"/>
        </w:rPr>
        <w:t>各乡镇（街道）党（工）委书记。</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84" w:firstLineChars="200"/>
        <w:jc w:val="both"/>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领导小组下设办公室及综合组、督导组、健康社区</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村)及健康家庭创建组、健康促进医院创建组、健康促进学校创建组、健康促进机关创建组、健康促进企业创建组、健康支持性环境创建组、健康文化建设组等九个工作组。</w:t>
      </w:r>
      <w:r>
        <w:rPr>
          <w:rFonts w:hint="eastAsia" w:ascii="仿宋" w:hAnsi="仿宋" w:eastAsia="仿宋" w:cs="仿宋"/>
          <w:b w:val="0"/>
          <w:bCs w:val="0"/>
          <w:color w:val="auto"/>
          <w:spacing w:val="11"/>
          <w:sz w:val="32"/>
          <w:szCs w:val="32"/>
        </w:rPr>
        <w:t>由</w:t>
      </w:r>
      <w:r>
        <w:rPr>
          <w:rFonts w:hint="eastAsia" w:ascii="仿宋" w:hAnsi="仿宋" w:eastAsia="仿宋" w:cs="仿宋"/>
          <w:b w:val="0"/>
          <w:bCs w:val="0"/>
          <w:color w:val="auto"/>
          <w:spacing w:val="11"/>
          <w:sz w:val="32"/>
          <w:szCs w:val="32"/>
          <w:lang w:eastAsia="zh-CN"/>
        </w:rPr>
        <w:t>简丽华</w:t>
      </w:r>
      <w:r>
        <w:rPr>
          <w:rFonts w:hint="eastAsia" w:ascii="仿宋" w:hAnsi="仿宋" w:eastAsia="仿宋" w:cs="仿宋"/>
          <w:b w:val="0"/>
          <w:bCs w:val="0"/>
          <w:color w:val="auto"/>
          <w:spacing w:val="11"/>
          <w:sz w:val="32"/>
          <w:szCs w:val="32"/>
        </w:rPr>
        <w:t>兼任办公室主任，</w:t>
      </w:r>
      <w:r>
        <w:rPr>
          <w:rFonts w:hint="eastAsia" w:ascii="仿宋" w:hAnsi="仿宋" w:eastAsia="仿宋" w:cs="仿宋"/>
          <w:spacing w:val="11"/>
          <w:sz w:val="32"/>
          <w:szCs w:val="32"/>
        </w:rPr>
        <w:t>各职能部门分管健康促进</w:t>
      </w:r>
      <w:r>
        <w:rPr>
          <w:rFonts w:hint="eastAsia" w:ascii="仿宋" w:hAnsi="仿宋" w:eastAsia="仿宋" w:cs="仿宋"/>
          <w:spacing w:val="11"/>
          <w:sz w:val="32"/>
          <w:szCs w:val="32"/>
          <w:lang w:eastAsia="zh-CN"/>
        </w:rPr>
        <w:t>县</w:t>
      </w:r>
      <w:r>
        <w:rPr>
          <w:rFonts w:hint="eastAsia" w:ascii="仿宋" w:hAnsi="仿宋" w:eastAsia="仿宋" w:cs="仿宋"/>
          <w:spacing w:val="11"/>
          <w:sz w:val="32"/>
          <w:szCs w:val="32"/>
        </w:rPr>
        <w:t>创建工作的副职为办公室成员，办公地点设</w:t>
      </w:r>
      <w:r>
        <w:rPr>
          <w:rFonts w:hint="eastAsia" w:ascii="仿宋" w:hAnsi="仿宋" w:eastAsia="仿宋" w:cs="仿宋"/>
          <w:spacing w:val="11"/>
          <w:sz w:val="32"/>
          <w:szCs w:val="32"/>
          <w:lang w:eastAsia="zh-CN"/>
        </w:rPr>
        <w:t>县</w:t>
      </w:r>
      <w:r>
        <w:rPr>
          <w:rFonts w:hint="eastAsia" w:ascii="仿宋" w:hAnsi="仿宋" w:eastAsia="仿宋" w:cs="仿宋"/>
          <w:spacing w:val="11"/>
          <w:sz w:val="32"/>
          <w:szCs w:val="32"/>
        </w:rPr>
        <w:t>卫健局。</w:t>
      </w:r>
    </w:p>
    <w:p>
      <w:pPr>
        <w:spacing w:before="114" w:line="227" w:lineRule="auto"/>
        <w:jc w:val="center"/>
        <w:rPr>
          <w:rFonts w:hint="eastAsia" w:ascii="方正小标宋简体" w:hAnsi="方正小标宋简体" w:eastAsia="方正小标宋简体" w:cs="方正小标宋简体"/>
          <w:spacing w:val="13"/>
          <w:sz w:val="44"/>
          <w:szCs w:val="44"/>
        </w:rPr>
        <w:sectPr>
          <w:footerReference r:id="rId3" w:type="default"/>
          <w:pgSz w:w="11905" w:h="16838"/>
          <w:pgMar w:top="1701" w:right="1531" w:bottom="1531" w:left="1531" w:header="0" w:footer="1208" w:gutter="0"/>
          <w:pgBorders>
            <w:top w:val="none" w:sz="0" w:space="0"/>
            <w:left w:val="none" w:sz="0" w:space="0"/>
            <w:bottom w:val="none" w:sz="0" w:space="0"/>
            <w:right w:val="none" w:sz="0" w:space="0"/>
          </w:pgBorders>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3"/>
          <w:sz w:val="44"/>
          <w:szCs w:val="44"/>
        </w:rPr>
        <w:t>健</w:t>
      </w:r>
      <w:r>
        <w:rPr>
          <w:rFonts w:hint="eastAsia" w:ascii="方正小标宋简体" w:hAnsi="方正小标宋简体" w:eastAsia="方正小标宋简体" w:cs="方正小标宋简体"/>
          <w:spacing w:val="7"/>
          <w:sz w:val="44"/>
          <w:szCs w:val="44"/>
        </w:rPr>
        <w:t>康县区评估细则</w:t>
      </w:r>
      <w:r>
        <w:rPr>
          <w:rFonts w:hint="eastAsia" w:ascii="方正小标宋简体" w:hAnsi="方正小标宋简体" w:eastAsia="方正小标宋简体" w:cs="方正小标宋简体"/>
          <w:spacing w:val="7"/>
          <w:sz w:val="44"/>
          <w:szCs w:val="44"/>
          <w:lang w:eastAsia="zh-CN"/>
        </w:rPr>
        <w:t>（</w:t>
      </w:r>
      <w:r>
        <w:rPr>
          <w:rFonts w:hint="eastAsia" w:ascii="方正小标宋简体" w:hAnsi="方正小标宋简体" w:eastAsia="方正小标宋简体" w:cs="方正小标宋简体"/>
          <w:spacing w:val="7"/>
          <w:sz w:val="44"/>
          <w:szCs w:val="44"/>
        </w:rPr>
        <w:t>试行)</w:t>
      </w:r>
    </w:p>
    <w:tbl>
      <w:tblPr>
        <w:tblStyle w:val="14"/>
        <w:tblW w:w="15377"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57" w:type="dxa"/>
          <w:left w:w="57" w:type="dxa"/>
          <w:bottom w:w="57" w:type="dxa"/>
          <w:right w:w="57" w:type="dxa"/>
        </w:tblCellMar>
      </w:tblPr>
      <w:tblGrid>
        <w:gridCol w:w="474"/>
        <w:gridCol w:w="1076"/>
        <w:gridCol w:w="1459"/>
        <w:gridCol w:w="2925"/>
        <w:gridCol w:w="3050"/>
        <w:gridCol w:w="4695"/>
        <w:gridCol w:w="696"/>
        <w:gridCol w:w="1002"/>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788" w:hRule="exact"/>
          <w:tblHeader/>
          <w:jc w:val="center"/>
        </w:trPr>
        <w:tc>
          <w:tcPr>
            <w:tcW w:w="474" w:type="dxa"/>
            <w:tcBorders>
              <w:tl2br w:val="nil"/>
              <w:tr2bl w:val="nil"/>
            </w:tcBorders>
            <w:textDirection w:val="tbRlV"/>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黑体" w:hAnsi="黑体" w:eastAsia="黑体" w:cs="黑体"/>
                <w:spacing w:val="0"/>
                <w:w w:val="100"/>
                <w:position w:val="0"/>
                <w:sz w:val="21"/>
                <w:szCs w:val="21"/>
              </w:rPr>
              <w:t>领域</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建设规范</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对应条目</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评估指标</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指标说明</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评估方式</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赋分标准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分值</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pacing w:val="0"/>
                <w:w w:val="100"/>
                <w:position w:val="0"/>
                <w:sz w:val="21"/>
                <w:szCs w:val="21"/>
                <w:lang w:eastAsia="zh-CN"/>
              </w:rPr>
            </w:pPr>
            <w:r>
              <w:rPr>
                <w:rFonts w:hint="eastAsia" w:ascii="黑体" w:hAnsi="黑体" w:eastAsia="黑体" w:cs="黑体"/>
                <w:spacing w:val="0"/>
                <w:w w:val="100"/>
                <w:position w:val="0"/>
                <w:sz w:val="21"/>
                <w:szCs w:val="21"/>
                <w:lang w:eastAsia="zh-CN"/>
              </w:rPr>
              <w:t>责任部门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958"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lang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bCs/>
                <w:spacing w:val="0"/>
                <w:w w:val="100"/>
                <w:position w:val="0"/>
                <w:sz w:val="21"/>
                <w:szCs w:val="21"/>
                <w:lang w:eastAsia="zh-CN"/>
                <w14:textOutline w14:w="3795" w14:cap="sq" w14:cmpd="sng">
                  <w14:solidFill>
                    <w14:srgbClr w14:val="000000"/>
                  </w14:solidFill>
                  <w14:prstDash w14:val="solid"/>
                  <w14:bevel/>
                </w14:textOutline>
              </w:rPr>
              <w:t>一、健康政策</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第六条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1.纳入县区</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发展规划</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工作报告、发展规划等文件中，体现健康县区建设内容。</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查阅资料：工作报告、发展规划等文件。</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资料来源：文件印发部门。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文件中体现健康县区建设内容，得10分；未体现，不得分。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县政府办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53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第七条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2.人群健康状况及影响因素分析</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收集人群健康状况及影响因素相关信息，分析辖区内主要健康问题，提出优先干预策略。</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查阅资料：相关调查报告。</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资料来源：卫生健康部门。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1.有相关调查报告，得4分；无报告，不得分。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2.资料收集方法合理，得4分；不合理，不得分。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both"/>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0"/>
                <w:w w:val="100"/>
                <w:position w:val="0"/>
                <w:sz w:val="21"/>
                <w:szCs w:val="21"/>
              </w:rPr>
              <w:t>3.</w:t>
            </w:r>
            <w:r>
              <w:rPr>
                <w:rFonts w:hint="eastAsia" w:asciiTheme="minorEastAsia" w:hAnsiTheme="minorEastAsia" w:eastAsiaTheme="minorEastAsia" w:cstheme="minorEastAsia"/>
                <w:spacing w:val="6"/>
                <w:w w:val="100"/>
                <w:position w:val="0"/>
                <w:sz w:val="21"/>
                <w:szCs w:val="21"/>
              </w:rPr>
              <w:t>分析思路清晰，方法得当，得4分；未达到要求，不得分。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4.提出主要的健康问题和影响因素，得4分；未提出，不得分。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5.提出明确的干预策略建议，得4分；未提出，不得分。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该指标满分为20分。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县卫生</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健康局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70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3.健康县区</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实施方案</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出台健康县区实施方案，明确建设目标、工作内容、任务分工、时间进度。</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查阅资料：健康县区实施方案。</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资料来源：文件印发部门。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出台健康县区实施方案，并体现健康中国、乡村振兴和积极应对人口老龄化等国家战略，得10分；仅有实施方案，但未体现三个国家战略的统筹考虑，得5分；无实施方案，不得分。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县委办、县政府办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524"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4.跨部门健康行动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相关部门针对当地突出的健康问题，开展跨部门行动。</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查阅资料：相关公共政策。</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资料来源：文件印发部门。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both"/>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以多部门联合方式出台相关健康文件，每项文件得4分</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针对同一健康问题如有多个文件，算作1项，如某地针对艾滋病防控出台多个文件，仅能视为1项)，满分为20分；未出台文件，不得分。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各相关</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257"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lang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bCs/>
                <w:spacing w:val="0"/>
                <w:w w:val="100"/>
                <w:position w:val="0"/>
                <w:sz w:val="21"/>
                <w:szCs w:val="21"/>
                <w:lang w:eastAsia="zh-CN"/>
                <w14:textOutline w14:w="3795" w14:cap="sq" w14:cmpd="sng">
                  <w14:solidFill>
                    <w14:srgbClr w14:val="000000"/>
                  </w14:solidFill>
                  <w14:prstDash w14:val="solid"/>
                  <w14:bevel/>
                </w14:textOutline>
              </w:rPr>
              <w:t>一、健康政策</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第八条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5.相关部门履行健康责任</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非卫生健康部门根据健康县区建设任务分工，各自出台落实文件。</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查阅资料：非卫生健康部门出台的相关文件。</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资料来源：文件印发部门。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健康县区建设任务分工所</w:t>
            </w:r>
            <w:r>
              <w:rPr>
                <w:rFonts w:hint="eastAsia" w:asciiTheme="minorEastAsia" w:hAnsiTheme="minorEastAsia" w:cstheme="minorEastAsia"/>
                <w:spacing w:val="0"/>
                <w:w w:val="100"/>
                <w:position w:val="0"/>
                <w:sz w:val="21"/>
                <w:szCs w:val="21"/>
                <w:lang w:eastAsia="zh-CN"/>
              </w:rPr>
              <w:t>涉及的</w:t>
            </w:r>
            <w:r>
              <w:rPr>
                <w:rFonts w:hint="eastAsia" w:asciiTheme="minorEastAsia" w:hAnsiTheme="minorEastAsia" w:eastAsiaTheme="minorEastAsia" w:cstheme="minorEastAsia"/>
                <w:spacing w:val="0"/>
                <w:w w:val="100"/>
                <w:position w:val="0"/>
                <w:sz w:val="21"/>
                <w:szCs w:val="21"/>
              </w:rPr>
              <w:t>非卫生健康部门中，出台落实文件的部门占比达到100%，得20分；未达到100%者按实际比例得分；非卫生健康部门未出台落实文件，不得分。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各相关</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811"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第九条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6.健康影响评估制度建设</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初步建立健康影响评估制度，出台相关文件，明确部门职责，明确评估范围和机制，明确日常办事机构和办事流程，建立专家委员会。</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查阅资料：健康影响评估制度建设相关文件。</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资料来源：健康影响评估办事机构、相关部门等。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1.印发专门文件，得4分；未印发，不得分。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2.明确评估范围，得2分；未明确，不得分。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3.明确评估机制，得2分；未明确，不得分。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4.明确办事机构，得2分；未明确，不得分。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5.建立部门工作网络，得2分；未建立，不得分。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6.组建专家委员会，得2分；未组建，不得分。</w:t>
            </w:r>
          </w:p>
          <w:p>
            <w:pPr>
              <w:keepNext w:val="0"/>
              <w:keepLines w:val="0"/>
              <w:pageBreakBefore w:val="0"/>
              <w:widowControl w:val="0"/>
              <w:tabs>
                <w:tab w:val="left" w:pos="200"/>
              </w:tabs>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如仅开展公共政策健康审查，尚未系统建立健康影响评估制度，该指标得4分。)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该指标满分为14分。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14分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县卫生</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健康局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564"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7.公共政策健康影响评估</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近1年内，对当地拟下发的公共政策开展健康影响评价，提出修改建议，政策制订部门采纳或部分采纳后正式下发。</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查阅资料：开展健康影响评价的相关文件、工作记录及工作报告等。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资料来源：健康影响评估办事机构、相关部门等。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对于当地方案中要求进行评估的公共政策，评估完成率达到100%，得8分；≥50%且＜100%，得4分；仅对若干政策选择性评估，得2分；未开展评估，不得分。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县卫生</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健康局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564"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8.重大工程项目健康影响</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评估</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近1年内，对当地拟建重大工程项目开展健康影响评价，提出修改建议，工程项目负责部门采纳或部分采纳。</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查阅资料：开展健康影响评价的相关文件、工作记录及工作报告等。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资料来源：健康影响评估办事机构、相关部门等。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对于当地方案中要求进行评估的重大工程项目，评估完成率达到100%，得8分；≥50%且＜100%，得4分；仅对若干工程项目选择性评估，得2分；未开展评估，不得分。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住建局、县发改局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755"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9.县区人居</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环境</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通过完善供水、排水、供电、供气、道路、通信、广播电视、环卫等基础设施提升县区健康环境；通过绿化、亮化、美化、净化等具体措施改善县区人居环境。</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查阅资料：市政基础设施专项规划及开展建设佐证资料；道路及周边环境综合整治改造提升工程相关资料。</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资料来源：住房和城乡建设主管部门。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1.按照市政基础设施专项规划建设健康环境设施，得6分；未按规划建设，不得分。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2.开展道路及周边环境综合整治改造提升人居工程，得6分；未开展，不得分。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该指标满分为12分。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12分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rPr>
              <w:t>住</w:t>
            </w:r>
            <w:r>
              <w:rPr>
                <w:rFonts w:hint="eastAsia" w:asciiTheme="minorEastAsia" w:hAnsiTheme="minorEastAsia" w:eastAsiaTheme="minorEastAsia" w:cstheme="minorEastAsia"/>
                <w:spacing w:val="0"/>
                <w:w w:val="100"/>
                <w:position w:val="0"/>
                <w:sz w:val="21"/>
                <w:szCs w:val="21"/>
                <w:lang w:eastAsia="zh-CN"/>
              </w:rPr>
              <w:t>建局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474" w:type="dxa"/>
            <w:vMerge w:val="continue"/>
            <w:tcBorders>
              <w:tl2br w:val="nil"/>
              <w:tr2bl w:val="nil"/>
            </w:tcBorders>
            <w:textDirection w:val="tbRlV"/>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10.无障碍</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设施</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按照《建筑与市政工程无障碍通用规范》要求，建设和运行维护人行道、盲道、人行过街设施以及出入口、无障碍卫生间</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无障碍厕位)、低位服务设施、无障碍停车位、无障碍标志等无障碍设施，满足相关人群出行需求。</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现场抽查：随机抽查1个城区居民小区和1家当地较大规模的商场，现场查看无障碍设施的建设情况。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在抽查的场所中，至少建有盲道、无障碍卫生间</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厕位)、出入口无障碍设施、低位服务设施、无障碍停车位、无障碍标志这6种无障碍设施的3种及以上，得4分；＜3种，得2分；未建设无障碍设施，不得分；2个抽查场所满分为8分。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lang w:eastAsia="zh-CN"/>
              </w:rPr>
            </w:pPr>
            <w:r>
              <w:rPr>
                <w:rFonts w:hint="eastAsia"/>
                <w:lang w:eastAsia="zh-CN"/>
              </w:rPr>
              <w:t>县</w:t>
            </w:r>
            <w:r>
              <w:rPr>
                <w:rFonts w:hint="eastAsia"/>
              </w:rPr>
              <w:t>住</w:t>
            </w:r>
            <w:r>
              <w:rPr>
                <w:rFonts w:hint="eastAsia"/>
                <w:lang w:eastAsia="zh-CN"/>
              </w:rPr>
              <w:t>建局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lang w:eastAsia="zh-CN"/>
              </w:rPr>
            </w:pPr>
            <w:r>
              <w:rPr>
                <w:rFonts w:hint="eastAsia"/>
                <w:lang w:eastAsia="zh-CN"/>
              </w:rPr>
              <w:t>县城管局</w:t>
            </w:r>
          </w:p>
          <w:p>
            <w:pPr>
              <w:pStyle w:val="2"/>
              <w:ind w:left="0" w:leftChars="0" w:firstLine="0" w:firstLineChars="0"/>
              <w:jc w:val="center"/>
              <w:rPr>
                <w:rFonts w:hint="eastAsia"/>
                <w:lang w:eastAsia="zh-CN"/>
              </w:rPr>
            </w:pPr>
            <w:r>
              <w:rPr>
                <w:rFonts w:hint="eastAsia" w:asciiTheme="minorEastAsia" w:hAnsiTheme="minorEastAsia" w:cstheme="minorEastAsia"/>
                <w:spacing w:val="0"/>
                <w:w w:val="100"/>
                <w:position w:val="0"/>
                <w:sz w:val="21"/>
                <w:szCs w:val="21"/>
                <w:lang w:eastAsia="zh-CN"/>
              </w:rPr>
              <w:t>县商务局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586" w:hRule="atLeast"/>
          <w:jc w:val="center"/>
        </w:trPr>
        <w:tc>
          <w:tcPr>
            <w:tcW w:w="474" w:type="dxa"/>
            <w:vMerge w:val="continue"/>
            <w:tcBorders>
              <w:tl2br w:val="nil"/>
              <w:tr2bl w:val="nil"/>
            </w:tcBorders>
            <w:textDirection w:val="tbRlV"/>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11.健康主题公园</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建设和管理健康主题公园，向公众传播健康知识，促进公众身体活动。</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现场抽查：随机抽查1个健康主题公园，依据下列标准进行评分：</w:t>
            </w:r>
            <w:r>
              <w:rPr>
                <w:rFonts w:hint="eastAsia" w:asciiTheme="minorEastAsia" w:hAnsiTheme="minorEastAsia" w:cstheme="minorEastAsia"/>
                <w:spacing w:val="6"/>
                <w:w w:val="100"/>
                <w:position w:val="0"/>
                <w:sz w:val="21"/>
                <w:szCs w:val="21"/>
                <w:lang w:eastAsia="zh-CN"/>
              </w:rPr>
              <w:t>（</w:t>
            </w:r>
            <w:r>
              <w:rPr>
                <w:rFonts w:hint="eastAsia" w:asciiTheme="minorEastAsia" w:hAnsiTheme="minorEastAsia" w:eastAsiaTheme="minorEastAsia" w:cstheme="minorEastAsia"/>
                <w:spacing w:val="6"/>
                <w:w w:val="100"/>
                <w:position w:val="0"/>
                <w:sz w:val="21"/>
                <w:szCs w:val="21"/>
              </w:rPr>
              <w:t>其中第5条查阅资料，其余现场查看。)</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1.公园内有禁烟标识</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2.位置便利，环境优美，配有休息椅凳等设施，至少有1条健康步道</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3.配备适合儿童青少年等不同人群身体锻炼的体育设施</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且设施器材可正常使用</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4.定期更新健康宣传材料</w:t>
            </w:r>
            <w:r>
              <w:rPr>
                <w:rFonts w:hint="eastAsia" w:asciiTheme="minorEastAsia" w:hAnsiTheme="minorEastAsia" w:cstheme="minorEastAsia"/>
                <w:spacing w:val="-6"/>
                <w:w w:val="100"/>
                <w:position w:val="0"/>
                <w:sz w:val="21"/>
                <w:szCs w:val="21"/>
                <w:lang w:eastAsia="zh-CN"/>
              </w:rPr>
              <w:t>（</w:t>
            </w:r>
            <w:r>
              <w:rPr>
                <w:rFonts w:hint="eastAsia" w:asciiTheme="minorEastAsia" w:hAnsiTheme="minorEastAsia" w:eastAsiaTheme="minorEastAsia" w:cstheme="minorEastAsia"/>
                <w:spacing w:val="-6"/>
                <w:w w:val="100"/>
                <w:position w:val="0"/>
                <w:sz w:val="21"/>
                <w:szCs w:val="21"/>
              </w:rPr>
              <w:t>1分)。</w:t>
            </w:r>
            <w:r>
              <w:rPr>
                <w:rFonts w:hint="eastAsia" w:asciiTheme="minorEastAsia" w:hAnsiTheme="minorEastAsia" w:eastAsiaTheme="minorEastAsia" w:cstheme="minorEastAsia"/>
                <w:spacing w:val="0"/>
                <w:w w:val="100"/>
                <w:position w:val="0"/>
                <w:sz w:val="21"/>
                <w:szCs w:val="21"/>
              </w:rPr>
              <w:t>5.开展健康生活方式宣传活动</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符合1项，得1分，满分为5分；无健康主题公园，不得分。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县城管局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504"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12.健康步道</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在社区、单位、公园等公共场所建设健康步道，供公众开展健步走等健身活动，获取健康知识和技能。</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现场抽查：随机抽查1条健康步道，依据下列标准进行评分：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1.设置健康标识</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2分)。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2.位置便利，路面整洁安全，无车辆穿行</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2分)。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3.步道宽度不小于1.2米，总长度不小于1000米或环形步道周长不小于300米</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2分)。</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符合1项，得2分，满分为6分；无健康步道，不得分。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rPr>
              <w:t>住</w:t>
            </w:r>
            <w:r>
              <w:rPr>
                <w:rFonts w:hint="eastAsia" w:asciiTheme="minorEastAsia" w:hAnsiTheme="minorEastAsia" w:eastAsiaTheme="minorEastAsia" w:cstheme="minorEastAsia"/>
                <w:spacing w:val="0"/>
                <w:w w:val="100"/>
                <w:position w:val="0"/>
                <w:sz w:val="21"/>
                <w:szCs w:val="21"/>
                <w:lang w:eastAsia="zh-CN"/>
              </w:rPr>
              <w:t>建局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县城管局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492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13.绿道</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建设绿道，为市民绿色出行、游憩、休闲提供环境。</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现场抽查：随机抽查1条绿道，依据下列标准进行评分：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1.串联公园绿地、广场、防护绿地等</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2.与公交、步行及自行车交通系统相衔接，设置指示、警示等标识</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3.铺装材料透水防滑，与周边环境协调</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4.连接城乡居民点、公共空间及历史文化节点，设置科普解说及展示设施</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1分)。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5.步行道宽度不小于1.5m；自行车道宽度单向不小于1.5m，双向不小于3m(1分)。</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符合1项，得1分，满分为5分；无绿道，不得分。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rPr>
              <w:t>住</w:t>
            </w:r>
            <w:r>
              <w:rPr>
                <w:rFonts w:hint="eastAsia" w:asciiTheme="minorEastAsia" w:hAnsiTheme="minorEastAsia" w:eastAsiaTheme="minorEastAsia" w:cstheme="minorEastAsia"/>
                <w:spacing w:val="0"/>
                <w:w w:val="100"/>
                <w:position w:val="0"/>
                <w:sz w:val="21"/>
                <w:szCs w:val="21"/>
                <w:lang w:eastAsia="zh-CN"/>
              </w:rPr>
              <w:t>建局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县城管局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514"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14.农村人居环境</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通过实施农村厕所革命，开展农村生活污水和生活垃圾处理，改善农村基础设施，促进农村人居环境整治和美丽乡村建设，提高农村公共服务水平，促进乡村文明建设。</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查阅资料：农村人居环境整治和美丽乡村建设相关资料。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资料来源：农业农村、乡村振兴、生态环境、住房和城乡建设等部门。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1.实施美丽乡村建设，得4分；未实施，不得分。2.开展农村人居环境整治行动，得4分；未开展，不得分。该指标满分为8分。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农业</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农村局</w:t>
            </w:r>
            <w:r>
              <w:rPr>
                <w:rFonts w:hint="eastAsia" w:asciiTheme="minorEastAsia" w:hAnsiTheme="minorEastAsia" w:cstheme="minorEastAsia"/>
                <w:spacing w:val="0"/>
                <w:w w:val="100"/>
                <w:position w:val="0"/>
                <w:sz w:val="21"/>
                <w:szCs w:val="21"/>
                <w:lang w:eastAsia="zh-CN"/>
              </w:rPr>
              <w:t>（县乡村振兴局）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rPr>
              <w:t>住</w:t>
            </w:r>
            <w:r>
              <w:rPr>
                <w:rFonts w:hint="eastAsia" w:asciiTheme="minorEastAsia" w:hAnsiTheme="minorEastAsia" w:eastAsiaTheme="minorEastAsia" w:cstheme="minorEastAsia"/>
                <w:spacing w:val="0"/>
                <w:w w:val="100"/>
                <w:position w:val="0"/>
                <w:sz w:val="21"/>
                <w:szCs w:val="21"/>
                <w:lang w:eastAsia="zh-CN"/>
              </w:rPr>
              <w:t>建局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县城管局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431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第十一条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15.生态环境质量</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加强大气污染治理，环境空气质量、水环境质量、土壤环境质量等良好或持续改善；环境空气主要污染物包括温室气体排放达到要求；防治工业、建筑施工、交通运输和社会生活等噪声。</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查阅资料：上3年度生态环境质量相关监测数据、报告、行政处罚案件等。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资料来源：生态环境部门。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1.上1年度环境空气质量优良天数高于全国同期平均水平，得4分；≤全国同期水平但＞前1年水平，得2分；≤全国同期水平且≤前1年水平，不得分。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2.上1年度地表水水质达到或优于III类水的比例高于全国同期平均水平，得3分；≤全国同期水平但＞前1年水平，得2分；≤全国同期水平且≤前1年水平，不得分。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3.近</w:t>
            </w:r>
            <w:r>
              <w:rPr>
                <w:rFonts w:hint="eastAsia" w:asciiTheme="majorEastAsia" w:hAnsiTheme="majorEastAsia" w:eastAsiaTheme="majorEastAsia" w:cstheme="majorEastAsia"/>
                <w:spacing w:val="6"/>
                <w:w w:val="100"/>
                <w:position w:val="0"/>
                <w:sz w:val="21"/>
                <w:szCs w:val="21"/>
              </w:rPr>
              <w:t>3年地下水水质达到或优于III类水的比例保持稳定或持续改善</w:t>
            </w:r>
            <w:r>
              <w:rPr>
                <w:rFonts w:hint="eastAsia" w:asciiTheme="majorEastAsia" w:hAnsiTheme="majorEastAsia" w:eastAsiaTheme="majorEastAsia" w:cstheme="majorEastAsia"/>
                <w:spacing w:val="6"/>
                <w:w w:val="100"/>
                <w:position w:val="0"/>
                <w:sz w:val="21"/>
                <w:szCs w:val="21"/>
                <w:lang w:eastAsia="zh-CN"/>
              </w:rPr>
              <w:t>，</w:t>
            </w:r>
            <w:r>
              <w:rPr>
                <w:rFonts w:hint="eastAsia" w:asciiTheme="majorEastAsia" w:hAnsiTheme="majorEastAsia" w:eastAsiaTheme="majorEastAsia" w:cstheme="majorEastAsia"/>
                <w:spacing w:val="6"/>
                <w:w w:val="100"/>
                <w:position w:val="0"/>
                <w:sz w:val="21"/>
                <w:szCs w:val="21"/>
              </w:rPr>
              <w:t>得3分；比例下降，不得分。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4.城市功能区声环境达标率达到功能区要求，得2分；未达到要求，不得分。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5.年内无噪声污染行政处罚案件，得2分；有案件，不得分。该指标满分为14分。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14分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市</w:t>
            </w:r>
            <w:r>
              <w:rPr>
                <w:rFonts w:hint="eastAsia" w:asciiTheme="minorEastAsia" w:hAnsiTheme="minorEastAsia" w:eastAsiaTheme="minorEastAsia" w:cstheme="minorEastAsia"/>
                <w:spacing w:val="0"/>
                <w:w w:val="100"/>
                <w:position w:val="0"/>
                <w:sz w:val="21"/>
                <w:szCs w:val="21"/>
              </w:rPr>
              <w:t>生态环境</w:t>
            </w:r>
            <w:r>
              <w:rPr>
                <w:rFonts w:hint="eastAsia" w:asciiTheme="minorEastAsia" w:hAnsiTheme="minorEastAsia" w:eastAsiaTheme="minorEastAsia" w:cstheme="minorEastAsia"/>
                <w:spacing w:val="0"/>
                <w:w w:val="100"/>
                <w:position w:val="0"/>
                <w:sz w:val="21"/>
                <w:szCs w:val="21"/>
                <w:lang w:eastAsia="zh-CN"/>
              </w:rPr>
              <w:t>局隆回分局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859"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第十一条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16.重特大环境污染事件</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采取综合防控措施，杜绝发生重特大环境污染事件；制定环境突发事件应急预案并进行演练。</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查阅资料：环境突发事件应急预案及其演练的工作记录、照片等。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资料来源：生态环境及应急部门、相关企事业单位等。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ajorEastAsia" w:hAnsiTheme="majorEastAsia" w:eastAsiaTheme="majorEastAsia" w:cstheme="majorEastAsia"/>
                <w:spacing w:val="6"/>
                <w:w w:val="100"/>
                <w:position w:val="0"/>
                <w:sz w:val="21"/>
                <w:szCs w:val="21"/>
              </w:rPr>
            </w:pPr>
            <w:r>
              <w:rPr>
                <w:rFonts w:hint="eastAsia" w:asciiTheme="majorEastAsia" w:hAnsiTheme="majorEastAsia" w:eastAsiaTheme="majorEastAsia" w:cstheme="majorEastAsia"/>
                <w:spacing w:val="6"/>
                <w:w w:val="100"/>
                <w:position w:val="0"/>
                <w:sz w:val="21"/>
                <w:szCs w:val="21"/>
              </w:rPr>
              <w:t>1.近3年辖区无重特大环境污染事件，得3分；有重特大环境污染事件，不得分。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ajorEastAsia" w:hAnsiTheme="majorEastAsia" w:eastAsiaTheme="majorEastAsia" w:cstheme="majorEastAsia"/>
                <w:spacing w:val="6"/>
                <w:w w:val="100"/>
                <w:position w:val="0"/>
                <w:sz w:val="21"/>
                <w:szCs w:val="21"/>
              </w:rPr>
            </w:pPr>
            <w:r>
              <w:rPr>
                <w:rFonts w:hint="eastAsia" w:asciiTheme="majorEastAsia" w:hAnsiTheme="majorEastAsia" w:eastAsiaTheme="majorEastAsia" w:cstheme="majorEastAsia"/>
                <w:spacing w:val="6"/>
                <w:w w:val="100"/>
                <w:position w:val="0"/>
                <w:sz w:val="21"/>
                <w:szCs w:val="21"/>
              </w:rPr>
              <w:t>2.制定环境突发事件应急预案并进行演练，得3分；制定预案但未进行演练，得2分；未制定预案，不得分。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ajorEastAsia" w:hAnsiTheme="majorEastAsia" w:eastAsiaTheme="majorEastAsia" w:cstheme="majorEastAsia"/>
                <w:spacing w:val="6"/>
                <w:w w:val="100"/>
                <w:position w:val="0"/>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市</w:t>
            </w:r>
            <w:r>
              <w:rPr>
                <w:rFonts w:hint="eastAsia" w:asciiTheme="minorEastAsia" w:hAnsiTheme="minorEastAsia" w:eastAsiaTheme="minorEastAsia" w:cstheme="minorEastAsia"/>
                <w:spacing w:val="0"/>
                <w:w w:val="100"/>
                <w:position w:val="0"/>
                <w:sz w:val="21"/>
                <w:szCs w:val="21"/>
              </w:rPr>
              <w:t>生态环境</w:t>
            </w:r>
            <w:r>
              <w:rPr>
                <w:rFonts w:hint="eastAsia" w:asciiTheme="minorEastAsia" w:hAnsiTheme="minorEastAsia" w:eastAsiaTheme="minorEastAsia" w:cstheme="minorEastAsia"/>
                <w:spacing w:val="0"/>
                <w:w w:val="100"/>
                <w:position w:val="0"/>
                <w:sz w:val="21"/>
                <w:szCs w:val="21"/>
                <w:lang w:eastAsia="zh-CN"/>
              </w:rPr>
              <w:t>局隆回分局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科工信局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981"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17.绿色低碳转型</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工业、能源、建筑、交通等领域形成绿色低碳循环发展的经济体系。</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查阅资料：上1年度相关年鉴、统计报表、报告等。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资料来源：统计局、发改委、工信、生态环境等部门。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单位地区生产总值能耗、单位地区生产总值用水量、碳排放强度，完成上级规定的目标任务，每完成1项得2分，总分为6分；均未完成，不得分。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11"/>
                <w:w w:val="100"/>
                <w:position w:val="0"/>
                <w:sz w:val="21"/>
                <w:szCs w:val="21"/>
                <w:lang w:eastAsia="zh-CN"/>
              </w:rPr>
              <w:t>县</w:t>
            </w:r>
            <w:r>
              <w:rPr>
                <w:rFonts w:hint="eastAsia" w:asciiTheme="minorEastAsia" w:hAnsiTheme="minorEastAsia" w:eastAsiaTheme="minorEastAsia" w:cstheme="minorEastAsia"/>
                <w:spacing w:val="11"/>
                <w:w w:val="100"/>
                <w:position w:val="0"/>
                <w:sz w:val="21"/>
                <w:szCs w:val="21"/>
              </w:rPr>
              <w:t>统计局、</w:t>
            </w:r>
            <w:r>
              <w:rPr>
                <w:rFonts w:hint="eastAsia" w:asciiTheme="minorEastAsia" w:hAnsiTheme="minorEastAsia" w:cstheme="minorEastAsia"/>
                <w:spacing w:val="11"/>
                <w:w w:val="100"/>
                <w:position w:val="0"/>
                <w:sz w:val="21"/>
                <w:szCs w:val="21"/>
                <w:lang w:eastAsia="zh-CN"/>
              </w:rPr>
              <w:t>县</w:t>
            </w:r>
            <w:r>
              <w:rPr>
                <w:rFonts w:hint="eastAsia" w:asciiTheme="minorEastAsia" w:hAnsiTheme="minorEastAsia" w:eastAsiaTheme="minorEastAsia" w:cstheme="minorEastAsia"/>
                <w:spacing w:val="11"/>
                <w:w w:val="100"/>
                <w:position w:val="0"/>
                <w:sz w:val="21"/>
                <w:szCs w:val="21"/>
              </w:rPr>
              <w:t>发改</w:t>
            </w:r>
            <w:r>
              <w:rPr>
                <w:rFonts w:hint="eastAsia" w:asciiTheme="minorEastAsia" w:hAnsiTheme="minorEastAsia" w:eastAsiaTheme="minorEastAsia" w:cstheme="minorEastAsia"/>
                <w:spacing w:val="11"/>
                <w:w w:val="100"/>
                <w:position w:val="0"/>
                <w:sz w:val="21"/>
                <w:szCs w:val="21"/>
                <w:lang w:eastAsia="zh-CN"/>
              </w:rPr>
              <w:t>局</w:t>
            </w:r>
            <w:r>
              <w:rPr>
                <w:rFonts w:hint="eastAsia" w:asciiTheme="minorEastAsia" w:hAnsiTheme="minorEastAsia" w:eastAsiaTheme="minorEastAsia" w:cstheme="minorEastAsia"/>
                <w:spacing w:val="11"/>
                <w:w w:val="100"/>
                <w:position w:val="0"/>
                <w:sz w:val="21"/>
                <w:szCs w:val="21"/>
              </w:rPr>
              <w:t>、</w:t>
            </w:r>
            <w:r>
              <w:rPr>
                <w:rFonts w:hint="eastAsia" w:asciiTheme="minorEastAsia" w:hAnsiTheme="minorEastAsia" w:cstheme="minorEastAsia"/>
                <w:spacing w:val="11"/>
                <w:w w:val="100"/>
                <w:position w:val="0"/>
                <w:sz w:val="21"/>
                <w:szCs w:val="21"/>
                <w:lang w:eastAsia="zh-CN"/>
              </w:rPr>
              <w:t>县</w:t>
            </w:r>
            <w:r>
              <w:rPr>
                <w:rFonts w:hint="eastAsia" w:asciiTheme="minorEastAsia" w:hAnsiTheme="minorEastAsia" w:eastAsiaTheme="minorEastAsia" w:cstheme="minorEastAsia"/>
                <w:spacing w:val="11"/>
                <w:w w:val="100"/>
                <w:position w:val="0"/>
                <w:sz w:val="21"/>
                <w:szCs w:val="21"/>
                <w:lang w:eastAsia="zh-CN"/>
              </w:rPr>
              <w:t>科</w:t>
            </w:r>
            <w:r>
              <w:rPr>
                <w:rFonts w:hint="eastAsia" w:asciiTheme="minorEastAsia" w:hAnsiTheme="minorEastAsia" w:eastAsiaTheme="minorEastAsia" w:cstheme="minorEastAsia"/>
                <w:spacing w:val="11"/>
                <w:w w:val="100"/>
                <w:position w:val="0"/>
                <w:sz w:val="21"/>
                <w:szCs w:val="21"/>
              </w:rPr>
              <w:t>工信</w:t>
            </w:r>
            <w:r>
              <w:rPr>
                <w:rFonts w:hint="eastAsia" w:asciiTheme="minorEastAsia" w:hAnsiTheme="minorEastAsia" w:eastAsiaTheme="minorEastAsia" w:cstheme="minorEastAsia"/>
                <w:spacing w:val="11"/>
                <w:w w:val="100"/>
                <w:position w:val="0"/>
                <w:sz w:val="21"/>
                <w:szCs w:val="21"/>
                <w:lang w:eastAsia="zh-CN"/>
              </w:rPr>
              <w:t>局</w:t>
            </w:r>
            <w:r>
              <w:rPr>
                <w:rFonts w:hint="eastAsia" w:asciiTheme="minorEastAsia" w:hAnsiTheme="minorEastAsia" w:eastAsiaTheme="minorEastAsia" w:cstheme="minorEastAsia"/>
                <w:spacing w:val="11"/>
                <w:w w:val="100"/>
                <w:position w:val="0"/>
                <w:sz w:val="21"/>
                <w:szCs w:val="21"/>
              </w:rPr>
              <w:t>、</w:t>
            </w:r>
            <w:r>
              <w:rPr>
                <w:rFonts w:hint="eastAsia" w:asciiTheme="minorEastAsia" w:hAnsiTheme="minorEastAsia" w:eastAsiaTheme="minorEastAsia" w:cstheme="minorEastAsia"/>
                <w:spacing w:val="11"/>
                <w:w w:val="100"/>
                <w:position w:val="0"/>
                <w:sz w:val="21"/>
                <w:szCs w:val="21"/>
                <w:lang w:eastAsia="zh-CN"/>
              </w:rPr>
              <w:t>市</w:t>
            </w:r>
            <w:r>
              <w:rPr>
                <w:rFonts w:hint="eastAsia" w:asciiTheme="minorEastAsia" w:hAnsiTheme="minorEastAsia" w:eastAsiaTheme="minorEastAsia" w:cstheme="minorEastAsia"/>
                <w:spacing w:val="11"/>
                <w:w w:val="100"/>
                <w:position w:val="0"/>
                <w:sz w:val="21"/>
                <w:szCs w:val="21"/>
              </w:rPr>
              <w:t>生态环境</w:t>
            </w:r>
            <w:r>
              <w:rPr>
                <w:rFonts w:hint="eastAsia" w:asciiTheme="minorEastAsia" w:hAnsiTheme="minorEastAsia" w:eastAsiaTheme="minorEastAsia" w:cstheme="minorEastAsia"/>
                <w:spacing w:val="11"/>
                <w:w w:val="100"/>
                <w:position w:val="0"/>
                <w:sz w:val="21"/>
                <w:szCs w:val="21"/>
                <w:lang w:eastAsia="zh-CN"/>
              </w:rPr>
              <w:t>局隆回分局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51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第十二条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18.饮用水水源地安全保障</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饮用水水源地达到国家供水安全要求，保障饮水安全。</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查阅资料：相关文件、预案方案、监测报告、评估报告、网站信息公开、工作记录、工作总结等。资料来源：水务、生态环境等部门。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1.按照规定划定饮用水水源保护区，得1分；未划定，不得分。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2.开展饮用水水源地规范化建设，得1分；未开展，不得分。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3.持续开展饮用水水源保护区环境问题排查，得1分；未开展，不得分。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4.县级以上水源保护区水质达标率达到100%，得1分；＜100%，不得分。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5.开展备用水源地相关工作，得1分；未开展，不得分。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6.公示水源地水质情况，公开问题清单及整改情况，得1分；未公示公开，不得分。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7.</w:t>
            </w:r>
            <w:r>
              <w:rPr>
                <w:rFonts w:hint="eastAsia" w:asciiTheme="minorEastAsia" w:hAnsiTheme="minorEastAsia" w:eastAsiaTheme="minorEastAsia" w:cstheme="minorEastAsia"/>
                <w:spacing w:val="0"/>
                <w:w w:val="100"/>
                <w:position w:val="0"/>
                <w:sz w:val="21"/>
                <w:szCs w:val="21"/>
              </w:rPr>
              <w:t>开展水源地保护的宣传工作，得1分；未开展，不得分。该指标满分为7分。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7分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住建局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水利局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301"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第十二条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19.水功能区水质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水环境功能区划分合理，水质监测项目频次符合要求，水质达到功能区类别对应的要求。规范开展断面监测。河流、湖泊、沟渠、塘等水体无“黑臭”现象，水体水质不低于五类。</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11"/>
                <w:w w:val="100"/>
                <w:position w:val="0"/>
                <w:sz w:val="21"/>
                <w:szCs w:val="21"/>
              </w:rPr>
            </w:pPr>
            <w:r>
              <w:rPr>
                <w:rFonts w:hint="eastAsia" w:asciiTheme="minorEastAsia" w:hAnsiTheme="minorEastAsia" w:eastAsiaTheme="minorEastAsia" w:cstheme="minorEastAsia"/>
                <w:spacing w:val="11"/>
                <w:w w:val="100"/>
                <w:position w:val="0"/>
                <w:sz w:val="21"/>
                <w:szCs w:val="21"/>
              </w:rPr>
              <w:t>查阅资料：相关文件、监测报告、政府网站信息等。</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11"/>
                <w:w w:val="100"/>
                <w:position w:val="0"/>
                <w:sz w:val="21"/>
                <w:szCs w:val="21"/>
              </w:rPr>
            </w:pPr>
            <w:r>
              <w:rPr>
                <w:rFonts w:hint="eastAsia" w:asciiTheme="minorEastAsia" w:hAnsiTheme="minorEastAsia" w:eastAsiaTheme="minorEastAsia" w:cstheme="minorEastAsia"/>
                <w:spacing w:val="11"/>
                <w:w w:val="100"/>
                <w:position w:val="0"/>
                <w:sz w:val="21"/>
                <w:szCs w:val="21"/>
              </w:rPr>
              <w:t>资料来源：水务、生态环境等部门。</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现场查看：河流、湖泊、沟渠、塘等水体有无黑臭现象。</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295" w:leftChars="30" w:right="0" w:hanging="232" w:hangingChars="100"/>
              <w:jc w:val="left"/>
              <w:textAlignment w:val="baseline"/>
              <w:rPr>
                <w:rFonts w:hint="eastAsia" w:asciiTheme="minorEastAsia" w:hAnsiTheme="minorEastAsia" w:eastAsiaTheme="minorEastAsia" w:cstheme="minorEastAsia"/>
                <w:spacing w:val="11"/>
                <w:w w:val="100"/>
                <w:position w:val="0"/>
                <w:sz w:val="21"/>
                <w:szCs w:val="21"/>
              </w:rPr>
            </w:pPr>
            <w:r>
              <w:rPr>
                <w:rFonts w:hint="eastAsia" w:asciiTheme="minorEastAsia" w:hAnsiTheme="minorEastAsia" w:eastAsiaTheme="minorEastAsia" w:cstheme="minorEastAsia"/>
                <w:spacing w:val="11"/>
                <w:w w:val="100"/>
                <w:position w:val="0"/>
                <w:sz w:val="21"/>
                <w:szCs w:val="21"/>
              </w:rPr>
              <w:t>1.水质达到功能区类别对应的要求，得3分；部分达到要求，得2分；均未达到要求，不得分。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295" w:leftChars="30" w:right="0" w:hanging="232"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2.现场查看未发现黑臭水体，得3分；有黑臭水体，不得分。该指标满分为6分。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住建局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水利局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3087"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20.饮水安全保障</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建立多部门联合工作机制，全面保障取水、制水、供水</w:t>
            </w:r>
            <w:r>
              <w:rPr>
                <w:rFonts w:hint="eastAsia" w:asciiTheme="minorEastAsia" w:hAnsiTheme="minorEastAsia" w:cstheme="minorEastAsia"/>
                <w:spacing w:val="6"/>
                <w:w w:val="100"/>
                <w:position w:val="0"/>
                <w:sz w:val="21"/>
                <w:szCs w:val="21"/>
                <w:lang w:eastAsia="zh-CN"/>
              </w:rPr>
              <w:t>（</w:t>
            </w:r>
            <w:r>
              <w:rPr>
                <w:rFonts w:hint="eastAsia" w:asciiTheme="minorEastAsia" w:hAnsiTheme="minorEastAsia" w:eastAsiaTheme="minorEastAsia" w:cstheme="minorEastAsia"/>
                <w:spacing w:val="6"/>
                <w:w w:val="100"/>
                <w:position w:val="0"/>
                <w:sz w:val="21"/>
                <w:szCs w:val="21"/>
              </w:rPr>
              <w:t>二次供水)及涉水产品安全。加强供水工程设施建设、饮用水水质卫生监督检测、水质安全监督管理、预警应急处置、饮水安全科普宣传等工作，生活饮用水水质卫生达到国家标准要求。</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查阅资料：相关文件、方案、工作记录、检测报告等。</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资料来源：水务、生态环境、卫生健康等部门。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年内辖区生活饮用水水质监测达标率为100%，得8分；未达到100%者按实际比例得分；未开展监测，不得分。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rPr>
              <w:t>水</w:t>
            </w:r>
            <w:r>
              <w:rPr>
                <w:rFonts w:hint="eastAsia" w:asciiTheme="minorEastAsia" w:hAnsiTheme="minorEastAsia" w:eastAsiaTheme="minorEastAsia" w:cstheme="minorEastAsia"/>
                <w:spacing w:val="0"/>
                <w:w w:val="100"/>
                <w:position w:val="0"/>
                <w:sz w:val="21"/>
                <w:szCs w:val="21"/>
                <w:lang w:eastAsia="zh-CN"/>
              </w:rPr>
              <w:t>利局</w:t>
            </w:r>
            <w:r>
              <w:rPr>
                <w:rFonts w:hint="eastAsia" w:asciiTheme="minorEastAsia" w:hAnsiTheme="minorEastAsia" w:eastAsiaTheme="minorEastAsia" w:cstheme="minorEastAsia"/>
                <w:spacing w:val="0"/>
                <w:w w:val="100"/>
                <w:position w:val="0"/>
                <w:sz w:val="21"/>
                <w:szCs w:val="21"/>
              </w:rPr>
              <w:t>、</w:t>
            </w:r>
            <w:r>
              <w:rPr>
                <w:rFonts w:hint="eastAsia" w:asciiTheme="minorEastAsia" w:hAnsiTheme="minorEastAsia" w:eastAsiaTheme="minorEastAsia" w:cstheme="minorEastAsia"/>
                <w:spacing w:val="0"/>
                <w:w w:val="100"/>
                <w:position w:val="0"/>
                <w:sz w:val="21"/>
                <w:szCs w:val="21"/>
                <w:lang w:eastAsia="zh-CN"/>
              </w:rPr>
              <w:t>市</w:t>
            </w:r>
            <w:r>
              <w:rPr>
                <w:rFonts w:hint="eastAsia" w:asciiTheme="minorEastAsia" w:hAnsiTheme="minorEastAsia" w:eastAsiaTheme="minorEastAsia" w:cstheme="minorEastAsia"/>
                <w:spacing w:val="0"/>
                <w:w w:val="100"/>
                <w:position w:val="0"/>
                <w:sz w:val="21"/>
                <w:szCs w:val="21"/>
              </w:rPr>
              <w:t>生态环境</w:t>
            </w:r>
            <w:r>
              <w:rPr>
                <w:rFonts w:hint="eastAsia" w:asciiTheme="minorEastAsia" w:hAnsiTheme="minorEastAsia" w:eastAsiaTheme="minorEastAsia" w:cstheme="minorEastAsia"/>
                <w:spacing w:val="0"/>
                <w:w w:val="100"/>
                <w:position w:val="0"/>
                <w:sz w:val="21"/>
                <w:szCs w:val="21"/>
                <w:lang w:eastAsia="zh-CN"/>
              </w:rPr>
              <w:t>局隆回分局</w:t>
            </w:r>
            <w:r>
              <w:rPr>
                <w:rFonts w:hint="eastAsia" w:asciiTheme="minorEastAsia" w:hAnsiTheme="minorEastAsia" w:eastAsiaTheme="minorEastAsia" w:cstheme="minorEastAsia"/>
                <w:spacing w:val="0"/>
                <w:w w:val="100"/>
                <w:position w:val="0"/>
                <w:sz w:val="21"/>
                <w:szCs w:val="21"/>
              </w:rPr>
              <w:t>、</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rPr>
              <w:t>卫健</w:t>
            </w:r>
            <w:r>
              <w:rPr>
                <w:rFonts w:hint="eastAsia" w:asciiTheme="minorEastAsia" w:hAnsiTheme="minorEastAsia" w:eastAsiaTheme="minorEastAsia" w:cstheme="minorEastAsia"/>
                <w:spacing w:val="0"/>
                <w:w w:val="100"/>
                <w:position w:val="0"/>
                <w:sz w:val="21"/>
                <w:szCs w:val="21"/>
                <w:lang w:eastAsia="zh-CN"/>
              </w:rPr>
              <w:t>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019"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21.农村自来水普及</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制定城镇供水设施向农村延伸工作目标或方案，因地制宜推进城乡供水一体化工程建设。农村自来水普及率不低于85%。</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现场抽查：随机抽取1个行政村，再随机抽取5户农村家庭，查看自来水入户情况。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在查看家户中，实现自来水入户，得2分；无入户者，不得分；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5户农村家庭满分为10分。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水利局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097"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第十三条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22.污水处理</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因地制宜实施雨污分流、老旧破损污水管网改造，基本消除城市建成区生活污水直排口和收集处理设施空白区，生活污水收集管网基本全覆盖，污水处理厂建成并达标运行。</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查阅资料：建成区污水收集处理、污水管网建设运行等资料。</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资料来源：相关部门、运行管理单位等。</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现场抽查：抽查1家污水处理厂。</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0"/>
                <w:w w:val="100"/>
                <w:position w:val="0"/>
                <w:sz w:val="21"/>
                <w:szCs w:val="21"/>
              </w:rPr>
              <w:t>1.</w:t>
            </w:r>
            <w:r>
              <w:rPr>
                <w:rFonts w:hint="eastAsia" w:asciiTheme="minorEastAsia" w:hAnsiTheme="minorEastAsia" w:eastAsiaTheme="minorEastAsia" w:cstheme="minorEastAsia"/>
                <w:spacing w:val="6"/>
                <w:w w:val="100"/>
                <w:position w:val="0"/>
                <w:sz w:val="21"/>
                <w:szCs w:val="21"/>
              </w:rPr>
              <w:t>建成区污水收集率≥75%，得4分；≥70%且＜75%，得2分；＜70%，不得分。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2.被抽查污水处理厂达标运行，得4分；基本达标运行，得2分；运行较差，不得分。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市</w:t>
            </w:r>
            <w:r>
              <w:rPr>
                <w:rFonts w:hint="eastAsia" w:asciiTheme="minorEastAsia" w:hAnsiTheme="minorEastAsia" w:eastAsiaTheme="minorEastAsia" w:cstheme="minorEastAsia"/>
                <w:spacing w:val="0"/>
                <w:w w:val="100"/>
                <w:position w:val="0"/>
                <w:sz w:val="21"/>
                <w:szCs w:val="21"/>
              </w:rPr>
              <w:t>生态环境</w:t>
            </w:r>
            <w:r>
              <w:rPr>
                <w:rFonts w:hint="eastAsia" w:asciiTheme="minorEastAsia" w:hAnsiTheme="minorEastAsia" w:eastAsiaTheme="minorEastAsia" w:cstheme="minorEastAsia"/>
                <w:spacing w:val="0"/>
                <w:w w:val="100"/>
                <w:position w:val="0"/>
                <w:sz w:val="21"/>
                <w:szCs w:val="21"/>
                <w:lang w:eastAsia="zh-CN"/>
              </w:rPr>
              <w:t>局隆回分局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3051"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23.生活垃圾源头减量和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分类</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出台生活垃圾源头减量和分类工作方案，建成生活垃圾分类工作协调机制，加快建立分类投放、分类收集、分类运输、分类处理的生活垃圾管理系统，实现生活垃圾分类制度有效覆盖，城市生活垃圾回收利用率＞35%。</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查阅资料：生活垃圾减量、分类等工作方案，生活垃圾分类收集、运输和处理设施设备情况等资料。</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资料来源：相关部门和运行管理单位。</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现场抽查：随机抽查1个城区居民小区和1个行政村，查看其垃圾分类情况。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1.城市生活垃圾回收利用率＞35%，得6分；＞30%且≤35%，得3分；≤30%，不得分。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2.在抽查社区中，垃圾分类符合城乡垃圾分类相关规范要求者，得2.5分；不符合者，不得分；2个社区满分为5分。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该指标满分为11分。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11分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36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24.生活垃圾污染治理</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生活垃圾收运臭气控制达标，无露天焚烧垃圾、违规填埋垃圾和在铁路沿线乱堆放垃圾等现象。</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现场抽查：随机抽查1处铁路沿线</w:t>
            </w:r>
            <w:r>
              <w:rPr>
                <w:rFonts w:hint="eastAsia" w:asciiTheme="minorEastAsia" w:hAnsiTheme="minorEastAsia" w:cstheme="minorEastAsia"/>
                <w:spacing w:val="-6"/>
                <w:w w:val="100"/>
                <w:position w:val="0"/>
                <w:sz w:val="21"/>
                <w:szCs w:val="21"/>
                <w:lang w:eastAsia="zh-CN"/>
              </w:rPr>
              <w:t>（</w:t>
            </w:r>
            <w:r>
              <w:rPr>
                <w:rFonts w:hint="eastAsia" w:asciiTheme="minorEastAsia" w:hAnsiTheme="minorEastAsia" w:eastAsiaTheme="minorEastAsia" w:cstheme="minorEastAsia"/>
                <w:spacing w:val="-6"/>
                <w:w w:val="100"/>
                <w:position w:val="0"/>
                <w:sz w:val="21"/>
                <w:szCs w:val="21"/>
              </w:rPr>
              <w:t>无铁路的县区可抽查1处当地主要公路沿线)，查看有无垃圾乱堆情况，途中可同时观察有无露天焚烧垃圾、违规填埋现象。</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1.抽查铁路</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公路)沿线无垃圾乱堆现象，得4分；有乱堆现象，不得分。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2.沿途未发现露天焚烧垃圾或违规填埋现象，得4分；有露天焚烧或违规填埋现象，不得分。</w:t>
            </w:r>
          </w:p>
          <w:p>
            <w:pPr>
              <w:keepNext w:val="0"/>
              <w:keepLines w:val="0"/>
              <w:pageBreakBefore w:val="0"/>
              <w:widowControl w:val="0"/>
              <w:kinsoku w:val="0"/>
              <w:wordWrap/>
              <w:overflowPunct/>
              <w:topLinePunct w:val="0"/>
              <w:autoSpaceDE w:val="0"/>
              <w:autoSpaceDN w:val="0"/>
              <w:bidi w:val="0"/>
              <w:adjustRightInd w:val="0"/>
              <w:snapToGrid w:val="0"/>
              <w:spacing w:line="32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第十三条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25.医疗废物处置</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医疗废物管理责任明确，规章制度健全，规范操作，源头分类和分类收集、运送、暂存、交接、集中处置符合《医疗废物分类目录》《医疗废物管理条例》等规定，实现医疗废物收集处理全覆盖。</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现场抽查：抽查1家县级医院和1家乡镇卫生院，了解医疗废物管理情况。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被抽查的医疗机构中：</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1.医疗废物管理制度健全，得2分；不健全，不得分。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2.医疗废物处置规范，得2分；不规范，不得分。2家医疗机构满分为8分。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949"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第十四条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26.城镇公共厕所建设和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管理</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辖区内城镇公共厕所规划布局合理，公厕的数量、间距、类别、功能等符合《公共厕所卫生规范》《城市公共厕所设计标准》等国家标准，管理规范、免费开放、方便群众使用。</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现场抽查：随机抽取2处独立式公共厕所和2处附属式公共厕所</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从1家娱乐场所和1个当地规模较大的商场、超市或菜市场中，各抽取1处附属式公共厕所)，查看其建设和管理情况。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抽取的每处公共厕所符合要求，得2.5分，具体如下：免费开放</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0.5分)、厕所标识醒目</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0.5分)、洗手设施完好</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0.5分)、无蚊蝇</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0.5分)、基本无臭味</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0.5分)；不符合要求，不得分；4处厕所满分为10分。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城管局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963"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27.农村卫生厕所</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统筹推进辖区内农村户厕改造工作，农村卫生厕所普及率达到95%以上，地处偏远、经济欠发达的地区农村卫生厕所普及率达到85%以上。</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22" w:firstLine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查阅资料：农村户厕改造相关资料。</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32" w:firstLineChars="100"/>
              <w:jc w:val="left"/>
              <w:textAlignment w:val="baseline"/>
              <w:rPr>
                <w:rFonts w:hint="eastAsia" w:asciiTheme="minorEastAsia" w:hAnsiTheme="minorEastAsia" w:eastAsiaTheme="minorEastAsia" w:cstheme="minorEastAsia"/>
                <w:spacing w:val="11"/>
                <w:w w:val="100"/>
                <w:position w:val="0"/>
                <w:sz w:val="21"/>
                <w:szCs w:val="21"/>
              </w:rPr>
            </w:pPr>
            <w:r>
              <w:rPr>
                <w:rFonts w:hint="eastAsia" w:asciiTheme="minorEastAsia" w:hAnsiTheme="minorEastAsia" w:eastAsiaTheme="minorEastAsia" w:cstheme="minorEastAsia"/>
                <w:spacing w:val="11"/>
                <w:w w:val="100"/>
                <w:position w:val="0"/>
                <w:sz w:val="21"/>
                <w:szCs w:val="21"/>
              </w:rPr>
              <w:t>资料来源：农业农村、住房和城乡建设等部门。现场抽查：随机抽取1个行政村，现场随机抽取5户农村家庭，查看其卫生厕所情况。</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10" w:firstLine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查验标准：卫生厕所指有墙</w:t>
            </w:r>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有顶、有门，厕屋清洁、无臭，粪池无渗漏、无粪便暴露、无蝇蛆，厕所粪污就地处理处置，或转移至户厕外进行处理处置，达到无害化卫生要求。</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农村卫生厕所普及率≥95%，地处偏远、经济欠发达的地区农村卫生厕所普及率≥85%，得4分；农村卫生厕所普及率≥85%且＜95%，地处偏远、经济欠发达的地区农村卫生厕所普及率≥75%且＜85%，得2分；农村卫生厕所普及率＜85%，地处偏远、经济欠发达的地区农村卫生厕所普及率＜75%，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2.在查看的农户中，符合农村卫生厕所标准者，得1分；不符合者，不得分；5户农村家庭满分为5分。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该指标满分为9分。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9分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农业</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农村局</w:t>
            </w:r>
            <w:r>
              <w:rPr>
                <w:rFonts w:hint="eastAsia" w:asciiTheme="minorEastAsia" w:hAnsiTheme="minorEastAsia" w:cstheme="minorEastAsia"/>
                <w:spacing w:val="0"/>
                <w:w w:val="100"/>
                <w:position w:val="0"/>
                <w:sz w:val="21"/>
                <w:szCs w:val="21"/>
                <w:lang w:eastAsia="zh-CN"/>
              </w:rPr>
              <w:t>（县乡村振兴局）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3123"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第十四条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28.病媒孳生地治理及密度控制</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对蚊、蝇孳生地进行有效管理，鼠、蚊、蝇、蟑螂的密度达到国家病媒生物密度控制水平。</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22" w:firstLine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查阅资料：蚊、蝇孳生地治理或管理方案等</w:t>
            </w:r>
            <w:r>
              <w:rPr>
                <w:rFonts w:hint="eastAsia" w:asciiTheme="minorEastAsia" w:hAnsiTheme="minorEastAsia" w:cstheme="minorEastAsia"/>
                <w:spacing w:val="6"/>
                <w:w w:val="100"/>
                <w:position w:val="0"/>
                <w:sz w:val="21"/>
                <w:szCs w:val="21"/>
                <w:lang w:eastAsia="zh-CN"/>
              </w:rPr>
              <w:t>，</w:t>
            </w:r>
            <w:r>
              <w:rPr>
                <w:rFonts w:hint="eastAsia" w:asciiTheme="minorEastAsia" w:hAnsiTheme="minorEastAsia" w:eastAsiaTheme="minorEastAsia" w:cstheme="minorEastAsia"/>
                <w:spacing w:val="6"/>
                <w:w w:val="100"/>
                <w:position w:val="0"/>
                <w:sz w:val="21"/>
                <w:szCs w:val="21"/>
              </w:rPr>
              <w:t>查看1个城市居民小区所在街道的病媒生物密度控制的监测、自评报告等资料。</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10" w:firstLine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资料来源：卫生健康等部门、街道或相关部门。</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10" w:firstLine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现场抽查：抽取1个城区的居民小区，查看蚊蝇孳生地情况。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97" w:firstLineChars="89"/>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1.制定孳生地治理或管理方案，得2分；未制定，不得分。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2.被抽查街道鼠、蚊、蝇、蟑螂的密度达到国家标准B级，每项2分，合计8分；达到C级，每项0.5分，合计2分；C级以下，不得分。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3.在抽查的社区中：</w:t>
            </w:r>
          </w:p>
          <w:p>
            <w:pPr>
              <w:keepNext w:val="0"/>
              <w:keepLines w:val="0"/>
              <w:pageBreakBefore w:val="0"/>
              <w:widowControl w:val="0"/>
              <w:tabs>
                <w:tab w:val="left" w:pos="200"/>
              </w:tabs>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(1)未发现无盖的瓶瓶罐罐、轮胎积水、坑洼等小型积水，得2分；发现者，不得分。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97" w:firstLineChars="89"/>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(2)雨水道口等排水系统无积水，得2分；有积水，不得分。</w:t>
            </w:r>
          </w:p>
          <w:p>
            <w:pPr>
              <w:keepNext w:val="0"/>
              <w:keepLines w:val="0"/>
              <w:pageBreakBefore w:val="0"/>
              <w:widowControl w:val="0"/>
              <w:tabs>
                <w:tab w:val="left" w:pos="200"/>
              </w:tabs>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(3)垃圾桶加盖得2分；未加盖，不得分。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该指标满分为16分。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905"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29.规范饲养禽畜</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倡导禽畜圈养，指导养殖户或居民规范处理禽畜粪污，按要求对动物实施免疫接种。城市建成区内禁止饲养鸡、鸭、鹅、兔、羊、猪等家畜家禽。</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10" w:firstLine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现场抽查：随机抽取1个行政村，再随机抽取5户农村家庭，查看其禽畜饲养情况。</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10" w:firstLine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评判标准：禽畜圈养；及时清理粪便。</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在查看的农户中，符合禽畜饲养评判标准者，得2分；不符合者，不得分；5户农村家庭满分为10分。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农业</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农村局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551"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30.文明饲养宠物</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倡导居民文明饲养宠物，饲养犬只定期免疫接种狂犬病疫苗，携带犬只出户采取系犬绳等措施，防止犬只伤人，及时清理宠物粪便。流浪犬、猫得到妥善控制和处置，防止疫病传播。</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210" w:firstLine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现场查看：有无遛狗不系狗绳者、马路边有无宠物粪便。</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1.未发现有遛狗不系狗绳者，得4分；发现有，不得分。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2.马路边未发现宠物粪便，得3分；偶见，得2分；多见，不得分。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该指标满分为7分。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7分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农业</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农村局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717"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第十四条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31.禁止贩卖、制售、食用野生动物</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严格落实《全国人民代表大会常务委员会关于全面禁止非法野生动物交易、革除滥食野生动物陋习、切实保障人民群众生命健康安全的决定》《国家林业和草原局关于规范禁食野生动物分类管理范围的通知》等规定，加大宣传，严格执法，禁止贩卖、制售、食用野生动物。</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查阅资料：相关落实文件、执法记录等。</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资料来源：市场监管、公安、司法等部门。</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现场抽查：随机抽查1处农贸市场、或集市</w:t>
            </w:r>
            <w:r>
              <w:rPr>
                <w:rFonts w:hint="eastAsia" w:asciiTheme="minorEastAsia" w:hAnsiTheme="minorEastAsia" w:cstheme="minorEastAsia"/>
                <w:spacing w:val="0"/>
                <w:w w:val="100"/>
                <w:position w:val="0"/>
                <w:sz w:val="21"/>
                <w:szCs w:val="21"/>
                <w:lang w:eastAsia="zh-CN"/>
              </w:rPr>
              <w:t>，或</w:t>
            </w:r>
            <w:r>
              <w:rPr>
                <w:rFonts w:hint="eastAsia" w:asciiTheme="minorEastAsia" w:hAnsiTheme="minorEastAsia" w:eastAsiaTheme="minorEastAsia" w:cstheme="minorEastAsia"/>
                <w:spacing w:val="0"/>
                <w:w w:val="100"/>
                <w:position w:val="0"/>
                <w:sz w:val="21"/>
                <w:szCs w:val="21"/>
              </w:rPr>
              <w:t>宠物市场，查看有无贩卖、制售、食用野生动物情况。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1.有相关落实文件，得3分；无相关文件，不得分。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2.在抽查的场所未发现贩卖、制售、食用野生动物情况，得3分；发现上述情况，不得分。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86" w:firstLineChars="89"/>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林业局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399"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第十五条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32.食品生产经营单位油烟净化</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7"/>
                <w:w w:val="100"/>
                <w:position w:val="0"/>
                <w:sz w:val="21"/>
                <w:szCs w:val="21"/>
              </w:rPr>
              <w:t>排放油烟的饮食业单位需按照《饮食业油烟排放标准》规定，安装油烟净化设施，排气罩面积与灶头数的比≥1.1，油烟排放浓度≤2mg/m3，并保证操作期间按要求运行。</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现场抽查：随机抽查＞500</w:t>
            </w:r>
            <w:r>
              <w:rPr>
                <w:rFonts w:hint="eastAsia" w:asciiTheme="minorEastAsia" w:hAnsiTheme="minorEastAsia" w:cstheme="minorEastAsia"/>
                <w:spacing w:val="0"/>
                <w:w w:val="100"/>
                <w:position w:val="0"/>
                <w:sz w:val="21"/>
                <w:szCs w:val="21"/>
                <w:lang w:eastAsia="zh-CN"/>
              </w:rPr>
              <w:t>平方米</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的1家餐馆和1家单位食堂，查阅抽查单位相关检测报告。</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根据检测报告进行评分：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18" w:firstLineChars="6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1.安装油烟净化装置，得1分；未安装，不得分。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2.排烟口设置合理，得1分；设置不合理，不得分。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3.操作期间正常运行，得1分；未正常运行，不得分。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4.排放浓度达标，得1分；不达标或未能提供检测报告，不得分。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2家抽查单位满分为8分。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市监局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472"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33.明厨亮灶</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餐饮服务经营者实施明厨亮灶管理，采用透明、视频等方式，将厨房环境卫生、冷食类食品加工制作、生食类食品加工制作、烹饪和餐饮具清洗消毒等过程，向社会公众展示。</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现场抽查：随机抽查＞500</w:t>
            </w:r>
            <w:r>
              <w:rPr>
                <w:rFonts w:hint="eastAsia" w:asciiTheme="minorEastAsia" w:hAnsiTheme="minorEastAsia" w:cstheme="minorEastAsia"/>
                <w:spacing w:val="0"/>
                <w:w w:val="100"/>
                <w:position w:val="0"/>
                <w:sz w:val="21"/>
                <w:szCs w:val="21"/>
                <w:lang w:eastAsia="zh-CN"/>
              </w:rPr>
              <w:t>平方米</w:t>
            </w:r>
            <w:r>
              <w:rPr>
                <w:rFonts w:hint="eastAsia" w:asciiTheme="minorEastAsia" w:hAnsiTheme="minorEastAsia" w:eastAsiaTheme="minorEastAsia" w:cstheme="minorEastAsia"/>
                <w:spacing w:val="0"/>
                <w:w w:val="100"/>
                <w:position w:val="0"/>
                <w:sz w:val="21"/>
                <w:szCs w:val="21"/>
              </w:rPr>
              <w:t>的1家餐馆和1家单位食堂。</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在抽查的单位中：</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18" w:firstLineChars="6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1.实施明厨亮灶设施，得2分；未实施，不得分。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2.展示位置符合规定要求，得2分；不符合规定要求，不得分。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2家抽查单位满分为8分。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市监局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3698"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第十五条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34.食品安全管理</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食品采购、贮存、加工制作、销售符合食品安全要求。</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现场抽查：随机抽查＞500</w:t>
            </w:r>
            <w:r>
              <w:rPr>
                <w:rFonts w:hint="eastAsia" w:asciiTheme="minorEastAsia" w:hAnsiTheme="minorEastAsia" w:cstheme="minorEastAsia"/>
                <w:spacing w:val="0"/>
                <w:w w:val="100"/>
                <w:position w:val="0"/>
                <w:sz w:val="21"/>
                <w:szCs w:val="21"/>
                <w:lang w:eastAsia="zh-CN"/>
              </w:rPr>
              <w:t>平方米</w:t>
            </w:r>
            <w:r>
              <w:rPr>
                <w:rFonts w:hint="eastAsia" w:asciiTheme="minorEastAsia" w:hAnsiTheme="minorEastAsia" w:eastAsiaTheme="minorEastAsia" w:cstheme="minorEastAsia"/>
                <w:spacing w:val="0"/>
                <w:w w:val="100"/>
                <w:position w:val="0"/>
                <w:sz w:val="21"/>
                <w:szCs w:val="21"/>
              </w:rPr>
              <w:t>的1家餐馆和1家单位食堂，了解食品安全管理情况。</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管理要求：1.采购食品建立食品采购索证索票和登记台账制度。2.食品贮存做到分类分架、隔墙离地、生熟分开，并按照包装标识的条件进行存放。</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3.食品加工制作场所布局及工艺流程合理，防止原料与成品、生食品与熟食品交叉污染，避免食品接触有毒及不洁物。</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在抽查的单位中：</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1.食品采购符合要求，得1分；不符合要求，不得分。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2.食品贮存符合要求，得1分；不符合要求，不得分。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118" w:firstLineChars="6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3.食品加工制作符合要求，得2分；不符合要求，不得分。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126" w:firstLineChars="6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2家抽查单位满分为8分。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市监局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3869"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35.农药化肥使用及废弃农膜回收利用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以农药化肥减量增效为重点，推行绿色防控和病虫害统防统治，应用新型高效植保机械和高效低毒低残留农药，推广科学施肥技术和新型肥料，推进有机肥替代化肥，健全废旧农膜和农药化肥包装物等白色污染回收利用机制，建立回收利用体系，强化田间监测。</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查阅资料：农药化肥减量增效和农膜的统计年鉴、工作记录、年度总结报告等。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资料来源：农业农村、统计等行政主管部门。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1.主要作物农药利用率＞40%，得2分；≤40%，不得分。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2.主要作物化肥利用率＞40%，得2分；≤40%，不得分。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0"/>
                <w:w w:val="100"/>
                <w:position w:val="0"/>
                <w:sz w:val="21"/>
                <w:szCs w:val="21"/>
              </w:rPr>
              <w:t>3.</w:t>
            </w:r>
            <w:r>
              <w:rPr>
                <w:rFonts w:hint="eastAsia" w:asciiTheme="minorEastAsia" w:hAnsiTheme="minorEastAsia" w:eastAsiaTheme="minorEastAsia" w:cstheme="minorEastAsia"/>
                <w:spacing w:val="-6"/>
                <w:w w:val="100"/>
                <w:position w:val="0"/>
                <w:sz w:val="21"/>
                <w:szCs w:val="21"/>
              </w:rPr>
              <w:t>废旧农膜回收率＞80%，得2分；≤80%，不得分。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农业</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农村局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230" w:hRule="exact"/>
          <w:jc w:val="center"/>
        </w:trPr>
        <w:tc>
          <w:tcPr>
            <w:tcW w:w="474"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二、</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b/>
                <w:bCs/>
                <w:spacing w:val="0"/>
                <w:w w:val="100"/>
                <w:position w:val="0"/>
                <w:sz w:val="21"/>
                <w:szCs w:val="21"/>
                <w14:textOutline w14:w="3795" w14:cap="sq" w14:cmpd="sng">
                  <w14:solidFill>
                    <w14:srgbClr w14:val="000000"/>
                  </w14:solidFill>
                  <w14:prstDash w14:val="solid"/>
                  <w14:bevel/>
                </w14:textOutline>
              </w:rPr>
              <w:t>健康环境</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第十五条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36.畜禽粪污和秸秆资源化利用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开展畜禽粪污资源化利用和秸秆综合利用工作，建立秸秆台账和养殖场直联直报系统，支持规模养殖场粪污处理和粪肥还田设施建设与管理机制创新，支持开展秸秆肥料化、饲料化、能源化等“五料化”利用，不断提升促进畜禽粪污和秸秆资源化利用水平。</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11"/>
                <w:w w:val="100"/>
                <w:position w:val="0"/>
                <w:sz w:val="21"/>
                <w:szCs w:val="21"/>
              </w:rPr>
            </w:pPr>
            <w:r>
              <w:rPr>
                <w:rFonts w:hint="eastAsia" w:asciiTheme="minorEastAsia" w:hAnsiTheme="minorEastAsia" w:eastAsiaTheme="minorEastAsia" w:cstheme="minorEastAsia"/>
                <w:spacing w:val="11"/>
                <w:w w:val="100"/>
                <w:position w:val="0"/>
                <w:sz w:val="21"/>
                <w:szCs w:val="21"/>
              </w:rPr>
              <w:t>查阅资料：畜禽粪污资源化利用、秸秆综合利用的工作记录、年度总结报告，以及养殖场直联直报系统和秸秆台账。</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资料来源：农业农村行政主管部门。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1.畜禽粪污综合利用率＞76%，得4分；≤76%，不得分。</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2.秸秆综合利用率＞86%，得2分；≤86%，不得分。该指标满分为6分。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农业</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农村局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696" w:hRule="exac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三、健</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康社会</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第十六条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37.健康乡镇和健康细胞建设管理</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辖区内参照全国爱卫办、健康中国行动推进办下发的健康乡镇和健康村、健康社区、健康机关、健康企业、健康学校、健康促进医院、健康家庭等建设规范，全面推进健康乡镇建设，并广泛开展7类健康细胞建设。建立推进机制，出台相关文件、实施方案等，并开展人员培训、指导评估、总结宣传等管理工作。</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查阅资料：健康细胞建设实施方案、工作报告等相关资料。</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资料来源：健康细胞建设主管部门及相关部门等。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1.在辖区内开展健康乡镇建设，得6分；未开展，不得分。</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2.在辖区内开展前述7类健康细胞建设，每开展1类，得2分；未开展建设，不得分；满分14分。</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该指标满分为20分。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各机关</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单位</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各乡镇</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街道</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474" w:type="dxa"/>
            <w:vMerge w:val="continue"/>
            <w:tcBorders>
              <w:tl2br w:val="nil"/>
              <w:tr2bl w:val="nil"/>
            </w:tcBorders>
            <w:textDirection w:val="tbRlV"/>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38.健康乡镇和健康细胞建设覆盖率</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健康乡镇、健康促进医院和健康企业建设的比例和数量达到要求，其他5类健康细胞建设的覆盖率逐年提升。建设覆盖率达到100%的继续保持。</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查阅资料：健康细胞建设清单及本底资料等。</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资料来源：健康细胞建设主管部门及相关部门等。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1"/>
                <w:w w:val="100"/>
                <w:position w:val="0"/>
                <w:sz w:val="21"/>
                <w:szCs w:val="21"/>
              </w:rPr>
            </w:pPr>
            <w:r>
              <w:rPr>
                <w:rFonts w:hint="eastAsia" w:asciiTheme="minorEastAsia" w:hAnsiTheme="minorEastAsia" w:eastAsiaTheme="minorEastAsia" w:cstheme="minorEastAsia"/>
                <w:spacing w:val="1"/>
                <w:w w:val="100"/>
                <w:position w:val="0"/>
                <w:sz w:val="21"/>
                <w:szCs w:val="21"/>
              </w:rPr>
              <w:t>1.辖区内健康乡镇建设覆盖率≥30%，得9分；＜30%，得5分；未开展建设，不得分。2.辖区内二级及以上医院中，健康促进医院建设比例≥50%，得6分；＜50%，得3分；未开展建设，不得分。3.辖区内健康企业数量≥3家，得3分；＜3家，得2分；无健康企业，不得分。4.辖区每年新增健康企业≥1家，得3分；无新增，不得分。</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5.辖区内其他5类健康细胞建设覆盖率逐年提升，每类得5分；无提升，每类得3分；未开展建设，不得分；满分25分。</w:t>
            </w:r>
          </w:p>
          <w:p>
            <w:pPr>
              <w:keepNext w:val="0"/>
              <w:keepLines w:val="0"/>
              <w:pageBreakBefore w:val="0"/>
              <w:widowControl w:val="0"/>
              <w:kinsoku w:val="0"/>
              <w:wordWrap/>
              <w:overflowPunct/>
              <w:topLinePunct w:val="0"/>
              <w:autoSpaceDE w:val="0"/>
              <w:autoSpaceDN w:val="0"/>
              <w:bidi w:val="0"/>
              <w:adjustRightInd w:val="0"/>
              <w:snapToGrid w:val="0"/>
              <w:spacing w:line="24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该指标满分为46分。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科工信局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eastAsiaTheme="minorEastAsia" w:cstheme="minorEastAsia"/>
                <w:spacing w:val="0"/>
                <w:w w:val="100"/>
                <w:position w:val="0"/>
                <w:sz w:val="21"/>
                <w:szCs w:val="21"/>
                <w:lang w:eastAsia="zh-CN"/>
              </w:rPr>
              <w:t>各乡镇</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eastAsia="zh-CN"/>
              </w:rPr>
              <w:t>街道</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599"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三、健</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康社会</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第十六条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39.健康细胞建设质量</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提升各类健康细胞建设水平，达到本省或当地健康细胞建设要求。</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现场抽查：在已完成建设的健康细胞中，随机抽取1个城区的居民小区、1个行政村、2家党政机关、2家企业、1个小学和1个中学、1家县级医院和1家乡镇卫生院，结合本省或当地健康细胞评价标准，对其建设情况进行评价。</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在抽取的10个场所中，每个场所达到合格及以上评分，得4分；未达到合格，不得分；10个场所满分为40分。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1904"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第十七条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40.基本医疗保险覆盖率</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基本医疗保险参保率每年稳定在95%以上。</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查阅资料：医疗保障信息平台。</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资料来源：医保等部门。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参保率≥95%，得8分；＜95%者，计算公式为：(N%/95%)×8，N%为受评对象参保率。</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医保局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793"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41.医疗保障水平</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城乡居民基本医疗保险政策范围内住院费用基金支付比例稳定在70%左右。</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查阅资料：医疗保障信息平台。</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资料来源：医保等部门。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城乡居民基本医疗保险政策范围内住院费用基金支付比例≥65%且≤75%者，得8分；＜65%者，计算公式为：(N%/65%)×8，N%为受评对象基金支付比例；＞75%者，计算公式为：(75%/N%)×8,N%为受评对象基金支付比例。</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医保局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3871"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三、健</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康社会</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第十七条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42.强化社会福利保障</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11"/>
                <w:w w:val="100"/>
                <w:position w:val="0"/>
                <w:sz w:val="21"/>
                <w:szCs w:val="21"/>
              </w:rPr>
              <w:t>合理确定社会福利保障范围，确保老年人、残疾人、孤儿、精神障碍患者等特殊群体有尊严地生活和平等参与社会发展。</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查阅资料：相关统计信息系统。</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资料来源：民政、社保等部门。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1.基本养老保险参保率≥95%，得4分；＜95%者，计算公式为</w:t>
            </w:r>
            <w:r>
              <w:rPr>
                <w:rFonts w:hint="eastAsia" w:asciiTheme="minorEastAsia" w:hAnsi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(N%/95%)×4，N%为受评对象基本养老保险参保率。</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2.困难残疾人生活补贴目标人群覆盖率达到100%，得4分；＜100%者，计算公式为：(N%/100%)×4，N%为受评对象覆盖率。</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3.重度残疾人护理补贴目标人群覆盖率达到100%，得4分；＜100%者，计算公式为：(N%/100%)×4，N%为受评对象覆盖率。</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4.孤儿和事实无人抚养儿童保障覆盖率达到100%，得4分；＜100%者，计算公式为：(N%/100%)×4，N%为受评对象覆盖率。该指标满分为16分。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民政局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人社局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残联</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3536"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第十八条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43.强化老龄工作顶层设计</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依据《“十四五”国家老龄事业发展和养老服务体系规划》，将老龄事业发展和养老服务体系主要任务指标纳入当地经济社会发展规划，纳入为民办实事项目，纳入政府工作议事日程和目标责任考核内容。落实《中共中央国务院关于加强新时代老龄工作的意见》、国家和省级老龄事业发展和养老服务体系规划。</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查阅资料：工作报告、会议纪要、相关规划和实施方案等政策文件。</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资料来源：文件印发部门。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1.根据工作需要召开老龄委工作会议，得2分；未召开，不得分。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2.制定《中共中央国务院关于加强新时代老龄工作的意见》、老龄事业发展和养老服务体系规划的实施方案，得3分；未制定，不得分。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3.将老龄工作纳入本地区经济社会发展规划，得3分；未纳入，不得分。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民政局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5099"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三、健</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康社会</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第十八条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44.健康养老服务</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6"/>
                <w:w w:val="100"/>
                <w:position w:val="0"/>
                <w:sz w:val="21"/>
                <w:szCs w:val="21"/>
              </w:rPr>
              <w:t>养老服务覆盖城乡，兜底与普惠养老服务健全。发展医养结合服务，为老年人提供多层次、多样化养老服务，保障独居、空巢、失能</w:t>
            </w:r>
            <w:r>
              <w:rPr>
                <w:rFonts w:hint="eastAsia" w:asciiTheme="minorEastAsia" w:hAnsiTheme="minorEastAsia" w:cstheme="minorEastAsia"/>
                <w:spacing w:val="6"/>
                <w:w w:val="100"/>
                <w:position w:val="0"/>
                <w:sz w:val="21"/>
                <w:szCs w:val="21"/>
                <w:lang w:eastAsia="zh-CN"/>
              </w:rPr>
              <w:t>（</w:t>
            </w:r>
            <w:r>
              <w:rPr>
                <w:rFonts w:hint="eastAsia" w:asciiTheme="minorEastAsia" w:hAnsiTheme="minorEastAsia" w:eastAsiaTheme="minorEastAsia" w:cstheme="minorEastAsia"/>
                <w:spacing w:val="6"/>
                <w:w w:val="100"/>
                <w:position w:val="0"/>
                <w:sz w:val="21"/>
                <w:szCs w:val="21"/>
              </w:rPr>
              <w:t>含失智)、重残计划生育特殊家庭等特殊困难老年人的养老服务需求。</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查阅资料：健康养老服务相关资料。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资料来源：民政、卫生健康等相关部门。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1.至少有1个县级特困人员供养服务设施</w:t>
            </w:r>
            <w:r>
              <w:rPr>
                <w:rFonts w:hint="eastAsia" w:asciiTheme="minorEastAsia" w:hAnsiTheme="minorEastAsia" w:cstheme="minorEastAsia"/>
                <w:spacing w:val="6"/>
                <w:w w:val="100"/>
                <w:position w:val="0"/>
                <w:sz w:val="21"/>
                <w:szCs w:val="21"/>
                <w:lang w:eastAsia="zh-CN"/>
              </w:rPr>
              <w:t>（</w:t>
            </w:r>
            <w:r>
              <w:rPr>
                <w:rFonts w:hint="eastAsia" w:asciiTheme="minorEastAsia" w:hAnsiTheme="minorEastAsia" w:eastAsiaTheme="minorEastAsia" w:cstheme="minorEastAsia"/>
                <w:spacing w:val="6"/>
                <w:w w:val="100"/>
                <w:position w:val="0"/>
                <w:sz w:val="21"/>
                <w:szCs w:val="21"/>
              </w:rPr>
              <w:t>敬老院)，得4分；没有，不得分。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2.发展医养结合服务：</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①制定推进医养结合发展的政策措施，得1分；未制定，不得分。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②开展多种形式的医养结合服务，得1分；未开展，不得分。③养老机构以不同形式为入住老年人提供医疗卫生服务的比例≥90%，得2分；＜90%，不得分。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w w:val="100"/>
                <w:position w:val="0"/>
                <w:sz w:val="21"/>
                <w:szCs w:val="21"/>
              </w:rPr>
            </w:pPr>
            <w:r>
              <w:rPr>
                <w:rFonts w:hint="eastAsia" w:asciiTheme="minorEastAsia" w:hAnsiTheme="minorEastAsia" w:eastAsiaTheme="minorEastAsia" w:cstheme="minorEastAsia"/>
                <w:spacing w:val="6"/>
                <w:w w:val="100"/>
                <w:position w:val="0"/>
                <w:sz w:val="21"/>
                <w:szCs w:val="21"/>
              </w:rPr>
              <w:t>3.养老机构护理型床位占比≥55%，得3分；＜55%，不得分。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4.综合性医院、康复医院、护理院和基层医疗卫生机构中老年友善医疗卫生机构占比≥85%，得3分；＜85%，不得分。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5.特殊困难老年人远程或上门形式的月探访率达到100%，得4分；＜100%，不得分。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6.每千名老年人配备社会工作者人数≥1人，得4分；＜1人，得2分；未配备，不得分。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该指标满分为22分。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22分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民政局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57" w:type="dxa"/>
            <w:left w:w="57" w:type="dxa"/>
            <w:bottom w:w="57" w:type="dxa"/>
            <w:right w:w="57" w:type="dxa"/>
          </w:tblCellMar>
        </w:tblPrEx>
        <w:trPr>
          <w:trHeight w:val="2354"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45.居家适老化改造</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对有需求的经济困难的失能、残疾、高龄等老年人家庭实施适老化改造，提供引导支持。</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查阅资料：相关文件和数据记录等。资料来源：民政、住房和城乡建设等相关部门。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1.有家庭适老化改造相关文件，得2分；无文件，不得分。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2.</w:t>
            </w:r>
            <w:r>
              <w:rPr>
                <w:rFonts w:hint="eastAsia" w:asciiTheme="minorEastAsia" w:hAnsiTheme="minorEastAsia" w:eastAsiaTheme="minorEastAsia" w:cstheme="minorEastAsia"/>
                <w:spacing w:val="6"/>
                <w:w w:val="100"/>
                <w:position w:val="0"/>
                <w:sz w:val="21"/>
                <w:szCs w:val="21"/>
              </w:rPr>
              <w:t>有需求的特殊困难老年人居家适老化改造覆盖率≥80%，得6分；≥50%且＜80%，得3分；＜50%，得2分；未实施改造，不得分。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民政局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w w:val="100"/>
                <w:position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04"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三、健</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社</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会</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9"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第十九条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46.特殊儿童医疗康复和教育资助</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建立针对孤儿、事实无人抚养儿童、困境儿童等特殊儿童群体的康复和教育资助制度，出台相关文件，明确相关部门职责，规范认定和申领流程。</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查阅资料：特殊儿童康复和教育资助制度建设相关资料。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资料来源：民政、卫生健康、教育、残联等相关部门。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1.印发专门文件，得2分；未印发，不得分。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2.明确相关部门职责，得2分；未明确，不得分。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3.具有规范的认定和申领流程，得2分；无流程，不得分。该指标满分为6分。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民政局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残联</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教育局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47.托位数年</w:t>
            </w:r>
          </w:p>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增长率</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通过新建、改扩建、支持一批嵌入式、分布式、连锁化、专业化的社区托育服务设施建设，提供多样化的普惠托育服务，提高社区托育服务设施覆盖率。完善婴幼儿照护服务设施，辖区内托位数逐年增长。</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查阅资料：近2年婴幼儿托位数统计数据。</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资料来源：民政、卫生健康、教育等相关部门。</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现场抽查：随机抽查1个城区居民小区，现场查看托育服务设施的建设情况。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w:t>
            </w:r>
            <w:r>
              <w:rPr>
                <w:rFonts w:hint="eastAsia" w:asciiTheme="minorEastAsia" w:hAnsiTheme="minorEastAsia" w:eastAsiaTheme="minorEastAsia" w:cstheme="minorEastAsia"/>
                <w:spacing w:val="-6"/>
                <w:sz w:val="21"/>
                <w:szCs w:val="21"/>
              </w:rPr>
              <w:t>被抽查的城区居民小区中，有建设托育服务设施，得5分；未建设，不得分。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2.托位数增长率≥20%，得5分；≥10%且＜20%，得3分；＞0且＜10%，得1分；无增长或负增长，不得分。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87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48.精神卫生</w:t>
            </w:r>
          </w:p>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工作</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登记在册的严重精神障碍患者规范管理率达到80%，精神分裂症服药率达到80%。开展精神障碍社区康复服务，覆盖50%以上的居家精神障碍患者。</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查阅资料：精神卫生相关资料。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1.至少有1所县级公立医院根据要求设置精神科/精神心理门诊，得1分；未设置，不得分。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2.登记在册的严重精神障碍患者规范管理率≥80%，得2分；＜80%，不得分。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3</w:t>
            </w:r>
            <w:r>
              <w:rPr>
                <w:rFonts w:hint="eastAsia" w:asciiTheme="minorEastAsia" w:hAnsiTheme="minorEastAsia" w:eastAsiaTheme="minorEastAsia" w:cstheme="minorEastAsia"/>
                <w:spacing w:val="6"/>
                <w:sz w:val="21"/>
                <w:szCs w:val="21"/>
              </w:rPr>
              <w:t>.精神分裂症服药率≥80%，得2分；＜80%，不得分。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6"/>
                <w:sz w:val="21"/>
                <w:szCs w:val="21"/>
              </w:rPr>
              <w:t>4.组织开展精神障碍社区康复服务，得1分；未开展，不得分。该指标满分为6分。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554"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三、健</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社</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w w:val="100"/>
                <w:position w:val="0"/>
                <w:sz w:val="21"/>
                <w:szCs w:val="21"/>
                <w14:textOutline w14:w="3795" w14:cap="sq" w14:cmpd="sng">
                  <w14:solidFill>
                    <w14:srgbClr w14:val="000000"/>
                  </w14:solidFill>
                  <w14:prstDash w14:val="solid"/>
                  <w14:bevel/>
                </w14:textOutline>
              </w:rPr>
              <w:t>会</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第十九条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49.精神障碍社区康复服务</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体系</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精神卫生医疗机构、社区康复机构及社会组织、家庭相互衔接的精神障碍社区康复服务体系，建立和完善心理健康教育、心理热线服务、心理评估、心理咨询、心理治疗、精神科治疗等衔接合作的心理危机干预和心理援助服务模式。</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查阅资料：精神卫生相关资料。资料来源：相关部门。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1.出台关于加强精神障碍社区康复服务体系建设相关文件，得3分；未出台文件，不得分。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2.</w:t>
            </w:r>
            <w:r>
              <w:rPr>
                <w:rFonts w:hint="eastAsia" w:asciiTheme="minorEastAsia" w:hAnsiTheme="minorEastAsia" w:eastAsiaTheme="minorEastAsia" w:cstheme="minorEastAsia"/>
                <w:spacing w:val="6"/>
                <w:sz w:val="21"/>
                <w:szCs w:val="21"/>
              </w:rPr>
              <w:t>将心理危机干预和心理救援纳入各类突发事件应急预案和技术方案并定期开展培训和演练，得3分；纳入应急预案和技术方案但未开展培训和演练，得2分；未纳入应急预案和技术方案，不得分。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33"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6"/>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193"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193"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6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9"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50.交通和安全管理</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6"/>
                <w:sz w:val="21"/>
                <w:szCs w:val="21"/>
              </w:rPr>
              <w:t>强化治安防控、交通和安全管理，落实安全生产责任制，杜绝重特大安全事件。</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查阅资料：交通事故相关数据，近3年内重特大安全事件发生情况。</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资料来源：交通运输部门或统计部门、应急管理部门等。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1.每万人交通事故发生数＜全国平均水平</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可从国家统计局网站查询年度全国交通事故相关数据)，得4分；≥全国平均水平，不得分。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2.每万人交通事故死亡人数＜全国平均水平，得4分；≥全国平均水平，不得分。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3.近3年内没有发生过重特大安全事件，得4分；发生过，不得分。该指标满分为12分。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12分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交通局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应急管理局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交警大队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57"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51.医疗秩序</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安全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避免发生社会影响恶劣的伤医案件和严重扰乱正常医疗秩序的案件。</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查阅资料：近3年内发生社会影响恶劣的伤医案件和严重扰乱正常医疗秩序的案件情况。</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资料来源：卫生健康、公安等部门。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1.近3年内没有发生过社会影响恶劣的伤医案件</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得3分；发生过，不得分。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2.近3年内没有发生过严重扰乱正常医疗秩序的案件，得3分；发生过，不得分。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公安局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56"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52.消防安全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各单位和居民住宅消防设施齐全、完好，消防车通道通畅。</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现场抽查：随机抽取1个城区的居民小区和1家娱乐场所，查看消防安全相关资料，实地了解其消防设施配置、消防车通道等情况。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在抽查的社区或场所中：</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1.</w:t>
            </w:r>
            <w:r>
              <w:rPr>
                <w:rFonts w:hint="eastAsia" w:asciiTheme="minorEastAsia" w:hAnsiTheme="minorEastAsia" w:eastAsiaTheme="minorEastAsia" w:cstheme="minorEastAsia"/>
                <w:spacing w:val="6"/>
                <w:sz w:val="21"/>
                <w:szCs w:val="21"/>
              </w:rPr>
              <w:t>消防设施齐全、完好</w:t>
            </w:r>
            <w:r>
              <w:rPr>
                <w:rFonts w:hint="eastAsia" w:asciiTheme="minorEastAsia" w:hAnsiTheme="minorEastAsia" w:cstheme="minorEastAsia"/>
                <w:spacing w:val="6"/>
                <w:sz w:val="21"/>
                <w:szCs w:val="21"/>
                <w:lang w:eastAsia="zh-CN"/>
              </w:rPr>
              <w:t>（</w:t>
            </w:r>
            <w:r>
              <w:rPr>
                <w:rFonts w:hint="eastAsia" w:asciiTheme="minorEastAsia" w:hAnsiTheme="minorEastAsia" w:eastAsiaTheme="minorEastAsia" w:cstheme="minorEastAsia"/>
                <w:spacing w:val="6"/>
                <w:sz w:val="21"/>
                <w:szCs w:val="21"/>
              </w:rPr>
              <w:t>火灾自动报警系统、自动灭火系统、消火栓系统、防烟排烟系统以及应急广播和应急照明、安全疏散设施等)，得2分；未达标，不得分。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2.消防车通道畅通，得2分；未达标，不得分。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126" w:firstLineChars="6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2家抽查单位满分为8分。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应急管理局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152"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四、健</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服</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务</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第二十一条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53.县域内基本医疗卫生资源配置</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3"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专业公共卫生机构、医院、基层医疗卫生机构等按常住人口和服务半径合理布局，各级各类医疗卫生机构符合国家设置和建设标准，促进人人享有均等化的基本医疗卫生服务。</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查阅资料：医疗卫生服务体系建设相关资料。</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1.每万人口公共卫生人员数近3年持续增长，得1分；维持不变或有下降趋势，不得分。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2.每千人口执业</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助理)医师数≥所在省份同期平均水平，得1分；＜平均水平，不得分。3.每万人全科医生数≥所在省份同期平均水平，得1分；＜平均水平，不得分。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4.辖区社区卫生服务中心配置达到要求，即每个街道办或每3万-10万人口设置1所社区卫生服务中心，得1分；未达标，不得分。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5.辖区社区卫生服务站配置达到要求，即每3-5个居委会或每1万-2万人口设置1所社区卫生服务站，得1分；未达标，不得分。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6.每个乡镇都建有标准化乡镇卫生院，得1分；乡镇卫生院未能全覆盖，不得分。</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527"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54.全方位全周期健康服务</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5"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建立完善全方位全周期健康服务体系，满足辖区健康服务需求。加强高血压、糖尿病患者管理，逐步实现高血压、糖尿病患者管理干预全覆盖。</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查阅资料：全方位全周期健康服务体系建设相关资料。</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1.辖区内建有标准化的妇幼保健机构，得2分；未建，不得分。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2.辖区内≥80%的乡镇卫生院、社区卫生服务中心配备2名以上专业从事儿童保健的医生，得2分；≥60％且＜80％，得1分；≥50％且＜60％，得0.5分；＜50％，不得分。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3.县区范围内至少有1家承担职业健康检查的医疗卫生机构，得2分；没有，不得分。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4.慢性病管理率：</w:t>
            </w:r>
          </w:p>
          <w:p>
            <w:pPr>
              <w:keepNext w:val="0"/>
              <w:keepLines w:val="0"/>
              <w:pageBreakBefore w:val="0"/>
              <w:widowControl w:val="0"/>
              <w:kinsoku w:val="0"/>
              <w:wordWrap/>
              <w:overflowPunct/>
              <w:topLinePunct w:val="0"/>
              <w:autoSpaceDE w:val="0"/>
              <w:autoSpaceDN w:val="0"/>
              <w:bidi w:val="0"/>
              <w:adjustRightInd w:val="0"/>
              <w:snapToGrid w:val="0"/>
              <w:spacing w:line="231"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①高血压患者规范管理率≥60%，得1分；＜60%，不得分。②糖尿病患者规范管理率≥60%，得1分；＜60%，不得分。该指标满分为8分。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077"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四、健</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服</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务</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第二十二条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55.家庭医生</w:t>
            </w:r>
          </w:p>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签约服务</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6"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健全家庭医生签约服务团队，增加签约服务供给，扩大签约服务覆盖面，强化签约服务内涵，推进有效签约、规范签约。</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现场抽查：随机抽取1家社区卫生服务中心或1家乡镇卫生院，查阅家庭医生签约服务开展、质量控制等情况。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1.定期开展家庭医生签约服务质量考核，得1分；未考核，不得分。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2.能够为签约居民提供优先转诊、检查、住院等服务，得1.5分；不能提供，不得分。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3.能够为签约慢病患者提供大于4周长处方服务，得1.5分；不能提供，不得分。</w:t>
            </w:r>
          </w:p>
          <w:p>
            <w:pPr>
              <w:keepNext w:val="0"/>
              <w:keepLines w:val="0"/>
              <w:pageBreakBefore w:val="0"/>
              <w:widowControl w:val="0"/>
              <w:kinsoku w:val="0"/>
              <w:wordWrap/>
              <w:overflowPunct/>
              <w:topLinePunct w:val="0"/>
              <w:autoSpaceDE w:val="0"/>
              <w:autoSpaceDN w:val="0"/>
              <w:bidi w:val="0"/>
              <w:adjustRightInd w:val="0"/>
              <w:snapToGrid w:val="0"/>
              <w:spacing w:line="204"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4.重点人群签约服务覆盖率≥70%，得2分；＜70%，不得分。该指标满分为6分。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16"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56.县域内就诊率逐年提升</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4"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县域内就诊率达到90%且近3年县域内就诊率逐年提升。县域就诊率</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%)=参保人员县域内门急诊人次/参保人员门急诊总人次×100%。</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查阅资料：县域内就诊率相关资料。</w:t>
            </w:r>
          </w:p>
          <w:p>
            <w:pPr>
              <w:keepNext w:val="0"/>
              <w:keepLines w:val="0"/>
              <w:pageBreakBefore w:val="0"/>
              <w:widowControl w:val="0"/>
              <w:kinsoku w:val="0"/>
              <w:wordWrap/>
              <w:overflowPunct/>
              <w:topLinePunct w:val="0"/>
              <w:autoSpaceDE w:val="0"/>
              <w:autoSpaceDN w:val="0"/>
              <w:bidi w:val="0"/>
              <w:adjustRightInd w:val="0"/>
              <w:snapToGrid w:val="0"/>
              <w:spacing w:line="23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资料来源：卫生健康部门或医保信息系统。</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7"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1.县域内就诊率≥90%，得4分；＜90%，不得分。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2.近3年县域内就诊率逐年提高，得4分；其中有1年下降，得2分；逐年下降，不得分。</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747"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5"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第二十三条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5"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57.改善疾病预防控制基础</w:t>
            </w:r>
          </w:p>
          <w:p>
            <w:pPr>
              <w:keepNext w:val="0"/>
              <w:keepLines w:val="0"/>
              <w:pageBreakBefore w:val="0"/>
              <w:widowControl w:val="0"/>
              <w:kinsoku w:val="0"/>
              <w:wordWrap/>
              <w:overflowPunct/>
              <w:topLinePunct w:val="0"/>
              <w:autoSpaceDE w:val="0"/>
              <w:autoSpaceDN w:val="0"/>
              <w:bidi w:val="0"/>
              <w:adjustRightInd w:val="0"/>
              <w:snapToGrid w:val="0"/>
              <w:spacing w:line="205"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条件</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5"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不断完善疾病预防控制体系，加强疾病预防控制基础设施建设，强化疾病预防控制人才队伍，提高疾病预防控制网络安全和信息化水平。</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5"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查阅资料：疾病预防控制工作相关资料。</w:t>
            </w:r>
          </w:p>
          <w:p>
            <w:pPr>
              <w:keepNext w:val="0"/>
              <w:keepLines w:val="0"/>
              <w:pageBreakBefore w:val="0"/>
              <w:widowControl w:val="0"/>
              <w:kinsoku w:val="0"/>
              <w:wordWrap/>
              <w:overflowPunct/>
              <w:topLinePunct w:val="0"/>
              <w:autoSpaceDE w:val="0"/>
              <w:autoSpaceDN w:val="0"/>
              <w:bidi w:val="0"/>
              <w:adjustRightInd w:val="0"/>
              <w:snapToGrid w:val="0"/>
              <w:spacing w:line="205"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5"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当地疾病预防控制机构基础设施和设备配置达到《疾病预防控制中心建设标准》，得8分；未达到标准，不得分。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69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58.强化基层公共卫生责任</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6"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居</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村)委会设立公共卫生委员会，完善基层疾病防控网络，落实网格化防控管理职责。乡镇卫生院和社区卫生服务中心设置预防保健科室，为每个社区卫生服务中心和乡镇卫生院至少配置1名公共卫生医师，开展疾病预防控制工作。</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查阅资料：基层公共卫生工作相关资料。</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1.辖区所有居委会</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行政村)设立公共卫生委员会，得4分；部分设立，得2分；未设立，不得分。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2.辖区所有乡镇卫生院和社区卫生服务中心设置预防保健室，得4分；部分设立，得2分；未设立，不得分。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3.每个社区卫生服务中心和乡镇卫生院至少配备1名公共卫生医师，得4分；部分配备，得2分；未配备，不得分。</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该指标满分为12分。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12分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62"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四、健</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服</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务</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第二十三条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59.强化医院公共卫生责任</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2"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二级以上医疗机构设置公共卫生科并配备公共卫生医师。制定医疗机构公共卫生责任清单。</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查阅资料：医院公共卫生工作相关资料。</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2"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1.辖区二级以上医疗机构设置公共卫生科并配备公共卫生医师，得4分；部分设立，得2分；未设立，不得分。</w:t>
            </w:r>
          </w:p>
          <w:p>
            <w:pPr>
              <w:keepNext w:val="0"/>
              <w:keepLines w:val="0"/>
              <w:pageBreakBefore w:val="0"/>
              <w:widowControl w:val="0"/>
              <w:kinsoku w:val="0"/>
              <w:wordWrap/>
              <w:overflowPunct/>
              <w:topLinePunct w:val="0"/>
              <w:autoSpaceDE w:val="0"/>
              <w:autoSpaceDN w:val="0"/>
              <w:bidi w:val="0"/>
              <w:adjustRightInd w:val="0"/>
              <w:snapToGrid w:val="0"/>
              <w:spacing w:line="212"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2.制定医疗机构公共卫生责任清单，得4分；未制定，不得分。该指标满分为8分。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27"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5"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60.突发公共卫生事件和重大疫情防控联防联控机制</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4"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县区建立突发公共卫生事件和重大疫情联防联控机制，明确政府、相关部门和单位在突发公共卫生事件和重大疫情应对中的职责和任务，建立完善协同工作机制。</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查阅资料：联防联控机制相关资料。</w:t>
            </w:r>
          </w:p>
          <w:p>
            <w:pPr>
              <w:keepNext w:val="0"/>
              <w:keepLines w:val="0"/>
              <w:pageBreakBefore w:val="0"/>
              <w:widowControl w:val="0"/>
              <w:kinsoku w:val="0"/>
              <w:wordWrap/>
              <w:overflowPunct/>
              <w:topLinePunct w:val="0"/>
              <w:autoSpaceDE w:val="0"/>
              <w:autoSpaceDN w:val="0"/>
              <w:bidi w:val="0"/>
              <w:adjustRightInd w:val="0"/>
              <w:snapToGrid w:val="0"/>
              <w:spacing w:line="23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资料来源：文件印发部门、企事业单位等。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1.建立突发公共卫生事件和重大疫情联防联控机制，得6分；未建立，不得分。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2.明确政府、相关部门和单位在突发公共卫生事件和重大疫情应对中的职责和任务，得4分；未明确，不得分。</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该指标满分为10分。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8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61.重大传染病防控应急处置预案</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6"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县区组织制定属地重大传染病防控方案和应急处置预案，开展应急培训和实战演练，做好人员设施设备和物资储备。</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查阅资料：应急预案、技术方案、演习和培训记录等。</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7"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1.有应急预案，得4分；无预案，不得分。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2.过去1年开展过至少1次应急培训，得3分；未开展，不得分。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3.过去1年开展过至少1次实战演练，得3分；未开展，不得分。</w:t>
            </w:r>
          </w:p>
          <w:p>
            <w:pPr>
              <w:keepNext w:val="0"/>
              <w:keepLines w:val="0"/>
              <w:pageBreakBefore w:val="0"/>
              <w:widowControl w:val="0"/>
              <w:kinsoku w:val="0"/>
              <w:wordWrap/>
              <w:overflowPunct/>
              <w:topLinePunct w:val="0"/>
              <w:autoSpaceDE w:val="0"/>
              <w:autoSpaceDN w:val="0"/>
              <w:bidi w:val="0"/>
              <w:adjustRightInd w:val="0"/>
              <w:snapToGrid w:val="0"/>
              <w:spacing w:line="193"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该指标满分为10分。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8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62.急救能力</w:t>
            </w:r>
          </w:p>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建设</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4"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县区规划和实施辖区内院前医疗急救体系建设；定期开展重点行业人群急救知识与技能培训；向公众普及心肺复苏等急救技能，提高公众急救能力。</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查阅资料：急救能力建设相关文件、方案、培训记录等。</w:t>
            </w:r>
          </w:p>
          <w:p>
            <w:pPr>
              <w:keepNext w:val="0"/>
              <w:keepLines w:val="0"/>
              <w:pageBreakBefore w:val="0"/>
              <w:widowControl w:val="0"/>
              <w:kinsoku w:val="0"/>
              <w:wordWrap/>
              <w:overflowPunct/>
              <w:topLinePunct w:val="0"/>
              <w:autoSpaceDE w:val="0"/>
              <w:autoSpaceDN w:val="0"/>
              <w:bidi w:val="0"/>
              <w:adjustRightInd w:val="0"/>
              <w:snapToGrid w:val="0"/>
              <w:spacing w:line="239"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资料来源：卫生健康及相关部门等。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1.制定辖区院前医疗急救体系建设规划、实施方案等，得4分；未制定，不得分。</w:t>
            </w:r>
          </w:p>
          <w:p>
            <w:pPr>
              <w:keepNext w:val="0"/>
              <w:keepLines w:val="0"/>
              <w:pageBreakBefore w:val="0"/>
              <w:widowControl w:val="0"/>
              <w:kinsoku w:val="0"/>
              <w:wordWrap/>
              <w:overflowPunct/>
              <w:topLinePunct w:val="0"/>
              <w:autoSpaceDE w:val="0"/>
              <w:autoSpaceDN w:val="0"/>
              <w:bidi w:val="0"/>
              <w:adjustRightInd w:val="0"/>
              <w:snapToGrid w:val="0"/>
              <w:spacing w:line="218"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2.过去1年中开展过重点行业人群急救知识与技能培训，得3分；未开展，不得分。</w:t>
            </w:r>
          </w:p>
          <w:p>
            <w:pPr>
              <w:keepNext w:val="0"/>
              <w:keepLines w:val="0"/>
              <w:pageBreakBefore w:val="0"/>
              <w:widowControl w:val="0"/>
              <w:kinsoku w:val="0"/>
              <w:wordWrap/>
              <w:overflowPunct/>
              <w:topLinePunct w:val="0"/>
              <w:autoSpaceDE w:val="0"/>
              <w:autoSpaceDN w:val="0"/>
              <w:bidi w:val="0"/>
              <w:adjustRightInd w:val="0"/>
              <w:snapToGrid w:val="0"/>
              <w:spacing w:line="237" w:lineRule="auto"/>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3.向公众普及心肺复苏等急救技能，得3分；未开展，不得分。该指标满分为10分。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211"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四、健</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服</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务</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第二十四条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63.基层健康教育服务项目</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落实国家基本公共卫生服务健康教育项目和健康素养促进项目，面向城乡居民普及健康知识和技能，倡导健康生活方式。</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现场抽查：随机抽取1家社区卫生服务中心和1家乡镇卫生院，查阅资料，了解国家基本公共卫生服务健康教育项目执行情况。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在抽查的社区卫生服务中心和乡镇卫生院中，能够按照基本公共卫生服务规范实施健康教育项目，得7分；未规范实施，得4分；未实施，不得分；2家抽查单位满分为14分。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14分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51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64.健康主题</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活动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结合卫生健康相关节日、纪念日或者卫生健康重点工作，开展多部门参与的、有媒体深入宣传的健康主题活动，因地制宜建设健康小屋，普及健康知识和技能，努力营造良好的健康氛围。</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查阅资料：随机抽取2次健康主题活动的材料，了解活动开展情况。</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针对被抽查的健康主题活动；</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1.多部门联合举办，得3分；仅1个部门主办，得1分。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2.有媒体参与，得3分；无媒体参与，不得分。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6"/>
                <w:sz w:val="21"/>
                <w:szCs w:val="21"/>
              </w:rPr>
              <w:t>2次活动满分为12分；未开展健康主题活动，不得分。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12分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717"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65.提升居民健康素养水平</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使用国家统一的监测方案和问卷开展辖区居民健康素养监测，且相关统计调查工作经本级统计部门审核同意；健康素养水平不断提升。</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查阅资料：健康素养监测相关资料。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资料来源：健康教育专业机构。</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1.有监测方案，得2分；无方案，不得分。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2.有培训相关资料，得2分；未培训，不得分。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3.有原始数据库，得3分；无数据库，不得分。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4.有监测报告，得3分；无报告，不得分。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5.健康素养水平高于本省平均水平，或近3年呈上升趋势，得6分；低于本省平均水平或近3年呈下降趋势，不得分。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091"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四、健</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服</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务</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第二十五条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66.健康教育纳入医疗卫生机构绩效考核</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县区卫生健康行政部门将健康教育工作纳入各级医疗卫生机构绩效考核，纳入医务人员日常业务考核以及评先评优、职称晋升的考核内容。</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查阅资料：绩效考核相关资料。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资料来源：卫生健康行政部门及各级医疗卫生机构等。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抽取1家县级医院和1家乡镇卫生院，了解将健康教育纳入绩效考核情况。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1.有关于将健康教育纳入医疗卫生机构绩效考核的文件，得4分；无文件，不得分。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2.</w:t>
            </w:r>
            <w:r>
              <w:rPr>
                <w:rFonts w:hint="eastAsia" w:asciiTheme="minorEastAsia" w:hAnsiTheme="minorEastAsia" w:eastAsiaTheme="minorEastAsia" w:cstheme="minorEastAsia"/>
                <w:spacing w:val="6"/>
                <w:sz w:val="21"/>
                <w:szCs w:val="21"/>
              </w:rPr>
              <w:t>被抽查的县级医院或乡镇卫生院有相关落实制度，得2分；无落实制度，不得分；2家医疗机构满分为4分。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73"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67.患者健康教育服务</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辖区医疗卫生机构建立完善候诊、门诊、住院、随访等业务工作全周期健康教育工作流程，向患者提供健康教育处方，帮助患者养成有利于健康的行为。</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查阅资料：医疗卫生机构相关工作资料。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资料来源：医疗卫生机构。</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抽取1家县级医院和1家乡镇卫生院，了解健康教育服务提供情况。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被抽取的医疗机构中：</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1.有患者健康教育工作流程，得3分；无工作流程，不得分。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2.在诊疗中使用健康教育处方，得3分；未使用，不得分。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2家医疗机构满分为12分。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12分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08"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68.医疗卫生人员开展健康</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科普</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建立县域健康科普专家库，定期组织专家深入社区、单位、学校等场所开展健康讲座和健康咨询。鼓励和规范医务人员利用各类媒体开展健康科普。</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查阅资料：健康科普专家库及医务人员参与媒体健康科普相关工作资料等。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1.建立县级健康科普专家库，得2分；未建立，不得分。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2.组织专家深入社区、单位、学校等场所开展健康讲座和健康咨询，有工作记录，得3分；无工作记录，不得分。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3.县级出台医务人员参与媒体健康科普的工作制度或规范，得2分；无制度或规范，不得分。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4.医务人员利用各类媒体开展健康科普，有工作记录，得3分；未开展或无记录，不得分。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24"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四、健</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服</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务</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第二十六条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69.县级中医医院特色专科</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建设</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开展县级中医医院特色专科建设，逐步建立健全适宜技术推广工作机制。</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查阅资料：各县级中医医院特色专科建设相关资料。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1.县级中医医院完成2个中医特色优势专科的建设任务，得4分；完成1个建设任务，得2分；未完成建设任务，不得分。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2.出台中医药适宜技术推广责任制的相关文件，得2分；未出台文件，不得分。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70.基层医疗卫生机构中医药服务能力</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辖区乡镇卫生院和社区卫生服务中心设置中医馆、配备中医师。建立相对独立的中医馆</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中医综合服务区)，达到服务标准和中医师配置标准、逐步完善服务内涵建设、接入健康信息平台并开展远程医疗服务。</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查阅资料：中医馆建设和运行相关资料。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1.达标建设中医馆</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中医综合服务区)的社区卫生服务中心占比达到100%，得5分；≥80%且＜100%，得3分；＜80%，得1分；未建设，不得分。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2.达标建设中医馆</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中医综合服务区)的乡镇卫生院占比达到100%，得5分；≥80%且＜100%，得3分；＜80%，得1分；未建设，不得分。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96"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71.家庭医生中医药服务</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将中医药服务纳入家庭医生签约服务内容，加强签约团队中医药人员配置，鼓励家庭医生</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团队)掌握和使用针刺、推拿、拔罐、艾灸等中医药技术方法，提供中医治未病服务。</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现场抽查：抽取1家社区卫生服务中心和1家乡镇卫生院，了解家庭医生中医药服务开展及中医治未病服务提供情况。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被抽取的医疗机构中：</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1.机构有包含中医药服务内容的签约服务包，得2分；没有，不得分。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2.社区卫生服务中心或乡镇卫生院有家庭医生团队或个人通过针刺、推拿、拔罐、艾灸等中医药技术方法为签约居民提供中医药治未病服务，得2分；不能提供，不得分。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2家抽查单位满分为8分。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98" w:hRule="atLeast"/>
          <w:jc w:val="center"/>
        </w:trPr>
        <w:tc>
          <w:tcPr>
            <w:tcW w:w="474"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四、健</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康</w:t>
            </w:r>
          </w:p>
          <w:p>
            <w:pPr>
              <w:keepNext w:val="0"/>
              <w:keepLines w:val="0"/>
              <w:pageBreakBefore w:val="0"/>
              <w:widowControl w:val="0"/>
              <w:kinsoku w:val="0"/>
              <w:wordWrap/>
              <w:overflowPunct/>
              <w:topLinePunct w:val="0"/>
              <w:autoSpaceDE w:val="0"/>
              <w:autoSpaceDN w:val="0"/>
              <w:bidi w:val="0"/>
              <w:adjustRightInd w:val="0"/>
              <w:snapToGrid w:val="0"/>
              <w:spacing w:line="286" w:lineRule="auto"/>
              <w:ind w:left="0" w:right="0" w:firstLine="0"/>
              <w:jc w:val="center"/>
              <w:textAlignment w:val="baseline"/>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服</w:t>
            </w:r>
          </w:p>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val="0"/>
                <w:bCs w:val="0"/>
                <w:spacing w:val="0"/>
                <w:sz w:val="21"/>
                <w:szCs w:val="21"/>
                <w14:textOutline w14:w="3795" w14:cap="sq" w14:cmpd="sng">
                  <w14:solidFill>
                    <w14:srgbClr w14:val="000000"/>
                  </w14:solidFill>
                  <w14:prstDash w14:val="solid"/>
                  <w14:bevel/>
                </w14:textOutline>
              </w:rPr>
              <w:t>务</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第二十六条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72.传承</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中医药文化</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依托县级医院设置中医</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lang w:val="en-US" w:eastAsia="zh-CN"/>
              </w:rPr>
            </w:pPr>
            <w:r>
              <w:rPr>
                <w:rFonts w:hint="eastAsia" w:asciiTheme="minorEastAsia" w:hAnsiTheme="minorEastAsia" w:eastAsiaTheme="minorEastAsia" w:cstheme="minorEastAsia"/>
                <w:spacing w:val="6"/>
                <w:sz w:val="21"/>
                <w:szCs w:val="21"/>
              </w:rPr>
              <w:t>健康宣教基地；在社区卫生服务中心、乡镇卫生院、基层中医馆、社区居委会、乡村群众活动场所等建设一批中医药健康文化知识角；建设中医药科普专家队伍，组织开展中医药文化科普巡讲活动；将中医药科普知识和《中国公民中医养生保健素养》作为健康教育重要内容。</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查阅资料：中医健康宣教基地、</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中医药健康文化知识角、中医药健康科普等相关工作资料。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1.辖区建有中医健康宣教基地，得2分；未建设，不得分。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2.</w:t>
            </w:r>
            <w:r>
              <w:rPr>
                <w:rFonts w:hint="eastAsia" w:asciiTheme="minorEastAsia" w:hAnsiTheme="minorEastAsia" w:eastAsiaTheme="minorEastAsia" w:cstheme="minorEastAsia"/>
                <w:spacing w:val="6"/>
                <w:sz w:val="21"/>
                <w:szCs w:val="21"/>
              </w:rPr>
              <w:t>辖区建有中医药健康文化知识角，得2分；未建设，不得分。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3.建立中医药科普专家队伍，得2分；未建立，不得分。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4.基层医疗卫生机构日常健康教育中包含中医药内容，得2分；未包含，不得分。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190"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190"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0" w:hRule="atLeast"/>
          <w:jc w:val="center"/>
        </w:trPr>
        <w:tc>
          <w:tcPr>
            <w:tcW w:w="474"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14:textOutline w14:w="3795" w14:cap="sq" w14:cmpd="sng">
                  <w14:solidFill>
                    <w14:srgbClr w14:val="000000"/>
                  </w14:solidFill>
                  <w14:prstDash w14:val="solid"/>
                  <w14:bevel/>
                </w14:textOutline>
              </w:rPr>
              <w:t>五、健康文化</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第二十七条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73.营造健康社会氛围</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面向公众广泛开展文明健康绿色环保生活方式宣传，营造全民关注健康的社会氛围。领导干部带头践行文明健康绿色环保生活方式。</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查阅资料：倡导文明健康绿色环保生活方式相关资料。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1.有践行文明健康绿色环保生活方式相关文件，得4分；无文件，不得分。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2.利用大众媒体、公交媒体、公共场所或社区宣传栏、广告牌、横幅、新媒体等形式开展相关宣传活动且有记录，每种形式得2分，最高得12分；未开展宣传活动，不得分。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各相关</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16"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14:textOutline w14:w="3795" w14:cap="sq" w14:cmpd="sng">
                  <w14:solidFill>
                    <w14:srgbClr w14:val="000000"/>
                  </w14:solidFill>
                  <w14:prstDash w14:val="solid"/>
                  <w14:bevel/>
                </w14:textOutline>
              </w:rPr>
              <w:t>五、健康文化</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第二十八条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74.健康科普信息发布制度</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建立健康科普信息发布制度，加强对各类媒体健康科普信息的监管。</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查阅资料：健康科普信息发布制度建设相关资料。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资料来源：文件印发部门。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1.建立健康知识和技能核心信息发布制度，得6分；未建立，不得分。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2.明确相关部门职责，得4分；未明确，不得分。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3.当地电视台对健康栏目或节目有明确的审核、监管流程，得6分；无相应流程，不得分。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融媒体</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2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5"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75.媒体参与健康科普</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当地电视台、广播电台、报纸等当地主流媒体开设健康栏目，推广普及健康知识；县域主要新媒体开设健康栏目，传播健康知识与理念。</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查阅资料：当地主流媒体和主要新媒体健康栏目工作档案和记录。</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资料来源：当地电视台、广播电台、报纸、县域主要新媒体。</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1.电视台开设健康栏目，得5分；未开设，不得分。2.广播电台开设健康栏目，得5分；未开设，不得分。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3.县域主要新媒体开设健康栏目，得5分；未开设，不得分。该指标满分为15分。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15分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融媒体</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65"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第二十九条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76.健康教育</w:t>
            </w:r>
          </w:p>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课程</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辖区各类学校开设体育与健康课程，保障健康教育课时。与各学科教学有机融合，做到教学计划、教学材料、课时、师资“四到位”。</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现场抽查：随机抽取1个小学和1个中学，查看健康教育课落实情况。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被抽查的学校中：</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1.</w:t>
            </w:r>
            <w:r>
              <w:rPr>
                <w:rFonts w:hint="eastAsia" w:asciiTheme="minorEastAsia" w:hAnsiTheme="minorEastAsia" w:eastAsiaTheme="minorEastAsia" w:cstheme="minorEastAsia"/>
                <w:spacing w:val="6"/>
                <w:sz w:val="21"/>
                <w:szCs w:val="21"/>
              </w:rPr>
              <w:t>健康教育纳入课程计划，得1分；未纳入，不得分。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2.有专兼职健康教育师资，得1分；无师资，不得分。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3.有健康教育教学材料，得1分；无教学材料，不得分。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4.体现有健康教育的学科渗透</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在生物、道德法制、劳动等课程中)，得1分；未体现，不得分。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5.落实每学期4课时健康教育，得1分；未落实，不得分。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6</w:t>
            </w:r>
            <w:r>
              <w:rPr>
                <w:rFonts w:hint="eastAsia" w:asciiTheme="minorEastAsia" w:hAnsiTheme="minorEastAsia" w:eastAsiaTheme="minorEastAsia" w:cstheme="minorEastAsia"/>
                <w:spacing w:val="-6"/>
                <w:sz w:val="21"/>
                <w:szCs w:val="21"/>
              </w:rPr>
              <w:t>.开展学生健康教育课考试或测评，得2分；未开展，不得分。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2个抽查学校满分为14分。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14分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教育局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84"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14:textOutline w14:w="3795" w14:cap="sq" w14:cmpd="sng">
                  <w14:solidFill>
                    <w14:srgbClr w14:val="000000"/>
                  </w14:solidFill>
                  <w14:prstDash w14:val="solid"/>
                  <w14:bevel/>
                </w14:textOutline>
              </w:rPr>
              <w:t>五、健康文化</w:t>
            </w: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第二十九条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77.学校健康</w:t>
            </w:r>
          </w:p>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教育活动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依托健康主题健康教育，结合重要活动和时间节点，通过课堂、讲座、知识竞赛、主题班队会等，以及电子屏、宣传栏、健康标识等多种形式、多种渠道向学生教授健康知识和技能，提高学生健康素养，引导学生养成健康生活方式。</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现场抽查：随机抽取1个小学和1个中学，查看健康教育活动开展情况。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被抽查的学校中：</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1.每学期健康教育活动≥4次，得2分；＜4次，得1分；未开展，不得分。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2.学生社团、志愿者开展卫生健康知识宣传教育，得1分；未开展，不得分。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3.</w:t>
            </w:r>
            <w:r>
              <w:rPr>
                <w:rFonts w:hint="eastAsia" w:asciiTheme="minorEastAsia" w:hAnsiTheme="minorEastAsia" w:eastAsiaTheme="minorEastAsia" w:cstheme="minorEastAsia"/>
                <w:spacing w:val="-6"/>
                <w:sz w:val="21"/>
                <w:szCs w:val="21"/>
              </w:rPr>
              <w:t>利用网络或新媒体开展健康教育，得1分；未开展，不得分。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2个抽查学校满分为8分。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教育局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959"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78.学生健康</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水平</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学生体质健康水平提高，近视、肥胖等不良健康状况有明显改善。</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现场抽查：随机抽取1个小学和1个中学，查看学生体质情况。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被抽查的学校中；</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1.</w:t>
            </w:r>
            <w:r>
              <w:rPr>
                <w:rFonts w:hint="eastAsia" w:asciiTheme="minorEastAsia" w:hAnsiTheme="minorEastAsia" w:eastAsiaTheme="minorEastAsia" w:cstheme="minorEastAsia"/>
                <w:spacing w:val="6"/>
                <w:sz w:val="21"/>
                <w:szCs w:val="21"/>
              </w:rPr>
              <w:t>近3年内，近视发生率逐年下降，得3分；未下降，不得分。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85" w:leftChars="30" w:right="0" w:hanging="222"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2.近3年内，肥胖发生率逐年下降，得3分；未下降，不得分。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3.近3年内，学生体质健康达标优良率逐年上升，得3分；未逐年上升，不得分。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2个抽查学校满分为18分。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教育局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16"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9"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79.健身场地设施供给</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加大全民健身场地设施供给，推进公共体育设施免费或低收费开放，实现县乡村三级公共健身设施和社区15分钟健身圈全覆盖。</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查阅资料：国家体育场地统计调查系统；公共体育场地设施免费或低收费开放文件等。</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现场抽查：随机抽查1处公共体育设施，询问其收费情况。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1.人均体育场地面积≥2.3平方米，得6分；每低0.1平方米扣0.4分，扣完6分为止。</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2.被抽查的公共体育设施，有免费或低收费开放的措施，得2分；无相关措施，不得分。</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文旅</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广体局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14:textOutline w14:w="3795" w14:cap="sq" w14:cmpd="sng">
                  <w14:solidFill>
                    <w14:srgbClr w14:val="000000"/>
                  </w14:solidFill>
                  <w14:prstDash w14:val="solid"/>
                  <w14:bevel/>
                </w14:textOutline>
              </w:rPr>
              <w:t>五、健康文化</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80.群众体育赛事活动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由县级及以上的体育主管部门或体育社会组织主办</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承办)的群众性体育赛事和活动。</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查阅资料：体育赛事和活动相关资料。</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年内举办县级及以上的体育赛事或活动，每举办1次得2分，满分为10分。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文旅</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eastAsia="zh-CN"/>
              </w:rPr>
              <w:t>广体局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865"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第三十一条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81.无烟环境</w:t>
            </w:r>
          </w:p>
          <w:p>
            <w:pPr>
              <w:keepNext w:val="0"/>
              <w:keepLines w:val="0"/>
              <w:pageBreakBefore w:val="0"/>
              <w:widowControl w:val="0"/>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建设</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4"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出台无烟环境建设相关文件，推动辖区室内公共场所、工作场所和公共交通工具全面禁烟。各级党政机关建设成无烟机关，推进无烟学校、无烟医院等无烟场所建设。</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查阅资料：无烟环境建设相关资料。</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资料来源：文件印发部门。</w:t>
            </w:r>
          </w:p>
          <w:p>
            <w:pPr>
              <w:keepNext w:val="0"/>
              <w:keepLines w:val="0"/>
              <w:pageBreakBefore w:val="0"/>
              <w:widowControl w:val="0"/>
              <w:kinsoku w:val="0"/>
              <w:wordWrap/>
              <w:overflowPunct/>
              <w:topLinePunct w:val="0"/>
              <w:autoSpaceDE w:val="0"/>
              <w:autoSpaceDN w:val="0"/>
              <w:bidi w:val="0"/>
              <w:adjustRightInd w:val="0"/>
              <w:snapToGrid w:val="0"/>
              <w:spacing w:line="22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6"/>
                <w:sz w:val="21"/>
                <w:szCs w:val="21"/>
              </w:rPr>
              <w:t>现场抽查：随机抽取2家党政机关、1个小学和1个中学、1家县级医院和1家乡镇卫生院，了解无烟单位建设情况。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1.出台全面无烟环境建设相关文件，得4分；未出台文件，不得分。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2.辖区内无任何形式的烟草广告，得2分；有烟草广告，不得分。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3.在被抽查的场所中：</w:t>
            </w:r>
          </w:p>
          <w:p>
            <w:pPr>
              <w:keepNext w:val="0"/>
              <w:keepLines w:val="0"/>
              <w:pageBreakBefore w:val="0"/>
              <w:widowControl w:val="0"/>
              <w:tabs>
                <w:tab w:val="left" w:pos="200"/>
              </w:tabs>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(1)具备醒目的禁烟标识，得1分；无相应标识，不得分。</w:t>
            </w:r>
          </w:p>
          <w:p>
            <w:pPr>
              <w:keepNext w:val="0"/>
              <w:keepLines w:val="0"/>
              <w:pageBreakBefore w:val="0"/>
              <w:widowControl w:val="0"/>
              <w:tabs>
                <w:tab w:val="left" w:pos="200"/>
              </w:tabs>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(2)如果吸烟区设置不规范或缺乏醒目的引导标识，扣0.5分。</w:t>
            </w:r>
          </w:p>
          <w:p>
            <w:pPr>
              <w:keepNext w:val="0"/>
              <w:keepLines w:val="0"/>
              <w:pageBreakBefore w:val="0"/>
              <w:widowControl w:val="0"/>
              <w:tabs>
                <w:tab w:val="left" w:pos="200"/>
              </w:tabs>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(3)在非吸烟区</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无吸烟区的单位，视为场所范围均为非吸烟区)未发现吸烟现象或烟蒂，得1分；如有发现，不得分。6个场所满分为12分。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该指标满分为18分。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18分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82.不向未成年人售烟</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学校周边100米内无烟草/电子烟零售点，不向未成年人销售烟草制品/电子烟。</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现场抽查：随机抽取1个小学和1个中学，观察周边100米是否有烟草/电子烟零售点。</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学校周边100米内无烟草/电子烟零售点，得3分；有零售点，不得分；2个抽查学校满分为6分。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189"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教育局</w:t>
            </w:r>
          </w:p>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烟草公司</w:t>
            </w:r>
            <w:r>
              <w:rPr>
                <w:rFonts w:hint="eastAsia" w:asciiTheme="minorEastAsia" w:hAnsiTheme="minorEastAsia" w:cstheme="minorEastAsia"/>
                <w:spacing w:val="0"/>
                <w:sz w:val="21"/>
                <w:szCs w:val="21"/>
                <w:lang w:eastAsia="zh-CN"/>
              </w:rPr>
              <w:t>隆回分公司</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85"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83.控烟宣传</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1"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每年开展控烟主题宣传活动，提高公众对烟草危害健康的认知程度。</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8"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查阅资料：控烟主题宣传活动资料。</w:t>
            </w:r>
          </w:p>
          <w:p>
            <w:pPr>
              <w:keepNext w:val="0"/>
              <w:keepLines w:val="0"/>
              <w:pageBreakBefore w:val="0"/>
              <w:widowControl w:val="0"/>
              <w:kinsoku w:val="0"/>
              <w:wordWrap/>
              <w:overflowPunct/>
              <w:topLinePunct w:val="0"/>
              <w:autoSpaceDE w:val="0"/>
              <w:autoSpaceDN w:val="0"/>
              <w:bidi w:val="0"/>
              <w:adjustRightInd w:val="0"/>
              <w:snapToGrid w:val="0"/>
              <w:spacing w:line="207"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资料来源：卫生健康等部门。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1.多部门联合举办，得2分；仅1个部门主办，得1分。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2.有媒体参与，得2分；无媒体参与，不得分。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3.有控烟传播材料，得2分；无传播材料，不得分。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16"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14:textOutline w14:w="3795" w14:cap="sq" w14:cmpd="sng">
                  <w14:solidFill>
                    <w14:srgbClr w14:val="000000"/>
                  </w14:solidFill>
                  <w14:prstDash w14:val="solid"/>
                  <w14:bevel/>
                </w14:textOutline>
              </w:rPr>
              <w:t>五、健康文化</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第三十二条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1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84.倡导公勺公筷和光盘行动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1"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倡导餐馆向聚餐顾客提供公勺公筷，在全社会推进光盘行动。</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1" w:lineRule="auto"/>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现场抽查：随机抽查＞500</w:t>
            </w:r>
            <w:r>
              <w:rPr>
                <w:rFonts w:hint="eastAsia" w:asciiTheme="minorEastAsia" w:hAnsiTheme="minorEastAsia" w:cstheme="minorEastAsia"/>
                <w:spacing w:val="0"/>
                <w:sz w:val="21"/>
                <w:szCs w:val="21"/>
                <w:lang w:eastAsia="zh-CN"/>
              </w:rPr>
              <w:t>平方米</w:t>
            </w:r>
            <w:r>
              <w:rPr>
                <w:rFonts w:hint="eastAsia" w:asciiTheme="minorEastAsia" w:hAnsiTheme="minorEastAsia" w:eastAsiaTheme="minorEastAsia" w:cstheme="minorEastAsia"/>
                <w:spacing w:val="0"/>
                <w:sz w:val="21"/>
                <w:szCs w:val="21"/>
              </w:rPr>
              <w:t>的1家餐馆，查看公勺公筷和光盘行动倡导宣传情况。</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1.有公勺公筷宣传材料，得3分；无宣传材料，不得分。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2.餐馆配置有公勺公筷，得3分；未配置，不得分。3.有光盘行动宣传材料，得3分；无宣传材料，不得分。该指标满分为9分。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9分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市监局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第三十三条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85.群众参与社会公益</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鼓励当地居民积极参与志愿服务等社会公益活动；鼓励群众积极参与无偿献血，年度千人口献血率高于全国平均水平。</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查阅资料：有鼓励居民积极参与志愿服务等社会公益活动的专项计划、注册志愿者相关资料、无偿献血相关资料。</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资料来源：民政部门、卫生健康部门、文明办等。</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1.有鼓励居民积极参与志愿服务等社会公益活动的专项计划，得4分；无专项计划，不得分。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2.3年内当地注册志愿者比例逐年提升，得4分；未提升，不得分。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3.年度千人口献血率≥全国同期平均水平，得8分；＜全国同期平均水平，不得分。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民政局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县委宣传部</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红十字会</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48"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14:textOutline w14:w="3795" w14:cap="sq" w14:cmpd="sng">
                  <w14:solidFill>
                    <w14:srgbClr w14:val="000000"/>
                  </w14:solidFill>
                  <w14:prstDash w14:val="solid"/>
                  <w14:bevel/>
                </w14:textOutline>
              </w:rPr>
              <w:t>六、组织管理</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第三十四条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86.健康县区建设协调机制和部门分工</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建立健康县区建设领导协调机制，统筹推进健康县区建设。明确部门在健康县区建设中的职责和任务，形成工作合力。</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查阅资料：健康县区建设领导协调机制建设相关文件。</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资料来源：文件印发部门。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1</w:t>
            </w:r>
            <w:r>
              <w:rPr>
                <w:rFonts w:hint="eastAsia" w:asciiTheme="minorEastAsia" w:hAnsiTheme="minorEastAsia" w:eastAsiaTheme="minorEastAsia" w:cstheme="minorEastAsia"/>
                <w:spacing w:val="6"/>
                <w:sz w:val="21"/>
                <w:szCs w:val="21"/>
              </w:rPr>
              <w:t>.建立健康县区建设领导协调机制，得6分；未建立，不得分。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85" w:leftChars="30" w:right="0" w:hanging="222"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6"/>
                <w:sz w:val="21"/>
                <w:szCs w:val="21"/>
              </w:rPr>
              <w:t>2.明确相关部门职责和任务分工，得14分；未明确，不得分。该指标满分为20分。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县委办</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县政府办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95"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第三十五条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87.健康县区建设工作网络</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建立覆盖有关组成部门、乡镇</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街道)、社区</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村)、学校、机关、中等及以上规模企业的健康促进工作网络，并定期对专</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兼)职健康促进与健康教育人员开展培训。</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查阅资料：查阅机构数量和工作网络人员名单及相关培训资料。资料来源：相关部门。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1.工作网络覆盖率100%，得8分；≥80%且＜100%，得4分；≥60%且＜80%，得2分；＜60%，不得分。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2.工作网络培训覆盖率达到100%，得6分；≥80%且＜100%，得3分；≥60%且＜80%，得2分；＜60%，不得分。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该指标满分为14分。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14分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相关部门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02" w:hRule="atLeast"/>
          <w:jc w:val="center"/>
        </w:trPr>
        <w:tc>
          <w:tcPr>
            <w:tcW w:w="474" w:type="dxa"/>
            <w:vMerge w:val="restart"/>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14:textOutline w14:w="3795" w14:cap="sq" w14:cmpd="sng">
                  <w14:solidFill>
                    <w14:srgbClr w14:val="000000"/>
                  </w14:solidFill>
                  <w14:prstDash w14:val="solid"/>
                  <w14:bevel/>
                </w14:textOutline>
              </w:rPr>
              <w:t>六、组织管理</w:t>
            </w: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第三十五条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88.健康县区建设专业网络</w:t>
            </w:r>
          </w:p>
        </w:tc>
        <w:tc>
          <w:tcPr>
            <w:tcW w:w="2925" w:type="dxa"/>
            <w:tcBorders>
              <w:tl2br w:val="nil"/>
              <w:tr2bl w:val="nil"/>
            </w:tcBorders>
            <w:vAlign w:val="center"/>
          </w:tcPr>
          <w:p>
            <w:pPr>
              <w:keepNext w:val="0"/>
              <w:keepLines w:val="0"/>
              <w:pageBreakBefore w:val="0"/>
              <w:widowControl w:val="0"/>
              <w:tabs>
                <w:tab w:val="left" w:pos="198"/>
              </w:tabs>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建立以健康教育专业机构为核心、覆盖辖区内所有医院、公共卫生机构、计划生育服务机构、基层医疗卫生机构的健康促进专业网络。每单位有专</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兼)职人员承担健康促进与健康教育工作。定期对专</w:t>
            </w:r>
            <w:r>
              <w:rPr>
                <w:rFonts w:hint="eastAsia" w:asciiTheme="minorEastAsia" w:hAnsi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兼)职人员开展培训。</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查阅资料：相关培训资料。</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1.专业网络覆盖率100%，得10分；≥80%且＜100%，得5分；≥60%且＜80%，得3分；＜60%，不得分。</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w:t>
            </w:r>
            <w:r>
              <w:rPr>
                <w:rFonts w:hint="eastAsia" w:asciiTheme="minorEastAsia" w:hAnsiTheme="minorEastAsia" w:eastAsiaTheme="minorEastAsia" w:cstheme="minorEastAsia"/>
                <w:spacing w:val="6"/>
                <w:sz w:val="21"/>
                <w:szCs w:val="21"/>
              </w:rPr>
              <w:t>专业网络培训覆盖率达到100%，得10分；≥80%且＜100%，得5分；≥60%且＜80%，得3分；＜60%，不得分</w:t>
            </w:r>
            <w:r>
              <w:rPr>
                <w:rFonts w:hint="eastAsia" w:asciiTheme="minorEastAsia" w:hAnsiTheme="minorEastAsia" w:eastAsiaTheme="minorEastAsia" w:cstheme="minorEastAsia"/>
                <w:spacing w:val="0"/>
                <w:sz w:val="21"/>
                <w:szCs w:val="21"/>
              </w:rPr>
              <w:t>。</w:t>
            </w:r>
          </w:p>
          <w:p>
            <w:pPr>
              <w:keepNext w:val="0"/>
              <w:keepLines w:val="0"/>
              <w:pageBreakBefore w:val="0"/>
              <w:widowControl w:val="0"/>
              <w:kinsoku w:val="0"/>
              <w:wordWrap/>
              <w:overflowPunct/>
              <w:topLinePunct w:val="0"/>
              <w:autoSpaceDE w:val="0"/>
              <w:autoSpaceDN w:val="0"/>
              <w:bidi w:val="0"/>
              <w:adjustRightInd w:val="0"/>
              <w:snapToGrid w:val="0"/>
              <w:spacing w:line="26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该指标满分为20分。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6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208" w:lineRule="auto"/>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相关部门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02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第三十六条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89.健康县区建设自评</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定期开展健康县区建设自评工作，分析建设过程中遇到的困难和问题，适时调整优化建设策略和措施。</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查阅资料：评估文件、评估过程资料、评估报告等相关资料。</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273" w:leftChars="30" w:right="0" w:hanging="210" w:hangingChars="100"/>
              <w:jc w:val="left"/>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0"/>
                <w:sz w:val="21"/>
                <w:szCs w:val="21"/>
              </w:rPr>
              <w:t>1.</w:t>
            </w:r>
            <w:r>
              <w:rPr>
                <w:rFonts w:hint="eastAsia" w:asciiTheme="minorEastAsia" w:hAnsiTheme="minorEastAsia" w:eastAsiaTheme="minorEastAsia" w:cstheme="minorEastAsia"/>
                <w:spacing w:val="6"/>
                <w:sz w:val="21"/>
                <w:szCs w:val="21"/>
              </w:rPr>
              <w:t>近2年开展了健康县区建设自评工作，有自评报告，得8分；未开展，不得分。</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2.在自评报告中，提出薄弱环节和改进措施，得8分；无自评报告或未提出，不得分。</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273" w:leftChars="30" w:right="0" w:hanging="210" w:hangingChars="10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该指标满分为16分。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16分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eastAsia="zh-CN"/>
              </w:rPr>
              <w:t>相关部门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70" w:hRule="atLeast"/>
          <w:jc w:val="center"/>
        </w:trPr>
        <w:tc>
          <w:tcPr>
            <w:tcW w:w="474" w:type="dxa"/>
            <w:vMerge w:val="continue"/>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sz w:val="21"/>
                <w:szCs w:val="21"/>
              </w:rPr>
            </w:pPr>
          </w:p>
        </w:tc>
        <w:tc>
          <w:tcPr>
            <w:tcW w:w="107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32" w:lineRule="auto"/>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第三十七条</w:t>
            </w:r>
          </w:p>
        </w:tc>
        <w:tc>
          <w:tcPr>
            <w:tcW w:w="1459"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90.人工智能和大数据等新技术应用</w:t>
            </w:r>
          </w:p>
        </w:tc>
        <w:tc>
          <w:tcPr>
            <w:tcW w:w="292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在健康县区建设的组织实施、监测评价等管理环节中，或在各建设领域的具体工作中，使用人工智能和大数据等新技术，利用信息化手段提升健康县区建设水平。</w:t>
            </w:r>
          </w:p>
        </w:tc>
        <w:tc>
          <w:tcPr>
            <w:tcW w:w="3050"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查阅资料：人工智能和大数据等新技术应用的相关工作资料。</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资料来源：相关部门。</w:t>
            </w:r>
          </w:p>
        </w:tc>
        <w:tc>
          <w:tcPr>
            <w:tcW w:w="4695"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63" w:leftChars="30" w:right="0" w:firstLine="0"/>
              <w:jc w:val="left"/>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在管理环节或具体工作中使用人工智能和大数据等新技术，每项应用得2分，满分为10分。</w:t>
            </w:r>
          </w:p>
        </w:tc>
        <w:tc>
          <w:tcPr>
            <w:tcW w:w="696"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10分</w:t>
            </w:r>
          </w:p>
        </w:tc>
        <w:tc>
          <w:tcPr>
            <w:tcW w:w="1002" w:type="dxa"/>
            <w:tcBorders>
              <w:tl2br w:val="nil"/>
              <w:tr2bl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cstheme="minorEastAsia"/>
                <w:spacing w:val="0"/>
                <w:w w:val="100"/>
                <w:position w:val="0"/>
                <w:sz w:val="21"/>
                <w:szCs w:val="21"/>
                <w:lang w:eastAsia="zh-CN"/>
              </w:rPr>
              <w:t>县</w:t>
            </w:r>
            <w:r>
              <w:rPr>
                <w:rFonts w:hint="eastAsia" w:asciiTheme="minorEastAsia" w:hAnsiTheme="minorEastAsia" w:eastAsiaTheme="minorEastAsia" w:cstheme="minorEastAsia"/>
                <w:spacing w:val="0"/>
                <w:sz w:val="21"/>
                <w:szCs w:val="21"/>
                <w:lang w:eastAsia="zh-CN"/>
              </w:rPr>
              <w:t>卫健局</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eastAsia="zh-CN"/>
              </w:rPr>
              <w:t>相关部门</w:t>
            </w:r>
          </w:p>
        </w:tc>
      </w:tr>
    </w:tbl>
    <w:p>
      <w:pPr>
        <w:keepNext w:val="0"/>
        <w:keepLines w:val="0"/>
        <w:pageBreakBefore w:val="0"/>
        <w:widowControl w:val="0"/>
        <w:kinsoku/>
        <w:wordWrap/>
        <w:overflowPunct/>
        <w:topLinePunct w:val="0"/>
        <w:autoSpaceDE/>
        <w:autoSpaceDN/>
        <w:bidi w:val="0"/>
        <w:adjustRightInd/>
        <w:snapToGrid/>
        <w:spacing w:before="0" w:beforeLines="100" w:line="360" w:lineRule="exact"/>
        <w:ind w:left="0"/>
        <w:textAlignment w:val="auto"/>
        <w:rPr>
          <w:rFonts w:hint="eastAsia" w:asciiTheme="minorEastAsia" w:hAnsiTheme="minorEastAsia" w:eastAsiaTheme="minorEastAsia" w:cstheme="minorEastAsia"/>
          <w:spacing w:val="5"/>
          <w:sz w:val="21"/>
          <w:szCs w:val="21"/>
        </w:rPr>
        <w:sectPr>
          <w:pgSz w:w="16838" w:h="11905" w:orient="landscape"/>
          <w:pgMar w:top="1531" w:right="1701" w:bottom="1531" w:left="1531" w:header="0" w:footer="1208" w:gutter="0"/>
          <w:pgBorders>
            <w:top w:val="none" w:sz="0" w:space="0"/>
            <w:left w:val="none" w:sz="0" w:space="0"/>
            <w:bottom w:val="none" w:sz="0" w:space="0"/>
            <w:right w:val="none" w:sz="0" w:space="0"/>
          </w:pgBorders>
          <w:cols w:space="0" w:num="1"/>
          <w:rtlGutter w:val="0"/>
          <w:docGrid w:linePitch="0" w:charSpace="0"/>
        </w:sectPr>
      </w:pPr>
      <w:r>
        <w:rPr>
          <w:rFonts w:hint="eastAsia" w:asciiTheme="minorEastAsia" w:hAnsiTheme="minorEastAsia" w:eastAsiaTheme="minorEastAsia" w:cstheme="minorEastAsia"/>
          <w:spacing w:val="8"/>
          <w:sz w:val="21"/>
          <w:szCs w:val="21"/>
        </w:rPr>
        <w:t>附</w:t>
      </w:r>
      <w:r>
        <w:rPr>
          <w:rFonts w:hint="eastAsia" w:asciiTheme="minorEastAsia" w:hAnsiTheme="minorEastAsia" w:eastAsiaTheme="minorEastAsia" w:cstheme="minorEastAsia"/>
          <w:spacing w:val="6"/>
          <w:sz w:val="21"/>
          <w:szCs w:val="21"/>
        </w:rPr>
        <w:t>录</w:t>
      </w:r>
      <w:r>
        <w:rPr>
          <w:rFonts w:hint="eastAsia" w:asciiTheme="minorEastAsia" w:hAnsiTheme="minorEastAsia" w:eastAsiaTheme="minorEastAsia" w:cstheme="minorEastAsia"/>
          <w:spacing w:val="4"/>
          <w:sz w:val="21"/>
          <w:szCs w:val="21"/>
        </w:rPr>
        <w:t>1现场抽查单位及查看内容</w:t>
      </w:r>
      <w:r>
        <w:rPr>
          <w:rFonts w:hint="eastAsia" w:asciiTheme="minorEastAsia" w:hAnsiTheme="minorEastAsia" w:eastAsiaTheme="minorEastAsia" w:cstheme="minorEastAsia"/>
          <w:spacing w:val="4"/>
          <w:sz w:val="21"/>
          <w:szCs w:val="21"/>
          <w:lang w:val="en-US" w:eastAsia="zh-CN"/>
        </w:rPr>
        <w:t xml:space="preserve">   </w:t>
      </w:r>
      <w:r>
        <w:rPr>
          <w:rFonts w:hint="eastAsia" w:asciiTheme="minorEastAsia" w:hAnsiTheme="minorEastAsia" w:eastAsiaTheme="minorEastAsia" w:cstheme="minorEastAsia"/>
          <w:spacing w:val="5"/>
          <w:sz w:val="21"/>
          <w:szCs w:val="21"/>
        </w:rPr>
        <w:t>附录2评估细则中引用的标准和文件</w:t>
      </w:r>
    </w:p>
    <w:p>
      <w:pPr>
        <w:spacing w:before="139" w:line="228" w:lineRule="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附录1：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inorEastAsia" w:hAnsiTheme="minorEastAsia" w:eastAsiaTheme="minorEastAsia" w:cstheme="minorEastAsia"/>
          <w:sz w:val="44"/>
          <w:szCs w:val="44"/>
        </w:rPr>
      </w:pPr>
      <w:r>
        <w:rPr>
          <w:rFonts w:hint="eastAsia" w:ascii="方正小标宋简体" w:hAnsi="方正小标宋简体" w:eastAsia="方正小标宋简体" w:cs="方正小标宋简体"/>
          <w:spacing w:val="2"/>
          <w:sz w:val="44"/>
          <w:szCs w:val="44"/>
        </w:rPr>
        <w:t>现场抽查单位</w:t>
      </w:r>
      <w:r>
        <w:rPr>
          <w:rFonts w:hint="eastAsia" w:ascii="方正小标宋简体" w:hAnsi="方正小标宋简体" w:eastAsia="方正小标宋简体" w:cs="方正小标宋简体"/>
          <w:spacing w:val="1"/>
          <w:sz w:val="44"/>
          <w:szCs w:val="44"/>
        </w:rPr>
        <w:t>及查看内容</w:t>
      </w:r>
    </w:p>
    <w:p>
      <w:pPr>
        <w:spacing w:line="61" w:lineRule="exact"/>
        <w:rPr>
          <w:rFonts w:hint="eastAsia" w:asciiTheme="minorEastAsia" w:hAnsiTheme="minorEastAsia" w:eastAsiaTheme="minorEastAsia" w:cstheme="minorEastAsia"/>
          <w:sz w:val="21"/>
          <w:szCs w:val="21"/>
        </w:rPr>
      </w:pPr>
    </w:p>
    <w:tbl>
      <w:tblPr>
        <w:tblStyle w:val="14"/>
        <w:tblW w:w="9135"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326"/>
        <w:gridCol w:w="6290"/>
        <w:gridCol w:w="1519"/>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1" w:hRule="atLeast"/>
          <w:tblHeader/>
          <w:jc w:val="center"/>
        </w:trPr>
        <w:tc>
          <w:tcPr>
            <w:tcW w:w="1326" w:type="dxa"/>
            <w:tcBorders>
              <w:tl2br w:val="nil"/>
              <w:tr2bl w:val="nil"/>
            </w:tcBorders>
            <w:vAlign w:val="top"/>
          </w:tcPr>
          <w:p>
            <w:pPr>
              <w:spacing w:before="182" w:line="232" w:lineRule="auto"/>
              <w:jc w:val="center"/>
              <w:rPr>
                <w:rFonts w:hint="eastAsia" w:ascii="黑体" w:hAnsi="黑体" w:eastAsia="黑体" w:cs="黑体"/>
                <w:sz w:val="21"/>
                <w:szCs w:val="21"/>
              </w:rPr>
            </w:pPr>
            <w:r>
              <w:rPr>
                <w:rFonts w:hint="eastAsia" w:ascii="黑体" w:hAnsi="黑体" w:eastAsia="黑体" w:cs="黑体"/>
                <w:spacing w:val="9"/>
                <w:sz w:val="21"/>
                <w:szCs w:val="21"/>
              </w:rPr>
              <w:t>抽</w:t>
            </w:r>
            <w:r>
              <w:rPr>
                <w:rFonts w:hint="eastAsia" w:ascii="黑体" w:hAnsi="黑体" w:eastAsia="黑体" w:cs="黑体"/>
                <w:spacing w:val="7"/>
                <w:sz w:val="21"/>
                <w:szCs w:val="21"/>
              </w:rPr>
              <w:t>查单位</w:t>
            </w:r>
          </w:p>
        </w:tc>
        <w:tc>
          <w:tcPr>
            <w:tcW w:w="6290" w:type="dxa"/>
            <w:tcBorders>
              <w:tl2br w:val="nil"/>
              <w:tr2bl w:val="nil"/>
            </w:tcBorders>
            <w:vAlign w:val="top"/>
          </w:tcPr>
          <w:p>
            <w:pPr>
              <w:spacing w:before="182" w:line="229" w:lineRule="auto"/>
              <w:jc w:val="center"/>
              <w:rPr>
                <w:rFonts w:hint="eastAsia" w:ascii="黑体" w:hAnsi="黑体" w:eastAsia="黑体" w:cs="黑体"/>
                <w:sz w:val="21"/>
                <w:szCs w:val="21"/>
              </w:rPr>
            </w:pPr>
            <w:r>
              <w:rPr>
                <w:rFonts w:hint="eastAsia" w:ascii="黑体" w:hAnsi="黑体" w:eastAsia="黑体" w:cs="黑体"/>
                <w:spacing w:val="11"/>
                <w:sz w:val="21"/>
                <w:szCs w:val="21"/>
              </w:rPr>
              <w:t>现</w:t>
            </w:r>
            <w:r>
              <w:rPr>
                <w:rFonts w:hint="eastAsia" w:ascii="黑体" w:hAnsi="黑体" w:eastAsia="黑体" w:cs="黑体"/>
                <w:spacing w:val="8"/>
                <w:sz w:val="21"/>
                <w:szCs w:val="21"/>
              </w:rPr>
              <w:t>场查看内容</w:t>
            </w:r>
          </w:p>
        </w:tc>
        <w:tc>
          <w:tcPr>
            <w:tcW w:w="1519" w:type="dxa"/>
            <w:tcBorders>
              <w:tl2br w:val="nil"/>
              <w:tr2bl w:val="nil"/>
            </w:tcBorders>
            <w:vAlign w:val="top"/>
          </w:tcPr>
          <w:p>
            <w:pPr>
              <w:spacing w:before="183" w:line="230" w:lineRule="auto"/>
              <w:jc w:val="center"/>
              <w:rPr>
                <w:rFonts w:hint="eastAsia" w:ascii="黑体" w:hAnsi="黑体" w:eastAsia="黑体" w:cs="黑体"/>
                <w:sz w:val="21"/>
                <w:szCs w:val="21"/>
              </w:rPr>
            </w:pPr>
            <w:r>
              <w:rPr>
                <w:rFonts w:hint="eastAsia" w:ascii="黑体" w:hAnsi="黑体" w:eastAsia="黑体" w:cs="黑体"/>
                <w:spacing w:val="7"/>
                <w:sz w:val="21"/>
                <w:szCs w:val="21"/>
              </w:rPr>
              <w:t>所属条目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326" w:type="dxa"/>
            <w:vMerge w:val="restart"/>
            <w:tcBorders>
              <w:tl2br w:val="nil"/>
              <w:tr2bl w:val="nil"/>
            </w:tcBorders>
            <w:vAlign w:val="center"/>
          </w:tcPr>
          <w:p>
            <w:pPr>
              <w:spacing w:before="81" w:line="208"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1个城区居民小</w:t>
            </w:r>
            <w:r>
              <w:rPr>
                <w:rFonts w:hint="eastAsia" w:asciiTheme="minorEastAsia" w:hAnsiTheme="minorEastAsia" w:eastAsiaTheme="minorEastAsia" w:cstheme="minorEastAsia"/>
                <w:spacing w:val="3"/>
                <w:sz w:val="21"/>
                <w:szCs w:val="21"/>
              </w:rPr>
              <w:t>区</w:t>
            </w:r>
          </w:p>
        </w:tc>
        <w:tc>
          <w:tcPr>
            <w:tcW w:w="6290" w:type="dxa"/>
            <w:tcBorders>
              <w:tl2br w:val="nil"/>
              <w:tr2bl w:val="nil"/>
            </w:tcBorders>
            <w:vAlign w:val="center"/>
          </w:tcPr>
          <w:p>
            <w:pPr>
              <w:spacing w:before="109" w:line="239" w:lineRule="auto"/>
              <w:ind w:left="107" w:right="25" w:firstLine="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至少建有盲道、无障碍卫生间</w:t>
            </w:r>
            <w:r>
              <w:rPr>
                <w:rFonts w:hint="eastAsia" w:asciiTheme="minorEastAsia" w:hAnsiTheme="minorEastAsia" w:cstheme="minorEastAsia"/>
                <w:spacing w:val="9"/>
                <w:sz w:val="21"/>
                <w:szCs w:val="21"/>
                <w:lang w:eastAsia="zh-CN"/>
              </w:rPr>
              <w:t>（</w:t>
            </w:r>
            <w:r>
              <w:rPr>
                <w:rFonts w:hint="eastAsia" w:asciiTheme="minorEastAsia" w:hAnsiTheme="minorEastAsia" w:eastAsiaTheme="minorEastAsia" w:cstheme="minorEastAsia"/>
                <w:spacing w:val="9"/>
                <w:sz w:val="21"/>
                <w:szCs w:val="21"/>
              </w:rPr>
              <w:t>厕位)、出入口无障碍设施、低位服务设施</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8"/>
                <w:sz w:val="21"/>
                <w:szCs w:val="21"/>
              </w:rPr>
              <w:t>无障碍停车位、无障碍标志这6种无障碍设施的3种及以上</w:t>
            </w:r>
            <w:r>
              <w:rPr>
                <w:rFonts w:hint="eastAsia" w:asciiTheme="minorEastAsia" w:hAnsiTheme="minorEastAsia" w:eastAsiaTheme="minorEastAsia" w:cstheme="minorEastAsia"/>
                <w:spacing w:val="5"/>
                <w:sz w:val="21"/>
                <w:szCs w:val="21"/>
              </w:rPr>
              <w:t>。</w:t>
            </w:r>
          </w:p>
        </w:tc>
        <w:tc>
          <w:tcPr>
            <w:tcW w:w="1519" w:type="dxa"/>
            <w:tcBorders>
              <w:tl2br w:val="nil"/>
              <w:tr2bl w:val="nil"/>
            </w:tcBorders>
            <w:vAlign w:val="center"/>
          </w:tcPr>
          <w:p>
            <w:pPr>
              <w:spacing w:before="265"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第十条，10</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98" w:line="208"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垃</w:t>
            </w:r>
            <w:r>
              <w:rPr>
                <w:rFonts w:hint="eastAsia" w:asciiTheme="minorEastAsia" w:hAnsiTheme="minorEastAsia" w:eastAsiaTheme="minorEastAsia" w:cstheme="minorEastAsia"/>
                <w:spacing w:val="9"/>
                <w:sz w:val="21"/>
                <w:szCs w:val="21"/>
              </w:rPr>
              <w:t>圾分类符合城乡垃圾分类相关规范要求。</w:t>
            </w:r>
          </w:p>
        </w:tc>
        <w:tc>
          <w:tcPr>
            <w:tcW w:w="1519" w:type="dxa"/>
            <w:tcBorders>
              <w:tl2br w:val="nil"/>
              <w:tr2bl w:val="nil"/>
            </w:tcBorders>
            <w:vAlign w:val="center"/>
          </w:tcPr>
          <w:p>
            <w:pPr>
              <w:spacing w:before="98"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十三条，23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77" w:line="227" w:lineRule="auto"/>
              <w:ind w:left="107" w:right="105" w:firstLine="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有无瓶瓶罐罐</w:t>
            </w:r>
            <w:r>
              <w:rPr>
                <w:rFonts w:hint="eastAsia" w:asciiTheme="minorEastAsia" w:hAnsi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无盖)、轮胎积水、坑洼等小型积水，雨水道口等排水系</w:t>
            </w:r>
            <w:r>
              <w:rPr>
                <w:rFonts w:hint="eastAsia" w:asciiTheme="minorEastAsia" w:hAnsiTheme="minorEastAsia" w:eastAsiaTheme="minorEastAsia" w:cstheme="minorEastAsia"/>
                <w:spacing w:val="5"/>
                <w:sz w:val="21"/>
                <w:szCs w:val="21"/>
              </w:rPr>
              <w:t>统</w:t>
            </w:r>
            <w:r>
              <w:rPr>
                <w:rFonts w:hint="eastAsia" w:asciiTheme="minorEastAsia" w:hAnsiTheme="minorEastAsia" w:eastAsiaTheme="minorEastAsia" w:cstheme="minorEastAsia"/>
                <w:spacing w:val="-4"/>
                <w:sz w:val="21"/>
                <w:szCs w:val="21"/>
              </w:rPr>
              <w:t>无</w:t>
            </w:r>
            <w:r>
              <w:rPr>
                <w:rFonts w:hint="eastAsia" w:asciiTheme="minorEastAsia" w:hAnsiTheme="minorEastAsia" w:eastAsiaTheme="minorEastAsia" w:cstheme="minorEastAsia"/>
                <w:spacing w:val="-2"/>
                <w:sz w:val="21"/>
                <w:szCs w:val="21"/>
              </w:rPr>
              <w:t>积水，垃圾桶加盖。</w:t>
            </w:r>
          </w:p>
        </w:tc>
        <w:tc>
          <w:tcPr>
            <w:tcW w:w="1519" w:type="dxa"/>
            <w:tcBorders>
              <w:tl2br w:val="nil"/>
              <w:tr2bl w:val="nil"/>
            </w:tcBorders>
            <w:vAlign w:val="center"/>
          </w:tcPr>
          <w:p>
            <w:pPr>
              <w:spacing w:before="232"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十四条，28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19" w:line="208"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被</w:t>
            </w:r>
            <w:r>
              <w:rPr>
                <w:rFonts w:hint="eastAsia" w:asciiTheme="minorEastAsia" w:hAnsiTheme="minorEastAsia" w:eastAsiaTheme="minorEastAsia" w:cstheme="minorEastAsia"/>
                <w:spacing w:val="9"/>
                <w:sz w:val="21"/>
                <w:szCs w:val="21"/>
              </w:rPr>
              <w:t>抽查居民小区所在街道病媒生物密度控制水平。</w:t>
            </w:r>
          </w:p>
        </w:tc>
        <w:tc>
          <w:tcPr>
            <w:tcW w:w="1519" w:type="dxa"/>
            <w:tcBorders>
              <w:tl2br w:val="nil"/>
              <w:tr2bl w:val="nil"/>
            </w:tcBorders>
            <w:vAlign w:val="center"/>
          </w:tcPr>
          <w:p>
            <w:pPr>
              <w:spacing w:before="119"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十四条，28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78"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健</w:t>
            </w:r>
            <w:r>
              <w:rPr>
                <w:rFonts w:hint="eastAsia" w:asciiTheme="minorEastAsia" w:hAnsiTheme="minorEastAsia" w:eastAsiaTheme="minorEastAsia" w:cstheme="minorEastAsia"/>
                <w:spacing w:val="8"/>
                <w:sz w:val="21"/>
                <w:szCs w:val="21"/>
              </w:rPr>
              <w:t>康细胞建设情况。</w:t>
            </w:r>
          </w:p>
        </w:tc>
        <w:tc>
          <w:tcPr>
            <w:tcW w:w="1519" w:type="dxa"/>
            <w:tcBorders>
              <w:tl2br w:val="nil"/>
              <w:tr2bl w:val="nil"/>
            </w:tcBorders>
            <w:vAlign w:val="center"/>
          </w:tcPr>
          <w:p>
            <w:pPr>
              <w:spacing w:before="78"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十六条，39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19"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查看托育服务设施的建设情况。</w:t>
            </w:r>
          </w:p>
        </w:tc>
        <w:tc>
          <w:tcPr>
            <w:tcW w:w="1519" w:type="dxa"/>
            <w:tcBorders>
              <w:tl2br w:val="nil"/>
              <w:tr2bl w:val="nil"/>
            </w:tcBorders>
            <w:vAlign w:val="center"/>
          </w:tcPr>
          <w:p>
            <w:pPr>
              <w:spacing w:before="119"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十九条，47</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14" w:line="232" w:lineRule="auto"/>
              <w:ind w:left="109" w:right="67" w:firstLine="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消</w:t>
            </w:r>
            <w:r>
              <w:rPr>
                <w:rFonts w:hint="eastAsia" w:asciiTheme="minorEastAsia" w:hAnsiTheme="minorEastAsia" w:eastAsiaTheme="minorEastAsia" w:cstheme="minorEastAsia"/>
                <w:spacing w:val="5"/>
                <w:sz w:val="21"/>
                <w:szCs w:val="21"/>
              </w:rPr>
              <w:t>防设施齐全、完好</w:t>
            </w:r>
            <w:r>
              <w:rPr>
                <w:rFonts w:hint="eastAsia" w:asciiTheme="minorEastAsia" w:hAnsi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火灾自动报警系统、自动灭火系统、消火栓系统、</w:t>
            </w:r>
            <w:r>
              <w:rPr>
                <w:rFonts w:hint="eastAsia" w:asciiTheme="minorEastAsia" w:hAnsiTheme="minorEastAsia" w:eastAsiaTheme="minorEastAsia" w:cstheme="minorEastAsia"/>
                <w:spacing w:val="10"/>
                <w:sz w:val="21"/>
                <w:szCs w:val="21"/>
              </w:rPr>
              <w:t>防</w:t>
            </w:r>
            <w:r>
              <w:rPr>
                <w:rFonts w:hint="eastAsia" w:asciiTheme="minorEastAsia" w:hAnsiTheme="minorEastAsia" w:eastAsiaTheme="minorEastAsia" w:cstheme="minorEastAsia"/>
                <w:spacing w:val="8"/>
                <w:sz w:val="21"/>
                <w:szCs w:val="21"/>
              </w:rPr>
              <w:t>烟</w:t>
            </w:r>
            <w:r>
              <w:rPr>
                <w:rFonts w:hint="eastAsia" w:asciiTheme="minorEastAsia" w:hAnsiTheme="minorEastAsia" w:eastAsiaTheme="minorEastAsia" w:cstheme="minorEastAsia"/>
                <w:spacing w:val="5"/>
                <w:sz w:val="21"/>
                <w:szCs w:val="21"/>
              </w:rPr>
              <w:t>排烟系统以及应急广播和应急照明、安全疏散设施等)，消防车通道通</w:t>
            </w:r>
            <w:r>
              <w:rPr>
                <w:rFonts w:hint="eastAsia" w:asciiTheme="minorEastAsia" w:hAnsiTheme="minorEastAsia" w:eastAsiaTheme="minorEastAsia" w:cstheme="minorEastAsia"/>
                <w:spacing w:val="4"/>
                <w:sz w:val="21"/>
                <w:szCs w:val="21"/>
              </w:rPr>
              <w:t>畅。</w:t>
            </w:r>
          </w:p>
        </w:tc>
        <w:tc>
          <w:tcPr>
            <w:tcW w:w="1519" w:type="dxa"/>
            <w:tcBorders>
              <w:tl2br w:val="nil"/>
              <w:tr2bl w:val="nil"/>
            </w:tcBorders>
            <w:vAlign w:val="center"/>
          </w:tcPr>
          <w:p>
            <w:pPr>
              <w:spacing w:line="350" w:lineRule="auto"/>
              <w:jc w:val="both"/>
              <w:rPr>
                <w:rFonts w:hint="eastAsia" w:asciiTheme="minorEastAsia" w:hAnsiTheme="minorEastAsia" w:eastAsiaTheme="minorEastAsia" w:cstheme="minorEastAsia"/>
                <w:sz w:val="21"/>
                <w:szCs w:val="21"/>
              </w:rPr>
            </w:pPr>
          </w:p>
          <w:p>
            <w:pPr>
              <w:spacing w:before="81"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二十条，52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326" w:type="dxa"/>
            <w:vMerge w:val="restart"/>
            <w:tcBorders>
              <w:tl2br w:val="nil"/>
              <w:tr2bl w:val="nil"/>
            </w:tcBorders>
            <w:vAlign w:val="center"/>
          </w:tcPr>
          <w:p>
            <w:pPr>
              <w:spacing w:before="82" w:line="208"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1个行政</w:t>
            </w:r>
            <w:r>
              <w:rPr>
                <w:rFonts w:hint="eastAsia" w:asciiTheme="minorEastAsia" w:hAnsiTheme="minorEastAsia" w:eastAsiaTheme="minorEastAsia" w:cstheme="minorEastAsia"/>
                <w:sz w:val="21"/>
                <w:szCs w:val="21"/>
              </w:rPr>
              <w:t>村</w:t>
            </w:r>
          </w:p>
        </w:tc>
        <w:tc>
          <w:tcPr>
            <w:tcW w:w="6290" w:type="dxa"/>
            <w:tcBorders>
              <w:tl2br w:val="nil"/>
              <w:tr2bl w:val="nil"/>
            </w:tcBorders>
            <w:vAlign w:val="center"/>
          </w:tcPr>
          <w:p>
            <w:pPr>
              <w:spacing w:before="127" w:line="208"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垃</w:t>
            </w:r>
            <w:r>
              <w:rPr>
                <w:rFonts w:hint="eastAsia" w:asciiTheme="minorEastAsia" w:hAnsiTheme="minorEastAsia" w:eastAsiaTheme="minorEastAsia" w:cstheme="minorEastAsia"/>
                <w:spacing w:val="9"/>
                <w:sz w:val="21"/>
                <w:szCs w:val="21"/>
              </w:rPr>
              <w:t>圾分类符合城乡垃圾分类相关规范要求。</w:t>
            </w:r>
          </w:p>
        </w:tc>
        <w:tc>
          <w:tcPr>
            <w:tcW w:w="1519" w:type="dxa"/>
            <w:tcBorders>
              <w:tl2br w:val="nil"/>
              <w:tr2bl w:val="nil"/>
            </w:tcBorders>
            <w:vAlign w:val="center"/>
          </w:tcPr>
          <w:p>
            <w:pPr>
              <w:spacing w:before="127"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十三条，23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38"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健</w:t>
            </w:r>
            <w:r>
              <w:rPr>
                <w:rFonts w:hint="eastAsia" w:asciiTheme="minorEastAsia" w:hAnsiTheme="minorEastAsia" w:eastAsiaTheme="minorEastAsia" w:cstheme="minorEastAsia"/>
                <w:spacing w:val="8"/>
                <w:sz w:val="21"/>
                <w:szCs w:val="21"/>
              </w:rPr>
              <w:t>康细胞建设情况。</w:t>
            </w:r>
          </w:p>
        </w:tc>
        <w:tc>
          <w:tcPr>
            <w:tcW w:w="1519" w:type="dxa"/>
            <w:tcBorders>
              <w:tl2br w:val="nil"/>
              <w:tr2bl w:val="nil"/>
            </w:tcBorders>
            <w:vAlign w:val="center"/>
          </w:tcPr>
          <w:p>
            <w:pPr>
              <w:spacing w:before="138"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十六条，39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326" w:type="dxa"/>
            <w:vMerge w:val="restart"/>
            <w:tcBorders>
              <w:tl2br w:val="nil"/>
              <w:tr2bl w:val="nil"/>
            </w:tcBorders>
            <w:vAlign w:val="center"/>
          </w:tcPr>
          <w:p>
            <w:pPr>
              <w:spacing w:before="81" w:line="249" w:lineRule="auto"/>
              <w:ind w:left="112" w:right="147" w:firstLine="1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1个行政村的5</w:t>
            </w:r>
            <w:r>
              <w:rPr>
                <w:rFonts w:hint="eastAsia" w:asciiTheme="minorEastAsia" w:hAnsiTheme="minorEastAsia" w:eastAsiaTheme="minorEastAsia" w:cstheme="minorEastAsia"/>
                <w:sz w:val="21"/>
                <w:szCs w:val="21"/>
              </w:rPr>
              <w:t>户农</w:t>
            </w:r>
            <w:r>
              <w:rPr>
                <w:rFonts w:hint="eastAsia" w:asciiTheme="minorEastAsia" w:hAnsiTheme="minorEastAsia" w:eastAsiaTheme="minorEastAsia" w:cstheme="minorEastAsia"/>
                <w:spacing w:val="9"/>
                <w:sz w:val="21"/>
                <w:szCs w:val="21"/>
              </w:rPr>
              <w:t>村</w:t>
            </w:r>
            <w:r>
              <w:rPr>
                <w:rFonts w:hint="eastAsia" w:asciiTheme="minorEastAsia" w:hAnsiTheme="minorEastAsia" w:eastAsiaTheme="minorEastAsia" w:cstheme="minorEastAsia"/>
                <w:spacing w:val="8"/>
                <w:sz w:val="21"/>
                <w:szCs w:val="21"/>
              </w:rPr>
              <w:t>家庭</w:t>
            </w:r>
          </w:p>
        </w:tc>
        <w:tc>
          <w:tcPr>
            <w:tcW w:w="6290" w:type="dxa"/>
            <w:tcBorders>
              <w:tl2br w:val="nil"/>
              <w:tr2bl w:val="nil"/>
            </w:tcBorders>
            <w:vAlign w:val="center"/>
          </w:tcPr>
          <w:p>
            <w:pPr>
              <w:spacing w:before="133" w:line="207" w:lineRule="auto"/>
              <w:ind w:left="14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自</w:t>
            </w:r>
            <w:r>
              <w:rPr>
                <w:rFonts w:hint="eastAsia" w:asciiTheme="minorEastAsia" w:hAnsiTheme="minorEastAsia" w:eastAsiaTheme="minorEastAsia" w:cstheme="minorEastAsia"/>
                <w:spacing w:val="3"/>
                <w:sz w:val="21"/>
                <w:szCs w:val="21"/>
              </w:rPr>
              <w:t>来水入户情况。</w:t>
            </w:r>
          </w:p>
        </w:tc>
        <w:tc>
          <w:tcPr>
            <w:tcW w:w="1519" w:type="dxa"/>
            <w:tcBorders>
              <w:tl2br w:val="nil"/>
              <w:tr2bl w:val="nil"/>
            </w:tcBorders>
            <w:vAlign w:val="center"/>
          </w:tcPr>
          <w:p>
            <w:pPr>
              <w:spacing w:before="132"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十二条，21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16"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82" w:line="229" w:lineRule="auto"/>
              <w:ind w:left="107" w:right="105" w:firstLine="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卫生厕所查验标准：</w:t>
            </w:r>
            <w:r>
              <w:rPr>
                <w:rFonts w:hint="eastAsia" w:asciiTheme="minorEastAsia" w:hAnsiTheme="minorEastAsia" w:eastAsiaTheme="minorEastAsia" w:cstheme="minorEastAsia"/>
                <w:spacing w:val="-2"/>
                <w:sz w:val="21"/>
                <w:szCs w:val="21"/>
              </w:rPr>
              <w:t>卫生厕所指有墙、有顶、有门，厕屋清洁、无臭，粪池</w:t>
            </w:r>
            <w:r>
              <w:rPr>
                <w:rFonts w:hint="eastAsia" w:asciiTheme="minorEastAsia" w:hAnsiTheme="minorEastAsia" w:eastAsiaTheme="minorEastAsia" w:cstheme="minorEastAsia"/>
                <w:spacing w:val="2"/>
                <w:sz w:val="21"/>
                <w:szCs w:val="21"/>
              </w:rPr>
              <w:t>无渗漏、无粪便暴露、无蝇蛆，厕所粪污就地处理处置，或转移至户</w:t>
            </w:r>
            <w:r>
              <w:rPr>
                <w:rFonts w:hint="eastAsia" w:asciiTheme="minorEastAsia" w:hAnsiTheme="minorEastAsia" w:eastAsiaTheme="minorEastAsia" w:cstheme="minorEastAsia"/>
                <w:sz w:val="21"/>
                <w:szCs w:val="21"/>
              </w:rPr>
              <w:t>厕外进</w:t>
            </w:r>
            <w:r>
              <w:rPr>
                <w:rFonts w:hint="eastAsia" w:asciiTheme="minorEastAsia" w:hAnsiTheme="minorEastAsia" w:eastAsiaTheme="minorEastAsia" w:cstheme="minorEastAsia"/>
                <w:spacing w:val="2"/>
                <w:sz w:val="21"/>
                <w:szCs w:val="21"/>
              </w:rPr>
              <w:t>行处理处置，达到无害化卫生要求</w:t>
            </w:r>
            <w:r>
              <w:rPr>
                <w:rFonts w:hint="eastAsia" w:asciiTheme="minorEastAsia" w:hAnsiTheme="minorEastAsia" w:eastAsiaTheme="minorEastAsia" w:cstheme="minorEastAsia"/>
                <w:sz w:val="21"/>
                <w:szCs w:val="21"/>
              </w:rPr>
              <w:t>。</w:t>
            </w:r>
          </w:p>
        </w:tc>
        <w:tc>
          <w:tcPr>
            <w:tcW w:w="1519" w:type="dxa"/>
            <w:tcBorders>
              <w:tl2br w:val="nil"/>
              <w:tr2bl w:val="nil"/>
            </w:tcBorders>
            <w:vAlign w:val="center"/>
          </w:tcPr>
          <w:p>
            <w:pPr>
              <w:spacing w:line="312" w:lineRule="auto"/>
              <w:jc w:val="both"/>
              <w:rPr>
                <w:rFonts w:hint="eastAsia" w:asciiTheme="minorEastAsia" w:hAnsiTheme="minorEastAsia" w:eastAsiaTheme="minorEastAsia" w:cstheme="minorEastAsia"/>
                <w:sz w:val="21"/>
                <w:szCs w:val="21"/>
              </w:rPr>
            </w:pPr>
          </w:p>
          <w:p>
            <w:pPr>
              <w:spacing w:before="82"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十四条，27</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28"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查看禽畜饲养情况评判标准</w:t>
            </w:r>
            <w:r>
              <w:rPr>
                <w:rFonts w:hint="eastAsia" w:asciiTheme="minorEastAsia" w:hAnsiTheme="minorEastAsia" w:eastAsiaTheme="minorEastAsia" w:cstheme="minorEastAsia"/>
                <w:sz w:val="21"/>
                <w:szCs w:val="21"/>
              </w:rPr>
              <w:t>：禽畜圈养；及时清理粪便。</w:t>
            </w:r>
          </w:p>
        </w:tc>
        <w:tc>
          <w:tcPr>
            <w:tcW w:w="1519" w:type="dxa"/>
            <w:tcBorders>
              <w:tl2br w:val="nil"/>
              <w:tr2bl w:val="nil"/>
            </w:tcBorders>
            <w:vAlign w:val="center"/>
          </w:tcPr>
          <w:p>
            <w:pPr>
              <w:spacing w:before="128"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十四条，29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326" w:type="dxa"/>
            <w:vMerge w:val="restart"/>
            <w:tcBorders>
              <w:tl2br w:val="nil"/>
              <w:tr2bl w:val="nil"/>
            </w:tcBorders>
            <w:vAlign w:val="center"/>
          </w:tcPr>
          <w:p>
            <w:pPr>
              <w:spacing w:before="81" w:line="249" w:lineRule="auto"/>
              <w:ind w:left="121" w:right="147" w:firstLine="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1家县级医院和1</w:t>
            </w:r>
            <w:r>
              <w:rPr>
                <w:rFonts w:hint="eastAsia" w:asciiTheme="minorEastAsia" w:hAnsiTheme="minorEastAsia" w:eastAsiaTheme="minorEastAsia" w:cstheme="minorEastAsia"/>
                <w:sz w:val="21"/>
                <w:szCs w:val="21"/>
              </w:rPr>
              <w:t>家</w:t>
            </w:r>
            <w:r>
              <w:rPr>
                <w:rFonts w:hint="eastAsia" w:asciiTheme="minorEastAsia" w:hAnsiTheme="minorEastAsia" w:eastAsiaTheme="minorEastAsia" w:cstheme="minorEastAsia"/>
                <w:spacing w:val="7"/>
                <w:sz w:val="21"/>
                <w:szCs w:val="21"/>
              </w:rPr>
              <w:t>乡镇卫生院</w:t>
            </w:r>
          </w:p>
        </w:tc>
        <w:tc>
          <w:tcPr>
            <w:tcW w:w="6290" w:type="dxa"/>
            <w:tcBorders>
              <w:tl2br w:val="nil"/>
              <w:tr2bl w:val="nil"/>
            </w:tcBorders>
            <w:vAlign w:val="center"/>
          </w:tcPr>
          <w:p>
            <w:pPr>
              <w:spacing w:before="102" w:line="208" w:lineRule="auto"/>
              <w:ind w:left="1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医</w:t>
            </w:r>
            <w:r>
              <w:rPr>
                <w:rFonts w:hint="eastAsia" w:asciiTheme="minorEastAsia" w:hAnsiTheme="minorEastAsia" w:eastAsiaTheme="minorEastAsia" w:cstheme="minorEastAsia"/>
                <w:spacing w:val="12"/>
                <w:sz w:val="21"/>
                <w:szCs w:val="21"/>
              </w:rPr>
              <w:t>疗</w:t>
            </w:r>
            <w:r>
              <w:rPr>
                <w:rFonts w:hint="eastAsia" w:asciiTheme="minorEastAsia" w:hAnsiTheme="minorEastAsia" w:eastAsiaTheme="minorEastAsia" w:cstheme="minorEastAsia"/>
                <w:spacing w:val="8"/>
                <w:sz w:val="21"/>
                <w:szCs w:val="21"/>
              </w:rPr>
              <w:t>废物管理制度健全、医疗废物处置规范。</w:t>
            </w:r>
          </w:p>
        </w:tc>
        <w:tc>
          <w:tcPr>
            <w:tcW w:w="1519" w:type="dxa"/>
            <w:tcBorders>
              <w:tl2br w:val="nil"/>
              <w:tr2bl w:val="nil"/>
            </w:tcBorders>
            <w:vAlign w:val="center"/>
          </w:tcPr>
          <w:p>
            <w:pPr>
              <w:spacing w:before="102"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十三条，25</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96"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健</w:t>
            </w:r>
            <w:r>
              <w:rPr>
                <w:rFonts w:hint="eastAsia" w:asciiTheme="minorEastAsia" w:hAnsiTheme="minorEastAsia" w:eastAsiaTheme="minorEastAsia" w:cstheme="minorEastAsia"/>
                <w:spacing w:val="8"/>
                <w:sz w:val="21"/>
                <w:szCs w:val="21"/>
              </w:rPr>
              <w:t>康细胞建设情况。</w:t>
            </w:r>
          </w:p>
        </w:tc>
        <w:tc>
          <w:tcPr>
            <w:tcW w:w="1519" w:type="dxa"/>
            <w:tcBorders>
              <w:tl2br w:val="nil"/>
              <w:tr2bl w:val="nil"/>
            </w:tcBorders>
            <w:vAlign w:val="center"/>
          </w:tcPr>
          <w:p>
            <w:pPr>
              <w:spacing w:before="95"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第</w:t>
            </w:r>
            <w:r>
              <w:rPr>
                <w:rFonts w:hint="eastAsia" w:asciiTheme="minorEastAsia" w:hAnsiTheme="minorEastAsia" w:eastAsiaTheme="minorEastAsia" w:cstheme="minorEastAsia"/>
                <w:spacing w:val="-8"/>
                <w:sz w:val="21"/>
                <w:szCs w:val="21"/>
              </w:rPr>
              <w:t>十六条，39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2" w:line="234" w:lineRule="auto"/>
              <w:ind w:left="108" w:righ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卫生</w:t>
            </w:r>
            <w:r>
              <w:rPr>
                <w:rFonts w:hint="eastAsia" w:asciiTheme="minorEastAsia" w:hAnsiTheme="minorEastAsia" w:eastAsiaTheme="minorEastAsia" w:cstheme="minorEastAsia"/>
                <w:spacing w:val="14"/>
                <w:sz w:val="21"/>
                <w:szCs w:val="21"/>
              </w:rPr>
              <w:t>健</w:t>
            </w:r>
            <w:r>
              <w:rPr>
                <w:rFonts w:hint="eastAsia" w:asciiTheme="minorEastAsia" w:hAnsiTheme="minorEastAsia" w:eastAsiaTheme="minorEastAsia" w:cstheme="minorEastAsia"/>
                <w:spacing w:val="8"/>
                <w:sz w:val="21"/>
                <w:szCs w:val="21"/>
              </w:rPr>
              <w:t>康行政部门印发关于将健康教育纳入医疗卫生机构绩效考核的文件；</w:t>
            </w:r>
            <w:r>
              <w:rPr>
                <w:rFonts w:hint="eastAsia" w:asciiTheme="minorEastAsia" w:hAnsiTheme="minorEastAsia" w:eastAsiaTheme="minorEastAsia" w:cstheme="minorEastAsia"/>
                <w:spacing w:val="16"/>
                <w:sz w:val="21"/>
                <w:szCs w:val="21"/>
              </w:rPr>
              <w:t>被</w:t>
            </w:r>
            <w:r>
              <w:rPr>
                <w:rFonts w:hint="eastAsia" w:asciiTheme="minorEastAsia" w:hAnsiTheme="minorEastAsia" w:eastAsiaTheme="minorEastAsia" w:cstheme="minorEastAsia"/>
                <w:spacing w:val="9"/>
                <w:sz w:val="21"/>
                <w:szCs w:val="21"/>
              </w:rPr>
              <w:t>抽查的县级医院或乡镇卫生院有相关落实制度。</w:t>
            </w:r>
          </w:p>
        </w:tc>
        <w:tc>
          <w:tcPr>
            <w:tcW w:w="1519" w:type="dxa"/>
            <w:tcBorders>
              <w:tl2br w:val="nil"/>
              <w:tr2bl w:val="nil"/>
            </w:tcBorders>
            <w:vAlign w:val="center"/>
          </w:tcPr>
          <w:p>
            <w:pPr>
              <w:spacing w:before="256"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十五条，66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7" w:line="207" w:lineRule="auto"/>
              <w:ind w:left="10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有患者</w:t>
            </w:r>
            <w:r>
              <w:rPr>
                <w:rFonts w:hint="eastAsia" w:asciiTheme="minorEastAsia" w:hAnsiTheme="minorEastAsia" w:eastAsiaTheme="minorEastAsia" w:cstheme="minorEastAsia"/>
                <w:spacing w:val="7"/>
                <w:sz w:val="21"/>
                <w:szCs w:val="21"/>
              </w:rPr>
              <w:t>健</w:t>
            </w:r>
            <w:r>
              <w:rPr>
                <w:rFonts w:hint="eastAsia" w:asciiTheme="minorEastAsia" w:hAnsiTheme="minorEastAsia" w:eastAsiaTheme="minorEastAsia" w:cstheme="minorEastAsia"/>
                <w:spacing w:val="4"/>
                <w:sz w:val="21"/>
                <w:szCs w:val="21"/>
              </w:rPr>
              <w:t>康教育工作流程；在诊疗中使用健康教育处方。</w:t>
            </w:r>
          </w:p>
        </w:tc>
        <w:tc>
          <w:tcPr>
            <w:tcW w:w="1519" w:type="dxa"/>
            <w:tcBorders>
              <w:tl2br w:val="nil"/>
              <w:tr2bl w:val="nil"/>
            </w:tcBorders>
            <w:vAlign w:val="center"/>
          </w:tcPr>
          <w:p>
            <w:pPr>
              <w:spacing w:before="106"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十五条，67</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29" w:line="239" w:lineRule="auto"/>
              <w:ind w:left="107"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具备醒目的禁烟标</w:t>
            </w:r>
            <w:r>
              <w:rPr>
                <w:rFonts w:hint="eastAsia" w:asciiTheme="minorEastAsia" w:hAnsiTheme="minorEastAsia" w:eastAsiaTheme="minorEastAsia" w:cstheme="minorEastAsia"/>
                <w:spacing w:val="3"/>
                <w:sz w:val="21"/>
                <w:szCs w:val="21"/>
              </w:rPr>
              <w:t>识；在非吸烟区</w:t>
            </w:r>
            <w:r>
              <w:rPr>
                <w:rFonts w:hint="eastAsia" w:asciiTheme="minorEastAsia" w:hAnsi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rPr>
              <w:t>无吸烟区的单位，视为场所范围均为非</w:t>
            </w:r>
            <w:r>
              <w:rPr>
                <w:rFonts w:hint="eastAsia" w:asciiTheme="minorEastAsia" w:hAnsiTheme="minorEastAsia" w:eastAsiaTheme="minorEastAsia" w:cstheme="minorEastAsia"/>
                <w:spacing w:val="9"/>
                <w:sz w:val="21"/>
                <w:szCs w:val="21"/>
              </w:rPr>
              <w:t>吸烟区)未发现吸烟现象或烟蒂。如果吸烟区设置不规范或缺乏醒目的引</w:t>
            </w:r>
            <w:r>
              <w:rPr>
                <w:rFonts w:hint="eastAsia" w:asciiTheme="minorEastAsia" w:hAnsiTheme="minorEastAsia" w:eastAsiaTheme="minorEastAsia" w:cstheme="minorEastAsia"/>
                <w:spacing w:val="3"/>
                <w:sz w:val="21"/>
                <w:szCs w:val="21"/>
              </w:rPr>
              <w:t>导</w:t>
            </w:r>
            <w:r>
              <w:rPr>
                <w:rFonts w:hint="eastAsia" w:asciiTheme="minorEastAsia" w:hAnsiTheme="minorEastAsia" w:eastAsiaTheme="minorEastAsia" w:cstheme="minorEastAsia"/>
                <w:spacing w:val="-14"/>
                <w:sz w:val="21"/>
                <w:szCs w:val="21"/>
              </w:rPr>
              <w:t>标</w:t>
            </w:r>
            <w:r>
              <w:rPr>
                <w:rFonts w:hint="eastAsia" w:asciiTheme="minorEastAsia" w:hAnsiTheme="minorEastAsia" w:eastAsiaTheme="minorEastAsia" w:cstheme="minorEastAsia"/>
                <w:spacing w:val="-8"/>
                <w:sz w:val="21"/>
                <w:szCs w:val="21"/>
              </w:rPr>
              <w:t>识</w:t>
            </w:r>
            <w:r>
              <w:rPr>
                <w:rFonts w:hint="eastAsia" w:asciiTheme="minorEastAsia" w:hAnsiTheme="minorEastAsia" w:eastAsiaTheme="minorEastAsia" w:cstheme="minorEastAsia"/>
                <w:spacing w:val="-7"/>
                <w:sz w:val="21"/>
                <w:szCs w:val="21"/>
              </w:rPr>
              <w:t>，扣0.5分。</w:t>
            </w:r>
          </w:p>
        </w:tc>
        <w:tc>
          <w:tcPr>
            <w:tcW w:w="1519" w:type="dxa"/>
            <w:tcBorders>
              <w:tl2br w:val="nil"/>
              <w:tr2bl w:val="nil"/>
            </w:tcBorders>
            <w:vAlign w:val="center"/>
          </w:tcPr>
          <w:p>
            <w:pPr>
              <w:spacing w:line="355" w:lineRule="auto"/>
              <w:jc w:val="both"/>
              <w:rPr>
                <w:rFonts w:hint="eastAsia" w:asciiTheme="minorEastAsia" w:hAnsiTheme="minorEastAsia" w:eastAsiaTheme="minorEastAsia" w:cstheme="minorEastAsia"/>
                <w:sz w:val="21"/>
                <w:szCs w:val="21"/>
              </w:rPr>
            </w:pPr>
          </w:p>
          <w:p>
            <w:pPr>
              <w:spacing w:before="82"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三</w:t>
            </w:r>
            <w:r>
              <w:rPr>
                <w:rFonts w:hint="eastAsia" w:asciiTheme="minorEastAsia" w:hAnsiTheme="minorEastAsia" w:eastAsiaTheme="minorEastAsia" w:cstheme="minorEastAsia"/>
                <w:spacing w:val="-6"/>
                <w:sz w:val="21"/>
                <w:szCs w:val="21"/>
              </w:rPr>
              <w:t>十一条，81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1326" w:type="dxa"/>
            <w:vMerge w:val="restart"/>
            <w:tcBorders>
              <w:tl2br w:val="nil"/>
              <w:tr2bl w:val="nil"/>
            </w:tcBorders>
            <w:vAlign w:val="center"/>
          </w:tcPr>
          <w:p>
            <w:pPr>
              <w:spacing w:before="82" w:line="249" w:lineRule="auto"/>
              <w:ind w:left="114" w:right="106" w:firstLine="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4"/>
                <w:sz w:val="21"/>
                <w:szCs w:val="21"/>
              </w:rPr>
              <w:t>家社区卫生服务中</w:t>
            </w:r>
            <w:r>
              <w:rPr>
                <w:rFonts w:hint="eastAsia" w:asciiTheme="minorEastAsia" w:hAnsiTheme="minorEastAsia" w:eastAsiaTheme="minorEastAsia" w:cstheme="minorEastAsia"/>
                <w:spacing w:val="6"/>
                <w:sz w:val="21"/>
                <w:szCs w:val="21"/>
              </w:rPr>
              <w:t>心</w:t>
            </w:r>
            <w:r>
              <w:rPr>
                <w:rFonts w:hint="eastAsia" w:asciiTheme="minorEastAsia" w:hAnsiTheme="minorEastAsia" w:eastAsiaTheme="minorEastAsia" w:cstheme="minorEastAsia"/>
                <w:spacing w:val="4"/>
                <w:sz w:val="21"/>
                <w:szCs w:val="21"/>
              </w:rPr>
              <w:t>和</w:t>
            </w:r>
            <w:r>
              <w:rPr>
                <w:rFonts w:hint="eastAsia" w:asciiTheme="minorEastAsia" w:hAnsiTheme="minorEastAsia" w:eastAsiaTheme="minorEastAsia" w:cstheme="minorEastAsia"/>
                <w:spacing w:val="3"/>
                <w:sz w:val="21"/>
                <w:szCs w:val="21"/>
              </w:rPr>
              <w:t>1家乡镇卫生院</w:t>
            </w:r>
          </w:p>
        </w:tc>
        <w:tc>
          <w:tcPr>
            <w:tcW w:w="6290" w:type="dxa"/>
            <w:tcBorders>
              <w:tl2br w:val="nil"/>
              <w:tr2bl w:val="nil"/>
            </w:tcBorders>
            <w:vAlign w:val="center"/>
          </w:tcPr>
          <w:p>
            <w:pPr>
              <w:spacing w:before="110" w:line="235" w:lineRule="auto"/>
              <w:ind w:left="107" w:right="273" w:firstLine="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被抽</w:t>
            </w:r>
            <w:r>
              <w:rPr>
                <w:rFonts w:hint="eastAsia" w:asciiTheme="minorEastAsia" w:hAnsiTheme="minorEastAsia" w:eastAsiaTheme="minorEastAsia" w:cstheme="minorEastAsia"/>
                <w:spacing w:val="16"/>
                <w:sz w:val="21"/>
                <w:szCs w:val="21"/>
              </w:rPr>
              <w:t>查</w:t>
            </w:r>
            <w:r>
              <w:rPr>
                <w:rFonts w:hint="eastAsia" w:asciiTheme="minorEastAsia" w:hAnsiTheme="minorEastAsia" w:eastAsiaTheme="minorEastAsia" w:cstheme="minorEastAsia"/>
                <w:spacing w:val="9"/>
                <w:sz w:val="21"/>
                <w:szCs w:val="21"/>
              </w:rPr>
              <w:t>社区卫生服务中心和乡镇卫生院能够按照基本公共卫生服务规范实</w:t>
            </w:r>
            <w:r>
              <w:rPr>
                <w:rFonts w:hint="eastAsia" w:asciiTheme="minorEastAsia" w:hAnsiTheme="minorEastAsia" w:eastAsiaTheme="minorEastAsia" w:cstheme="minorEastAsia"/>
                <w:spacing w:val="10"/>
                <w:sz w:val="21"/>
                <w:szCs w:val="21"/>
              </w:rPr>
              <w:t>施</w:t>
            </w:r>
            <w:r>
              <w:rPr>
                <w:rFonts w:hint="eastAsia" w:asciiTheme="minorEastAsia" w:hAnsiTheme="minorEastAsia" w:eastAsiaTheme="minorEastAsia" w:cstheme="minorEastAsia"/>
                <w:spacing w:val="8"/>
                <w:sz w:val="21"/>
                <w:szCs w:val="21"/>
              </w:rPr>
              <w:t>健康教育项目。</w:t>
            </w:r>
          </w:p>
        </w:tc>
        <w:tc>
          <w:tcPr>
            <w:tcW w:w="1519" w:type="dxa"/>
            <w:tcBorders>
              <w:tl2br w:val="nil"/>
              <w:tr2bl w:val="nil"/>
            </w:tcBorders>
            <w:vAlign w:val="center"/>
          </w:tcPr>
          <w:p>
            <w:pPr>
              <w:spacing w:before="265"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十四条，63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28" w:line="208" w:lineRule="auto"/>
              <w:ind w:left="11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家</w:t>
            </w:r>
            <w:r>
              <w:rPr>
                <w:rFonts w:hint="eastAsia" w:asciiTheme="minorEastAsia" w:hAnsiTheme="minorEastAsia" w:eastAsiaTheme="minorEastAsia" w:cstheme="minorEastAsia"/>
                <w:spacing w:val="9"/>
                <w:sz w:val="21"/>
                <w:szCs w:val="21"/>
              </w:rPr>
              <w:t>庭医生中医药服务开展及中医治未病服务提供情况。</w:t>
            </w:r>
          </w:p>
        </w:tc>
        <w:tc>
          <w:tcPr>
            <w:tcW w:w="1519" w:type="dxa"/>
            <w:tcBorders>
              <w:tl2br w:val="nil"/>
              <w:tr2bl w:val="nil"/>
            </w:tcBorders>
            <w:vAlign w:val="center"/>
          </w:tcPr>
          <w:p>
            <w:pPr>
              <w:spacing w:before="128"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十六条，71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26" w:type="dxa"/>
            <w:tcBorders>
              <w:tl2br w:val="nil"/>
              <w:tr2bl w:val="nil"/>
            </w:tcBorders>
            <w:vAlign w:val="center"/>
          </w:tcPr>
          <w:p>
            <w:pPr>
              <w:spacing w:before="157" w:line="249" w:lineRule="auto"/>
              <w:ind w:left="114" w:right="106" w:firstLine="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4"/>
                <w:sz w:val="21"/>
                <w:szCs w:val="21"/>
              </w:rPr>
              <w:t>家社区卫生服务中</w:t>
            </w:r>
            <w:r>
              <w:rPr>
                <w:rFonts w:hint="eastAsia" w:asciiTheme="minorEastAsia" w:hAnsiTheme="minorEastAsia" w:eastAsiaTheme="minorEastAsia" w:cstheme="minorEastAsia"/>
                <w:spacing w:val="6"/>
                <w:sz w:val="21"/>
                <w:szCs w:val="21"/>
              </w:rPr>
              <w:t>心</w:t>
            </w:r>
            <w:r>
              <w:rPr>
                <w:rFonts w:hint="eastAsia" w:asciiTheme="minorEastAsia" w:hAnsiTheme="minorEastAsia" w:eastAsiaTheme="minorEastAsia" w:cstheme="minorEastAsia"/>
                <w:spacing w:val="4"/>
                <w:sz w:val="21"/>
                <w:szCs w:val="21"/>
              </w:rPr>
              <w:t>或</w:t>
            </w:r>
            <w:r>
              <w:rPr>
                <w:rFonts w:hint="eastAsia" w:asciiTheme="minorEastAsia" w:hAnsiTheme="minorEastAsia" w:eastAsiaTheme="minorEastAsia" w:cstheme="minorEastAsia"/>
                <w:spacing w:val="3"/>
                <w:sz w:val="21"/>
                <w:szCs w:val="21"/>
              </w:rPr>
              <w:t>1家乡镇卫生院</w:t>
            </w:r>
          </w:p>
        </w:tc>
        <w:tc>
          <w:tcPr>
            <w:tcW w:w="6290" w:type="dxa"/>
            <w:tcBorders>
              <w:tl2br w:val="nil"/>
              <w:tr2bl w:val="nil"/>
            </w:tcBorders>
            <w:vAlign w:val="center"/>
          </w:tcPr>
          <w:p>
            <w:pPr>
              <w:spacing w:before="312"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查</w:t>
            </w:r>
            <w:r>
              <w:rPr>
                <w:rFonts w:hint="eastAsia" w:asciiTheme="minorEastAsia" w:hAnsiTheme="minorEastAsia" w:eastAsiaTheme="minorEastAsia" w:cstheme="minorEastAsia"/>
                <w:spacing w:val="9"/>
                <w:sz w:val="21"/>
                <w:szCs w:val="21"/>
              </w:rPr>
              <w:t>阅家庭医生签约服务开展、质量控制等情况。</w:t>
            </w:r>
          </w:p>
        </w:tc>
        <w:tc>
          <w:tcPr>
            <w:tcW w:w="1519" w:type="dxa"/>
            <w:tcBorders>
              <w:tl2br w:val="nil"/>
              <w:tr2bl w:val="nil"/>
            </w:tcBorders>
            <w:vAlign w:val="center"/>
          </w:tcPr>
          <w:p>
            <w:pPr>
              <w:spacing w:before="312" w:line="209"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十二条，55</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326" w:type="dxa"/>
            <w:vMerge w:val="restart"/>
            <w:tcBorders>
              <w:tl2br w:val="nil"/>
              <w:tr2bl w:val="nil"/>
            </w:tcBorders>
            <w:vAlign w:val="center"/>
          </w:tcPr>
          <w:p>
            <w:pPr>
              <w:spacing w:before="82" w:line="208"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w:t>
            </w:r>
            <w:r>
              <w:rPr>
                <w:rFonts w:hint="eastAsia" w:asciiTheme="minorEastAsia" w:hAnsiTheme="minorEastAsia" w:eastAsiaTheme="minorEastAsia" w:cstheme="minorEastAsia"/>
                <w:spacing w:val="6"/>
                <w:sz w:val="21"/>
                <w:szCs w:val="21"/>
              </w:rPr>
              <w:t>个小学和1个中学</w:t>
            </w:r>
          </w:p>
        </w:tc>
        <w:tc>
          <w:tcPr>
            <w:tcW w:w="6290" w:type="dxa"/>
            <w:tcBorders>
              <w:tl2br w:val="nil"/>
              <w:tr2bl w:val="nil"/>
            </w:tcBorders>
            <w:vAlign w:val="center"/>
          </w:tcPr>
          <w:p>
            <w:pPr>
              <w:spacing w:before="97" w:line="208" w:lineRule="auto"/>
              <w:ind w:left="10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健</w:t>
            </w:r>
            <w:r>
              <w:rPr>
                <w:rFonts w:hint="eastAsia" w:asciiTheme="minorEastAsia" w:hAnsiTheme="minorEastAsia" w:eastAsiaTheme="minorEastAsia" w:cstheme="minorEastAsia"/>
                <w:spacing w:val="8"/>
                <w:sz w:val="21"/>
                <w:szCs w:val="21"/>
              </w:rPr>
              <w:t>康细胞建设情况。</w:t>
            </w:r>
          </w:p>
        </w:tc>
        <w:tc>
          <w:tcPr>
            <w:tcW w:w="1519" w:type="dxa"/>
            <w:tcBorders>
              <w:tl2br w:val="nil"/>
              <w:tr2bl w:val="nil"/>
            </w:tcBorders>
            <w:vAlign w:val="center"/>
          </w:tcPr>
          <w:p>
            <w:pPr>
              <w:spacing w:before="97"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十六条，39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70"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43" w:line="220" w:lineRule="auto"/>
              <w:ind w:left="108" w:right="1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健康教育纳入课程计划、有专兼职健康教育师资、有健康教育教学材料</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16"/>
                <w:sz w:val="21"/>
                <w:szCs w:val="21"/>
              </w:rPr>
              <w:t>体</w:t>
            </w:r>
            <w:r>
              <w:rPr>
                <w:rFonts w:hint="eastAsia" w:asciiTheme="minorEastAsia" w:hAnsiTheme="minorEastAsia" w:eastAsiaTheme="minorEastAsia" w:cstheme="minorEastAsia"/>
                <w:spacing w:val="8"/>
                <w:sz w:val="21"/>
                <w:szCs w:val="21"/>
              </w:rPr>
              <w:t>现有健康教育的学科渗透、落实每学期4课时健康教育、开展学生健康</w:t>
            </w:r>
            <w:r>
              <w:rPr>
                <w:rFonts w:hint="eastAsia" w:asciiTheme="minorEastAsia" w:hAnsiTheme="minorEastAsia" w:eastAsiaTheme="minorEastAsia" w:cstheme="minorEastAsia"/>
                <w:spacing w:val="10"/>
                <w:sz w:val="21"/>
                <w:szCs w:val="21"/>
              </w:rPr>
              <w:t>教</w:t>
            </w:r>
            <w:r>
              <w:rPr>
                <w:rFonts w:hint="eastAsia" w:asciiTheme="minorEastAsia" w:hAnsiTheme="minorEastAsia" w:eastAsiaTheme="minorEastAsia" w:cstheme="minorEastAsia"/>
                <w:spacing w:val="8"/>
                <w:sz w:val="21"/>
                <w:szCs w:val="21"/>
              </w:rPr>
              <w:t>育课考试或测评。</w:t>
            </w:r>
          </w:p>
        </w:tc>
        <w:tc>
          <w:tcPr>
            <w:tcW w:w="1519" w:type="dxa"/>
            <w:tcBorders>
              <w:tl2br w:val="nil"/>
              <w:tr2bl w:val="nil"/>
            </w:tcBorders>
            <w:vAlign w:val="center"/>
          </w:tcPr>
          <w:p>
            <w:pPr>
              <w:spacing w:line="272" w:lineRule="auto"/>
              <w:jc w:val="both"/>
              <w:rPr>
                <w:rFonts w:hint="eastAsia" w:asciiTheme="minorEastAsia" w:hAnsiTheme="minorEastAsia" w:eastAsiaTheme="minorEastAsia" w:cstheme="minorEastAsia"/>
                <w:sz w:val="21"/>
                <w:szCs w:val="21"/>
              </w:rPr>
            </w:pPr>
          </w:p>
          <w:p>
            <w:pPr>
              <w:spacing w:before="82"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十九条，76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46" w:line="209" w:lineRule="auto"/>
              <w:ind w:left="110" w:right="27" w:firstLine="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每</w:t>
            </w:r>
            <w:r>
              <w:rPr>
                <w:rFonts w:hint="eastAsia" w:asciiTheme="minorEastAsia" w:hAnsiTheme="minorEastAsia" w:eastAsiaTheme="minorEastAsia" w:cstheme="minorEastAsia"/>
                <w:spacing w:val="5"/>
                <w:sz w:val="21"/>
                <w:szCs w:val="21"/>
              </w:rPr>
              <w:t>学</w:t>
            </w:r>
            <w:r>
              <w:rPr>
                <w:rFonts w:hint="eastAsia" w:asciiTheme="minorEastAsia" w:hAnsiTheme="minorEastAsia" w:eastAsiaTheme="minorEastAsia" w:cstheme="minorEastAsia"/>
                <w:spacing w:val="4"/>
                <w:sz w:val="21"/>
                <w:szCs w:val="21"/>
              </w:rPr>
              <w:t>期健康教育活动≥4次、学生社团、志愿者开展卫生健康知识宣传教育、</w:t>
            </w:r>
            <w:r>
              <w:rPr>
                <w:rFonts w:hint="eastAsia" w:asciiTheme="minorEastAsia" w:hAnsiTheme="minorEastAsia" w:eastAsiaTheme="minorEastAsia" w:cstheme="minorEastAsia"/>
                <w:spacing w:val="9"/>
                <w:sz w:val="21"/>
                <w:szCs w:val="21"/>
              </w:rPr>
              <w:t>利用网络或新媒体开展健康教育</w:t>
            </w:r>
            <w:r>
              <w:rPr>
                <w:rFonts w:hint="eastAsia" w:asciiTheme="minorEastAsia" w:hAnsiTheme="minorEastAsia" w:eastAsiaTheme="minorEastAsia" w:cstheme="minorEastAsia"/>
                <w:spacing w:val="6"/>
                <w:sz w:val="21"/>
                <w:szCs w:val="21"/>
              </w:rPr>
              <w:t>。</w:t>
            </w:r>
          </w:p>
        </w:tc>
        <w:tc>
          <w:tcPr>
            <w:tcW w:w="1519" w:type="dxa"/>
            <w:tcBorders>
              <w:tl2br w:val="nil"/>
              <w:tr2bl w:val="nil"/>
            </w:tcBorders>
            <w:vAlign w:val="center"/>
          </w:tcPr>
          <w:p>
            <w:pPr>
              <w:spacing w:before="2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十九条，77</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44" w:line="215" w:lineRule="auto"/>
              <w:ind w:left="108" w:right="171" w:firstLine="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近3</w:t>
            </w:r>
            <w:r>
              <w:rPr>
                <w:rFonts w:hint="eastAsia" w:asciiTheme="minorEastAsia" w:hAnsiTheme="minorEastAsia" w:eastAsiaTheme="minorEastAsia" w:cstheme="minorEastAsia"/>
                <w:spacing w:val="6"/>
                <w:sz w:val="21"/>
                <w:szCs w:val="21"/>
              </w:rPr>
              <w:t>年</w:t>
            </w:r>
            <w:r>
              <w:rPr>
                <w:rFonts w:hint="eastAsia" w:asciiTheme="minorEastAsia" w:hAnsiTheme="minorEastAsia" w:eastAsiaTheme="minorEastAsia" w:cstheme="minorEastAsia"/>
                <w:spacing w:val="4"/>
                <w:sz w:val="21"/>
                <w:szCs w:val="21"/>
              </w:rPr>
              <w:t>内，近视发生率逐年下降、肥胖发生率逐年下降、学生体质健康达</w:t>
            </w:r>
            <w:r>
              <w:rPr>
                <w:rFonts w:hint="eastAsia" w:asciiTheme="minorEastAsia" w:hAnsiTheme="minorEastAsia" w:eastAsiaTheme="minorEastAsia" w:cstheme="minorEastAsia"/>
                <w:spacing w:val="10"/>
                <w:sz w:val="21"/>
                <w:szCs w:val="21"/>
              </w:rPr>
              <w:t>标</w:t>
            </w:r>
            <w:r>
              <w:rPr>
                <w:rFonts w:hint="eastAsia" w:asciiTheme="minorEastAsia" w:hAnsiTheme="minorEastAsia" w:eastAsiaTheme="minorEastAsia" w:cstheme="minorEastAsia"/>
                <w:spacing w:val="8"/>
                <w:sz w:val="21"/>
                <w:szCs w:val="21"/>
              </w:rPr>
              <w:t>优良率逐年上升。</w:t>
            </w:r>
          </w:p>
        </w:tc>
        <w:tc>
          <w:tcPr>
            <w:tcW w:w="1519" w:type="dxa"/>
            <w:tcBorders>
              <w:tl2br w:val="nil"/>
              <w:tr2bl w:val="nil"/>
            </w:tcBorders>
            <w:vAlign w:val="center"/>
          </w:tcPr>
          <w:p>
            <w:pPr>
              <w:spacing w:before="2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二</w:t>
            </w:r>
            <w:r>
              <w:rPr>
                <w:rFonts w:hint="eastAsia" w:asciiTheme="minorEastAsia" w:hAnsiTheme="minorEastAsia" w:eastAsiaTheme="minorEastAsia" w:cstheme="minorEastAsia"/>
                <w:spacing w:val="-6"/>
                <w:sz w:val="21"/>
                <w:szCs w:val="21"/>
              </w:rPr>
              <w:t>十九条，78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47" w:line="219" w:lineRule="auto"/>
              <w:ind w:left="110" w:right="104" w:hanging="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具</w:t>
            </w:r>
            <w:r>
              <w:rPr>
                <w:rFonts w:hint="eastAsia" w:asciiTheme="minorEastAsia" w:hAnsiTheme="minorEastAsia" w:eastAsiaTheme="minorEastAsia" w:cstheme="minorEastAsia"/>
                <w:spacing w:val="8"/>
                <w:sz w:val="21"/>
                <w:szCs w:val="21"/>
              </w:rPr>
              <w:t>备醒目的禁烟标识</w:t>
            </w:r>
            <w:r>
              <w:rPr>
                <w:rFonts w:hint="eastAsia" w:asciiTheme="minorEastAsia" w:hAnsi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在非吸烟区</w:t>
            </w:r>
            <w:r>
              <w:rPr>
                <w:rFonts w:hint="eastAsia" w:asciiTheme="minorEastAsia" w:hAnsi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无吸烟区的单位，视为场所范围均为非</w:t>
            </w:r>
            <w:r>
              <w:rPr>
                <w:rFonts w:hint="eastAsia" w:asciiTheme="minorEastAsia" w:hAnsiTheme="minorEastAsia" w:eastAsiaTheme="minorEastAsia" w:cstheme="minorEastAsia"/>
                <w:spacing w:val="22"/>
                <w:sz w:val="21"/>
                <w:szCs w:val="21"/>
              </w:rPr>
              <w:t>吸</w:t>
            </w:r>
            <w:r>
              <w:rPr>
                <w:rFonts w:hint="eastAsia" w:asciiTheme="minorEastAsia" w:hAnsiTheme="minorEastAsia" w:eastAsiaTheme="minorEastAsia" w:cstheme="minorEastAsia"/>
                <w:spacing w:val="19"/>
                <w:sz w:val="21"/>
                <w:szCs w:val="21"/>
              </w:rPr>
              <w:t>烟</w:t>
            </w:r>
            <w:r>
              <w:rPr>
                <w:rFonts w:hint="eastAsia" w:asciiTheme="minorEastAsia" w:hAnsiTheme="minorEastAsia" w:eastAsiaTheme="minorEastAsia" w:cstheme="minorEastAsia"/>
                <w:spacing w:val="11"/>
                <w:sz w:val="21"/>
                <w:szCs w:val="21"/>
              </w:rPr>
              <w:t>区)未发现吸烟现象或烟蒂。如果吸烟区设置不规范或缺乏醒目的引</w:t>
            </w:r>
            <w:r>
              <w:rPr>
                <w:rFonts w:hint="eastAsia" w:asciiTheme="minorEastAsia" w:hAnsiTheme="minorEastAsia" w:eastAsiaTheme="minorEastAsia" w:cstheme="minorEastAsia"/>
                <w:spacing w:val="-12"/>
                <w:sz w:val="21"/>
                <w:szCs w:val="21"/>
              </w:rPr>
              <w:t>导</w:t>
            </w:r>
            <w:r>
              <w:rPr>
                <w:rFonts w:hint="eastAsia" w:asciiTheme="minorEastAsia" w:hAnsiTheme="minorEastAsia" w:eastAsiaTheme="minorEastAsia" w:cstheme="minorEastAsia"/>
                <w:spacing w:val="-6"/>
                <w:sz w:val="21"/>
                <w:szCs w:val="21"/>
              </w:rPr>
              <w:t>标识，扣0.5分。</w:t>
            </w:r>
          </w:p>
        </w:tc>
        <w:tc>
          <w:tcPr>
            <w:tcW w:w="1519" w:type="dxa"/>
            <w:tcBorders>
              <w:tl2br w:val="nil"/>
              <w:tr2bl w:val="nil"/>
            </w:tcBorders>
            <w:vAlign w:val="center"/>
          </w:tcPr>
          <w:p>
            <w:pPr>
              <w:spacing w:line="274" w:lineRule="auto"/>
              <w:jc w:val="both"/>
              <w:rPr>
                <w:rFonts w:hint="eastAsia" w:asciiTheme="minorEastAsia" w:hAnsiTheme="minorEastAsia" w:eastAsiaTheme="minorEastAsia" w:cstheme="minorEastAsia"/>
                <w:sz w:val="21"/>
                <w:szCs w:val="21"/>
              </w:rPr>
            </w:pPr>
          </w:p>
          <w:p>
            <w:pPr>
              <w:spacing w:before="82"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三</w:t>
            </w:r>
            <w:r>
              <w:rPr>
                <w:rFonts w:hint="eastAsia" w:asciiTheme="minorEastAsia" w:hAnsiTheme="minorEastAsia" w:eastAsiaTheme="minorEastAsia" w:cstheme="minorEastAsia"/>
                <w:spacing w:val="-6"/>
                <w:sz w:val="21"/>
                <w:szCs w:val="21"/>
              </w:rPr>
              <w:t>十一条，81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0" w:line="207" w:lineRule="auto"/>
              <w:ind w:left="11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观察周</w:t>
            </w:r>
            <w:r>
              <w:rPr>
                <w:rFonts w:hint="eastAsia" w:asciiTheme="minorEastAsia" w:hAnsiTheme="minorEastAsia" w:eastAsiaTheme="minorEastAsia" w:cstheme="minorEastAsia"/>
                <w:spacing w:val="4"/>
                <w:sz w:val="21"/>
                <w:szCs w:val="21"/>
              </w:rPr>
              <w:t>边</w:t>
            </w:r>
            <w:r>
              <w:rPr>
                <w:rFonts w:hint="eastAsia" w:asciiTheme="minorEastAsia" w:hAnsiTheme="minorEastAsia" w:eastAsiaTheme="minorEastAsia" w:cstheme="minorEastAsia"/>
                <w:spacing w:val="3"/>
                <w:sz w:val="21"/>
                <w:szCs w:val="21"/>
              </w:rPr>
              <w:t>100米是否有烟草/电子烟零售点。</w:t>
            </w:r>
          </w:p>
        </w:tc>
        <w:tc>
          <w:tcPr>
            <w:tcW w:w="1519" w:type="dxa"/>
            <w:tcBorders>
              <w:tl2br w:val="nil"/>
              <w:tr2bl w:val="nil"/>
            </w:tcBorders>
            <w:vAlign w:val="center"/>
          </w:tcPr>
          <w:p>
            <w:pPr>
              <w:spacing w:before="99"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三</w:t>
            </w:r>
            <w:r>
              <w:rPr>
                <w:rFonts w:hint="eastAsia" w:asciiTheme="minorEastAsia" w:hAnsiTheme="minorEastAsia" w:eastAsiaTheme="minorEastAsia" w:cstheme="minorEastAsia"/>
                <w:spacing w:val="-6"/>
                <w:sz w:val="21"/>
                <w:szCs w:val="21"/>
              </w:rPr>
              <w:t>十一条，82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326" w:type="dxa"/>
            <w:vMerge w:val="restart"/>
            <w:tcBorders>
              <w:tl2br w:val="nil"/>
              <w:tr2bl w:val="nil"/>
            </w:tcBorders>
            <w:vAlign w:val="center"/>
          </w:tcPr>
          <w:p>
            <w:pPr>
              <w:spacing w:before="81" w:line="208" w:lineRule="auto"/>
              <w:ind w:left="115"/>
              <w:jc w:val="center"/>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4"/>
                <w:sz w:val="21"/>
                <w:szCs w:val="21"/>
              </w:rPr>
              <w:t>2</w:t>
            </w:r>
            <w:r>
              <w:rPr>
                <w:rFonts w:hint="eastAsia" w:asciiTheme="minorEastAsia" w:hAnsiTheme="minorEastAsia" w:eastAsiaTheme="minorEastAsia" w:cstheme="minorEastAsia"/>
                <w:spacing w:val="3"/>
                <w:sz w:val="21"/>
                <w:szCs w:val="21"/>
              </w:rPr>
              <w:t>家党政</w:t>
            </w:r>
          </w:p>
          <w:p>
            <w:pPr>
              <w:spacing w:before="81" w:line="208" w:lineRule="auto"/>
              <w:ind w:left="11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机关</w:t>
            </w:r>
          </w:p>
        </w:tc>
        <w:tc>
          <w:tcPr>
            <w:tcW w:w="6290" w:type="dxa"/>
            <w:tcBorders>
              <w:tl2br w:val="nil"/>
              <w:tr2bl w:val="nil"/>
            </w:tcBorders>
            <w:vAlign w:val="center"/>
          </w:tcPr>
          <w:p>
            <w:pPr>
              <w:spacing w:before="99" w:line="208" w:lineRule="auto"/>
              <w:ind w:left="10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健</w:t>
            </w:r>
            <w:r>
              <w:rPr>
                <w:rFonts w:hint="eastAsia" w:asciiTheme="minorEastAsia" w:hAnsiTheme="minorEastAsia" w:eastAsiaTheme="minorEastAsia" w:cstheme="minorEastAsia"/>
                <w:spacing w:val="8"/>
                <w:sz w:val="21"/>
                <w:szCs w:val="21"/>
              </w:rPr>
              <w:t>康细胞建设情况。</w:t>
            </w:r>
          </w:p>
        </w:tc>
        <w:tc>
          <w:tcPr>
            <w:tcW w:w="1519" w:type="dxa"/>
            <w:tcBorders>
              <w:tl2br w:val="nil"/>
              <w:tr2bl w:val="nil"/>
            </w:tcBorders>
            <w:vAlign w:val="center"/>
          </w:tcPr>
          <w:p>
            <w:pPr>
              <w:spacing w:before="99"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十六条，39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25"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47" w:line="219" w:lineRule="auto"/>
              <w:ind w:left="110" w:right="104" w:hanging="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具备醒目的禁烟标识</w:t>
            </w:r>
            <w:r>
              <w:rPr>
                <w:rFonts w:hint="eastAsia" w:asciiTheme="minorEastAsia" w:hAnsiTheme="minorEastAsia" w:cstheme="minorEastAsia"/>
                <w:spacing w:val="12"/>
                <w:sz w:val="21"/>
                <w:szCs w:val="21"/>
                <w:lang w:eastAsia="zh-CN"/>
              </w:rPr>
              <w:t>；</w:t>
            </w:r>
            <w:r>
              <w:rPr>
                <w:rFonts w:hint="eastAsia" w:asciiTheme="minorEastAsia" w:hAnsiTheme="minorEastAsia" w:eastAsiaTheme="minorEastAsia" w:cstheme="minorEastAsia"/>
                <w:spacing w:val="12"/>
                <w:sz w:val="21"/>
                <w:szCs w:val="21"/>
              </w:rPr>
              <w:t>在非吸烟区</w:t>
            </w:r>
            <w:r>
              <w:rPr>
                <w:rFonts w:hint="eastAsia" w:asciiTheme="minorEastAsia" w:hAnsiTheme="minorEastAsia" w:cstheme="minorEastAsia"/>
                <w:spacing w:val="12"/>
                <w:sz w:val="21"/>
                <w:szCs w:val="21"/>
                <w:lang w:eastAsia="zh-CN"/>
              </w:rPr>
              <w:t>（</w:t>
            </w:r>
            <w:r>
              <w:rPr>
                <w:rFonts w:hint="eastAsia" w:asciiTheme="minorEastAsia" w:hAnsiTheme="minorEastAsia" w:eastAsiaTheme="minorEastAsia" w:cstheme="minorEastAsia"/>
                <w:spacing w:val="12"/>
                <w:sz w:val="21"/>
                <w:szCs w:val="21"/>
              </w:rPr>
              <w:t>无吸烟区的单位，视为场所范围均为</w:t>
            </w:r>
            <w:r>
              <w:rPr>
                <w:rFonts w:hint="eastAsia" w:asciiTheme="minorEastAsia" w:hAnsiTheme="minorEastAsia" w:eastAsiaTheme="minorEastAsia" w:cstheme="minorEastAsia"/>
                <w:spacing w:val="10"/>
                <w:sz w:val="21"/>
                <w:szCs w:val="21"/>
              </w:rPr>
              <w:t>非</w:t>
            </w:r>
            <w:r>
              <w:rPr>
                <w:rFonts w:hint="eastAsia" w:asciiTheme="minorEastAsia" w:hAnsiTheme="minorEastAsia" w:eastAsiaTheme="minorEastAsia" w:cstheme="minorEastAsia"/>
                <w:spacing w:val="18"/>
                <w:sz w:val="21"/>
                <w:szCs w:val="21"/>
              </w:rPr>
              <w:t>吸烟</w:t>
            </w:r>
            <w:r>
              <w:rPr>
                <w:rFonts w:hint="eastAsia" w:asciiTheme="minorEastAsia" w:hAnsiTheme="minorEastAsia" w:eastAsiaTheme="minorEastAsia" w:cstheme="minorEastAsia"/>
                <w:spacing w:val="10"/>
                <w:sz w:val="21"/>
                <w:szCs w:val="21"/>
              </w:rPr>
              <w:t>区</w:t>
            </w:r>
            <w:r>
              <w:rPr>
                <w:rFonts w:hint="eastAsia" w:asciiTheme="minorEastAsia" w:hAnsiTheme="minorEastAsia" w:eastAsiaTheme="minorEastAsia" w:cstheme="minorEastAsia"/>
                <w:spacing w:val="9"/>
                <w:sz w:val="21"/>
                <w:szCs w:val="21"/>
              </w:rPr>
              <w:t>)未发现吸烟现象或烟蒂。如果吸烟区设置不规范或缺乏醒目的引</w:t>
            </w:r>
            <w:r>
              <w:rPr>
                <w:rFonts w:hint="eastAsia" w:asciiTheme="minorEastAsia" w:hAnsiTheme="minorEastAsia" w:eastAsiaTheme="minorEastAsia" w:cstheme="minorEastAsia"/>
                <w:spacing w:val="-12"/>
                <w:sz w:val="21"/>
                <w:szCs w:val="21"/>
              </w:rPr>
              <w:t>导</w:t>
            </w:r>
            <w:r>
              <w:rPr>
                <w:rFonts w:hint="eastAsia" w:asciiTheme="minorEastAsia" w:hAnsiTheme="minorEastAsia" w:eastAsiaTheme="minorEastAsia" w:cstheme="minorEastAsia"/>
                <w:spacing w:val="-8"/>
                <w:sz w:val="21"/>
                <w:szCs w:val="21"/>
              </w:rPr>
              <w:t>标</w:t>
            </w:r>
            <w:r>
              <w:rPr>
                <w:rFonts w:hint="eastAsia" w:asciiTheme="minorEastAsia" w:hAnsiTheme="minorEastAsia" w:eastAsiaTheme="minorEastAsia" w:cstheme="minorEastAsia"/>
                <w:spacing w:val="-6"/>
                <w:sz w:val="21"/>
                <w:szCs w:val="21"/>
              </w:rPr>
              <w:t>识，扣0.5分。</w:t>
            </w:r>
          </w:p>
        </w:tc>
        <w:tc>
          <w:tcPr>
            <w:tcW w:w="1519" w:type="dxa"/>
            <w:tcBorders>
              <w:tl2br w:val="nil"/>
              <w:tr2bl w:val="nil"/>
            </w:tcBorders>
            <w:vAlign w:val="center"/>
          </w:tcPr>
          <w:p>
            <w:pPr>
              <w:spacing w:line="274" w:lineRule="auto"/>
              <w:jc w:val="both"/>
              <w:rPr>
                <w:rFonts w:hint="eastAsia" w:asciiTheme="minorEastAsia" w:hAnsiTheme="minorEastAsia" w:eastAsiaTheme="minorEastAsia" w:cstheme="minorEastAsia"/>
                <w:sz w:val="21"/>
                <w:szCs w:val="21"/>
              </w:rPr>
            </w:pPr>
          </w:p>
          <w:p>
            <w:pPr>
              <w:spacing w:before="82"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三</w:t>
            </w:r>
            <w:r>
              <w:rPr>
                <w:rFonts w:hint="eastAsia" w:asciiTheme="minorEastAsia" w:hAnsiTheme="minorEastAsia" w:eastAsiaTheme="minorEastAsia" w:cstheme="minorEastAsia"/>
                <w:spacing w:val="-6"/>
                <w:sz w:val="21"/>
                <w:szCs w:val="21"/>
              </w:rPr>
              <w:t>十一条，81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1326" w:type="dxa"/>
            <w:vMerge w:val="restart"/>
            <w:tcBorders>
              <w:tl2br w:val="nil"/>
              <w:tr2bl w:val="nil"/>
            </w:tcBorders>
            <w:vAlign w:val="center"/>
          </w:tcPr>
          <w:p>
            <w:pPr>
              <w:spacing w:before="86" w:line="208" w:lineRule="auto"/>
              <w:ind w:left="16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7"/>
                <w:sz w:val="21"/>
                <w:szCs w:val="21"/>
              </w:rPr>
              <w:t>500</w:t>
            </w:r>
            <w:r>
              <w:rPr>
                <w:rFonts w:hint="eastAsia" w:asciiTheme="minorEastAsia" w:hAnsiTheme="minorEastAsia" w:cstheme="minorEastAsia"/>
                <w:spacing w:val="-7"/>
                <w:sz w:val="21"/>
                <w:szCs w:val="21"/>
                <w:lang w:eastAsia="zh-CN"/>
              </w:rPr>
              <w:t>平方米</w:t>
            </w:r>
            <w:r>
              <w:rPr>
                <w:rFonts w:hint="eastAsia" w:asciiTheme="minorEastAsia" w:hAnsiTheme="minorEastAsia" w:eastAsiaTheme="minorEastAsia" w:cstheme="minorEastAsia"/>
                <w:spacing w:val="-7"/>
                <w:sz w:val="21"/>
                <w:szCs w:val="21"/>
              </w:rPr>
              <w:t>的1家餐馆</w:t>
            </w:r>
          </w:p>
        </w:tc>
        <w:tc>
          <w:tcPr>
            <w:tcW w:w="6290" w:type="dxa"/>
            <w:tcBorders>
              <w:tl2br w:val="nil"/>
              <w:tr2bl w:val="nil"/>
            </w:tcBorders>
            <w:vAlign w:val="center"/>
          </w:tcPr>
          <w:p>
            <w:pPr>
              <w:spacing w:before="47" w:line="214" w:lineRule="auto"/>
              <w:ind w:left="110" w:right="1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根据抽查单位相关检测报告进行评分：安装油烟净化装置、排烟口设置</w:t>
            </w:r>
            <w:r>
              <w:rPr>
                <w:rFonts w:hint="eastAsia" w:asciiTheme="minorEastAsia" w:hAnsiTheme="minorEastAsia" w:eastAsiaTheme="minorEastAsia" w:cstheme="minorEastAsia"/>
                <w:spacing w:val="2"/>
                <w:sz w:val="21"/>
                <w:szCs w:val="21"/>
              </w:rPr>
              <w:t>合</w:t>
            </w:r>
            <w:r>
              <w:rPr>
                <w:rFonts w:hint="eastAsia" w:asciiTheme="minorEastAsia" w:hAnsiTheme="minorEastAsia" w:eastAsiaTheme="minorEastAsia" w:cstheme="minorEastAsia"/>
                <w:spacing w:val="9"/>
                <w:sz w:val="21"/>
                <w:szCs w:val="21"/>
              </w:rPr>
              <w:t>理、操作期间正常运行、排放浓度达标。</w:t>
            </w:r>
          </w:p>
        </w:tc>
        <w:tc>
          <w:tcPr>
            <w:tcW w:w="1519" w:type="dxa"/>
            <w:tcBorders>
              <w:tl2br w:val="nil"/>
              <w:tr2bl w:val="nil"/>
            </w:tcBorders>
            <w:vAlign w:val="center"/>
          </w:tcPr>
          <w:p>
            <w:pPr>
              <w:spacing w:before="202"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十五条，32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1" w:line="208" w:lineRule="auto"/>
              <w:ind w:left="1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实施明厨亮灶设施、展示位置符合规定要求</w:t>
            </w:r>
            <w:r>
              <w:rPr>
                <w:rFonts w:hint="eastAsia" w:asciiTheme="minorEastAsia" w:hAnsiTheme="minorEastAsia" w:eastAsiaTheme="minorEastAsia" w:cstheme="minorEastAsia"/>
                <w:spacing w:val="5"/>
                <w:sz w:val="21"/>
                <w:szCs w:val="21"/>
              </w:rPr>
              <w:t>。</w:t>
            </w:r>
          </w:p>
        </w:tc>
        <w:tc>
          <w:tcPr>
            <w:tcW w:w="1519" w:type="dxa"/>
            <w:tcBorders>
              <w:tl2br w:val="nil"/>
              <w:tr2bl w:val="nil"/>
            </w:tcBorders>
            <w:vAlign w:val="center"/>
          </w:tcPr>
          <w:p>
            <w:pPr>
              <w:spacing w:before="101"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十五条，33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1" w:line="208" w:lineRule="auto"/>
              <w:ind w:left="10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食</w:t>
            </w:r>
            <w:r>
              <w:rPr>
                <w:rFonts w:hint="eastAsia" w:asciiTheme="minorEastAsia" w:hAnsiTheme="minorEastAsia" w:eastAsiaTheme="minorEastAsia" w:cstheme="minorEastAsia"/>
                <w:spacing w:val="9"/>
                <w:sz w:val="21"/>
                <w:szCs w:val="21"/>
              </w:rPr>
              <w:t>品</w:t>
            </w:r>
            <w:r>
              <w:rPr>
                <w:rFonts w:hint="eastAsia" w:asciiTheme="minorEastAsia" w:hAnsiTheme="minorEastAsia" w:eastAsiaTheme="minorEastAsia" w:cstheme="minorEastAsia"/>
                <w:spacing w:val="5"/>
                <w:sz w:val="21"/>
                <w:szCs w:val="21"/>
              </w:rPr>
              <w:t>采购符合要求、食品贮存符合要求、食品加工制作符合要求。</w:t>
            </w:r>
          </w:p>
        </w:tc>
        <w:tc>
          <w:tcPr>
            <w:tcW w:w="1519" w:type="dxa"/>
            <w:tcBorders>
              <w:tl2br w:val="nil"/>
              <w:tr2bl w:val="nil"/>
            </w:tcBorders>
            <w:vAlign w:val="center"/>
          </w:tcPr>
          <w:p>
            <w:pPr>
              <w:spacing w:before="1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十五条，34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1"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查</w:t>
            </w:r>
            <w:r>
              <w:rPr>
                <w:rFonts w:hint="eastAsia" w:asciiTheme="minorEastAsia" w:hAnsiTheme="minorEastAsia" w:eastAsiaTheme="minorEastAsia" w:cstheme="minorEastAsia"/>
                <w:spacing w:val="12"/>
                <w:sz w:val="21"/>
                <w:szCs w:val="21"/>
              </w:rPr>
              <w:t>看</w:t>
            </w:r>
            <w:r>
              <w:rPr>
                <w:rFonts w:hint="eastAsia" w:asciiTheme="minorEastAsia" w:hAnsiTheme="minorEastAsia" w:eastAsiaTheme="minorEastAsia" w:cstheme="minorEastAsia"/>
                <w:spacing w:val="9"/>
                <w:sz w:val="21"/>
                <w:szCs w:val="21"/>
              </w:rPr>
              <w:t>公勺公筷和光盘行动倡导宣传情况</w:t>
            </w:r>
          </w:p>
        </w:tc>
        <w:tc>
          <w:tcPr>
            <w:tcW w:w="1519" w:type="dxa"/>
            <w:tcBorders>
              <w:tl2br w:val="nil"/>
              <w:tr2bl w:val="nil"/>
            </w:tcBorders>
            <w:vAlign w:val="center"/>
          </w:tcPr>
          <w:p>
            <w:pPr>
              <w:spacing w:before="1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7"/>
                <w:sz w:val="21"/>
                <w:szCs w:val="21"/>
              </w:rPr>
              <w:t>三</w:t>
            </w:r>
            <w:r>
              <w:rPr>
                <w:rFonts w:hint="eastAsia" w:asciiTheme="minorEastAsia" w:hAnsiTheme="minorEastAsia" w:eastAsiaTheme="minorEastAsia" w:cstheme="minorEastAsia"/>
                <w:spacing w:val="-6"/>
                <w:sz w:val="21"/>
                <w:szCs w:val="21"/>
              </w:rPr>
              <w:t>十二条，84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39" w:hRule="atLeast"/>
          <w:jc w:val="center"/>
        </w:trPr>
        <w:tc>
          <w:tcPr>
            <w:tcW w:w="1326" w:type="dxa"/>
            <w:vMerge w:val="restart"/>
            <w:tcBorders>
              <w:tl2br w:val="nil"/>
              <w:tr2bl w:val="nil"/>
            </w:tcBorders>
            <w:vAlign w:val="center"/>
          </w:tcPr>
          <w:p>
            <w:pPr>
              <w:spacing w:before="81" w:line="208" w:lineRule="auto"/>
              <w:ind w:left="123"/>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1家单位</w:t>
            </w:r>
          </w:p>
          <w:p>
            <w:pPr>
              <w:spacing w:before="81" w:line="208"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食堂</w:t>
            </w:r>
          </w:p>
        </w:tc>
        <w:tc>
          <w:tcPr>
            <w:tcW w:w="6290" w:type="dxa"/>
            <w:tcBorders>
              <w:tl2br w:val="nil"/>
              <w:tr2bl w:val="nil"/>
            </w:tcBorders>
            <w:vAlign w:val="center"/>
          </w:tcPr>
          <w:p>
            <w:pPr>
              <w:spacing w:before="47" w:line="214" w:lineRule="auto"/>
              <w:ind w:left="110" w:right="1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根据抽查单位相关检测报告进行评分：安装油烟净化装置、排烟口设置</w:t>
            </w:r>
            <w:r>
              <w:rPr>
                <w:rFonts w:hint="eastAsia" w:asciiTheme="minorEastAsia" w:hAnsiTheme="minorEastAsia" w:eastAsiaTheme="minorEastAsia" w:cstheme="minorEastAsia"/>
                <w:spacing w:val="2"/>
                <w:sz w:val="21"/>
                <w:szCs w:val="21"/>
              </w:rPr>
              <w:t>合</w:t>
            </w:r>
            <w:r>
              <w:rPr>
                <w:rFonts w:hint="eastAsia" w:asciiTheme="minorEastAsia" w:hAnsiTheme="minorEastAsia" w:eastAsiaTheme="minorEastAsia" w:cstheme="minorEastAsia"/>
                <w:spacing w:val="9"/>
                <w:sz w:val="21"/>
                <w:szCs w:val="21"/>
              </w:rPr>
              <w:t>理、操作期间正常运行、排放浓度达标。</w:t>
            </w:r>
          </w:p>
        </w:tc>
        <w:tc>
          <w:tcPr>
            <w:tcW w:w="1519" w:type="dxa"/>
            <w:tcBorders>
              <w:tl2br w:val="nil"/>
              <w:tr2bl w:val="nil"/>
            </w:tcBorders>
            <w:vAlign w:val="center"/>
          </w:tcPr>
          <w:p>
            <w:pPr>
              <w:spacing w:before="203"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十五条，32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2" w:line="208" w:lineRule="auto"/>
              <w:ind w:left="1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实施明厨亮灶设施、展示位置符合规定要求</w:t>
            </w:r>
            <w:r>
              <w:rPr>
                <w:rFonts w:hint="eastAsia" w:asciiTheme="minorEastAsia" w:hAnsiTheme="minorEastAsia" w:eastAsiaTheme="minorEastAsia" w:cstheme="minorEastAsia"/>
                <w:spacing w:val="5"/>
                <w:sz w:val="21"/>
                <w:szCs w:val="21"/>
              </w:rPr>
              <w:t>。</w:t>
            </w:r>
          </w:p>
        </w:tc>
        <w:tc>
          <w:tcPr>
            <w:tcW w:w="1519" w:type="dxa"/>
            <w:tcBorders>
              <w:tl2br w:val="nil"/>
              <w:tr2bl w:val="nil"/>
            </w:tcBorders>
            <w:vAlign w:val="center"/>
          </w:tcPr>
          <w:p>
            <w:pPr>
              <w:spacing w:before="102"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十五条，33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102" w:line="208" w:lineRule="auto"/>
              <w:ind w:left="10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食</w:t>
            </w:r>
            <w:r>
              <w:rPr>
                <w:rFonts w:hint="eastAsia" w:asciiTheme="minorEastAsia" w:hAnsiTheme="minorEastAsia" w:eastAsiaTheme="minorEastAsia" w:cstheme="minorEastAsia"/>
                <w:spacing w:val="9"/>
                <w:sz w:val="21"/>
                <w:szCs w:val="21"/>
              </w:rPr>
              <w:t>品</w:t>
            </w:r>
            <w:r>
              <w:rPr>
                <w:rFonts w:hint="eastAsia" w:asciiTheme="minorEastAsia" w:hAnsiTheme="minorEastAsia" w:eastAsiaTheme="minorEastAsia" w:cstheme="minorEastAsia"/>
                <w:spacing w:val="5"/>
                <w:sz w:val="21"/>
                <w:szCs w:val="21"/>
              </w:rPr>
              <w:t>采购符合要求、食品贮存符合要求、食品加工制作符合要求。</w:t>
            </w:r>
          </w:p>
        </w:tc>
        <w:tc>
          <w:tcPr>
            <w:tcW w:w="1519" w:type="dxa"/>
            <w:tcBorders>
              <w:tl2br w:val="nil"/>
              <w:tr2bl w:val="nil"/>
            </w:tcBorders>
            <w:vAlign w:val="center"/>
          </w:tcPr>
          <w:p>
            <w:pPr>
              <w:spacing w:before="101"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十五条，34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1326" w:type="dxa"/>
            <w:tcBorders>
              <w:tl2br w:val="nil"/>
              <w:tr2bl w:val="nil"/>
            </w:tcBorders>
            <w:vAlign w:val="center"/>
          </w:tcPr>
          <w:p>
            <w:pPr>
              <w:spacing w:before="102" w:line="210" w:lineRule="auto"/>
              <w:ind w:left="11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2家</w:t>
            </w:r>
            <w:r>
              <w:rPr>
                <w:rFonts w:hint="eastAsia" w:asciiTheme="minorEastAsia" w:hAnsiTheme="minorEastAsia" w:eastAsiaTheme="minorEastAsia" w:cstheme="minorEastAsia"/>
                <w:sz w:val="21"/>
                <w:szCs w:val="21"/>
              </w:rPr>
              <w:t>企业</w:t>
            </w:r>
          </w:p>
        </w:tc>
        <w:tc>
          <w:tcPr>
            <w:tcW w:w="6290" w:type="dxa"/>
            <w:tcBorders>
              <w:tl2br w:val="nil"/>
              <w:tr2bl w:val="nil"/>
            </w:tcBorders>
            <w:vAlign w:val="center"/>
          </w:tcPr>
          <w:p>
            <w:pPr>
              <w:spacing w:before="101" w:line="208"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抽取</w:t>
            </w:r>
            <w:r>
              <w:rPr>
                <w:rFonts w:hint="eastAsia" w:asciiTheme="minorEastAsia" w:hAnsiTheme="minorEastAsia" w:eastAsiaTheme="minorEastAsia" w:cstheme="minorEastAsia"/>
                <w:spacing w:val="3"/>
                <w:sz w:val="21"/>
                <w:szCs w:val="21"/>
              </w:rPr>
              <w:t>2家中等及以上规模企业，查看其健康细胞建设情况。</w:t>
            </w:r>
          </w:p>
        </w:tc>
        <w:tc>
          <w:tcPr>
            <w:tcW w:w="1519" w:type="dxa"/>
            <w:tcBorders>
              <w:tl2br w:val="nil"/>
              <w:tr2bl w:val="nil"/>
            </w:tcBorders>
            <w:vAlign w:val="center"/>
          </w:tcPr>
          <w:p>
            <w:pPr>
              <w:spacing w:before="101"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十六条，39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75" w:hRule="atLeast"/>
          <w:jc w:val="center"/>
        </w:trPr>
        <w:tc>
          <w:tcPr>
            <w:tcW w:w="1326" w:type="dxa"/>
            <w:tcBorders>
              <w:tl2br w:val="nil"/>
              <w:tr2bl w:val="nil"/>
            </w:tcBorders>
            <w:vAlign w:val="center"/>
          </w:tcPr>
          <w:p>
            <w:pPr>
              <w:spacing w:before="48" w:line="225" w:lineRule="auto"/>
              <w:ind w:left="110" w:right="105" w:firstLine="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抽</w:t>
            </w:r>
            <w:r>
              <w:rPr>
                <w:rFonts w:hint="eastAsia" w:asciiTheme="minorEastAsia" w:hAnsiTheme="minorEastAsia" w:eastAsiaTheme="minorEastAsia" w:cstheme="minorEastAsia"/>
                <w:spacing w:val="7"/>
                <w:sz w:val="21"/>
                <w:szCs w:val="21"/>
              </w:rPr>
              <w:t>取</w:t>
            </w:r>
            <w:r>
              <w:rPr>
                <w:rFonts w:hint="eastAsia" w:asciiTheme="minorEastAsia" w:hAnsiTheme="minorEastAsia" w:eastAsiaTheme="minorEastAsia" w:cstheme="minorEastAsia"/>
                <w:spacing w:val="4"/>
                <w:sz w:val="21"/>
                <w:szCs w:val="21"/>
              </w:rPr>
              <w:t>2处独立式公共</w:t>
            </w:r>
            <w:r>
              <w:rPr>
                <w:rFonts w:hint="eastAsia" w:asciiTheme="minorEastAsia" w:hAnsiTheme="minorEastAsia" w:eastAsiaTheme="minorEastAsia" w:cstheme="minorEastAsia"/>
                <w:spacing w:val="8"/>
                <w:sz w:val="21"/>
                <w:szCs w:val="21"/>
              </w:rPr>
              <w:t>厕</w:t>
            </w:r>
            <w:r>
              <w:rPr>
                <w:rFonts w:hint="eastAsia" w:asciiTheme="minorEastAsia" w:hAnsiTheme="minorEastAsia" w:eastAsiaTheme="minorEastAsia" w:cstheme="minorEastAsia"/>
                <w:spacing w:val="7"/>
                <w:sz w:val="21"/>
                <w:szCs w:val="21"/>
              </w:rPr>
              <w:t>所</w:t>
            </w:r>
            <w:r>
              <w:rPr>
                <w:rFonts w:hint="eastAsia" w:asciiTheme="minorEastAsia" w:hAnsiTheme="minorEastAsia" w:eastAsiaTheme="minorEastAsia" w:cstheme="minorEastAsia"/>
                <w:spacing w:val="4"/>
                <w:sz w:val="21"/>
                <w:szCs w:val="21"/>
              </w:rPr>
              <w:t>和2处附属式公</w:t>
            </w:r>
            <w:r>
              <w:rPr>
                <w:rFonts w:hint="eastAsia" w:asciiTheme="minorEastAsia" w:hAnsiTheme="minorEastAsia" w:eastAsiaTheme="minorEastAsia" w:cstheme="minorEastAsia"/>
                <w:spacing w:val="8"/>
                <w:sz w:val="21"/>
                <w:szCs w:val="21"/>
              </w:rPr>
              <w:t>共厕所</w:t>
            </w:r>
            <w:r>
              <w:rPr>
                <w:rFonts w:hint="eastAsia" w:asciiTheme="minorEastAsia" w:hAnsi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从1家娱乐</w:t>
            </w:r>
            <w:r>
              <w:rPr>
                <w:rFonts w:hint="eastAsia" w:asciiTheme="minorEastAsia" w:hAnsiTheme="minorEastAsia" w:eastAsiaTheme="minorEastAsia" w:cstheme="minorEastAsia"/>
                <w:spacing w:val="6"/>
                <w:sz w:val="21"/>
                <w:szCs w:val="21"/>
              </w:rPr>
              <w:t>场</w:t>
            </w:r>
            <w:r>
              <w:rPr>
                <w:rFonts w:hint="eastAsia" w:asciiTheme="minorEastAsia" w:hAnsiTheme="minorEastAsia" w:eastAsiaTheme="minorEastAsia" w:cstheme="minorEastAsia"/>
                <w:spacing w:val="11"/>
                <w:sz w:val="21"/>
                <w:szCs w:val="21"/>
              </w:rPr>
              <w:t>所和1个当地规模较</w:t>
            </w:r>
            <w:r>
              <w:rPr>
                <w:rFonts w:hint="eastAsia" w:asciiTheme="minorEastAsia" w:hAnsiTheme="minorEastAsia" w:eastAsiaTheme="minorEastAsia" w:cstheme="minorEastAsia"/>
                <w:spacing w:val="1"/>
                <w:sz w:val="21"/>
                <w:szCs w:val="21"/>
              </w:rPr>
              <w:t>大</w:t>
            </w:r>
            <w:r>
              <w:rPr>
                <w:rFonts w:hint="eastAsia" w:asciiTheme="minorEastAsia" w:hAnsiTheme="minorEastAsia" w:eastAsiaTheme="minorEastAsia" w:cstheme="minorEastAsia"/>
                <w:sz w:val="21"/>
                <w:szCs w:val="21"/>
              </w:rPr>
              <w:t>的商场、超市或菜市</w:t>
            </w:r>
            <w:r>
              <w:rPr>
                <w:rFonts w:hint="eastAsia" w:asciiTheme="minorEastAsia" w:hAnsiTheme="minorEastAsia" w:eastAsiaTheme="minorEastAsia" w:cstheme="minorEastAsia"/>
                <w:spacing w:val="-4"/>
                <w:sz w:val="21"/>
                <w:szCs w:val="21"/>
              </w:rPr>
              <w:t>场中，</w:t>
            </w:r>
            <w:r>
              <w:rPr>
                <w:rFonts w:hint="eastAsia" w:asciiTheme="minorEastAsia" w:hAnsiTheme="minorEastAsia" w:eastAsiaTheme="minorEastAsia" w:cstheme="minorEastAsia"/>
                <w:spacing w:val="-3"/>
                <w:sz w:val="21"/>
                <w:szCs w:val="21"/>
              </w:rPr>
              <w:t>各</w:t>
            </w:r>
            <w:r>
              <w:rPr>
                <w:rFonts w:hint="eastAsia" w:asciiTheme="minorEastAsia" w:hAnsiTheme="minorEastAsia" w:eastAsiaTheme="minorEastAsia" w:cstheme="minorEastAsia"/>
                <w:spacing w:val="-2"/>
                <w:sz w:val="21"/>
                <w:szCs w:val="21"/>
              </w:rPr>
              <w:t>抽取1处附属</w:t>
            </w:r>
            <w:r>
              <w:rPr>
                <w:rFonts w:hint="eastAsia" w:asciiTheme="minorEastAsia" w:hAnsiTheme="minorEastAsia" w:eastAsiaTheme="minorEastAsia" w:cstheme="minorEastAsia"/>
                <w:spacing w:val="18"/>
                <w:sz w:val="21"/>
                <w:szCs w:val="21"/>
              </w:rPr>
              <w:t>式</w:t>
            </w:r>
            <w:r>
              <w:rPr>
                <w:rFonts w:hint="eastAsia" w:asciiTheme="minorEastAsia" w:hAnsiTheme="minorEastAsia" w:eastAsiaTheme="minorEastAsia" w:cstheme="minorEastAsia"/>
                <w:spacing w:val="15"/>
                <w:sz w:val="21"/>
                <w:szCs w:val="21"/>
              </w:rPr>
              <w:t>公共厕所)</w:t>
            </w:r>
          </w:p>
        </w:tc>
        <w:tc>
          <w:tcPr>
            <w:tcW w:w="6290" w:type="dxa"/>
            <w:tcBorders>
              <w:tl2br w:val="nil"/>
              <w:tr2bl w:val="nil"/>
            </w:tcBorders>
            <w:vAlign w:val="center"/>
          </w:tcPr>
          <w:p>
            <w:pPr>
              <w:spacing w:line="299" w:lineRule="auto"/>
              <w:jc w:val="both"/>
              <w:rPr>
                <w:rFonts w:hint="eastAsia" w:asciiTheme="minorEastAsia" w:hAnsiTheme="minorEastAsia" w:eastAsiaTheme="minorEastAsia" w:cstheme="minorEastAsia"/>
                <w:sz w:val="21"/>
                <w:szCs w:val="21"/>
              </w:rPr>
            </w:pPr>
          </w:p>
          <w:p>
            <w:pPr>
              <w:spacing w:line="299" w:lineRule="auto"/>
              <w:jc w:val="both"/>
              <w:rPr>
                <w:rFonts w:hint="eastAsia" w:asciiTheme="minorEastAsia" w:hAnsiTheme="minorEastAsia" w:eastAsiaTheme="minorEastAsia" w:cstheme="minorEastAsia"/>
                <w:sz w:val="21"/>
                <w:szCs w:val="21"/>
              </w:rPr>
            </w:pPr>
          </w:p>
          <w:p>
            <w:pPr>
              <w:spacing w:line="300" w:lineRule="auto"/>
              <w:jc w:val="both"/>
              <w:rPr>
                <w:rFonts w:hint="eastAsia" w:asciiTheme="minorEastAsia" w:hAnsiTheme="minorEastAsia" w:eastAsiaTheme="minorEastAsia" w:cstheme="minorEastAsia"/>
                <w:sz w:val="21"/>
                <w:szCs w:val="21"/>
              </w:rPr>
            </w:pPr>
          </w:p>
          <w:p>
            <w:pPr>
              <w:spacing w:before="81" w:line="207" w:lineRule="auto"/>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免</w:t>
            </w:r>
            <w:r>
              <w:rPr>
                <w:rFonts w:hint="eastAsia" w:asciiTheme="minorEastAsia" w:hAnsiTheme="minorEastAsia" w:eastAsiaTheme="minorEastAsia" w:cstheme="minorEastAsia"/>
                <w:spacing w:val="7"/>
                <w:sz w:val="21"/>
                <w:szCs w:val="21"/>
              </w:rPr>
              <w:t>费开放、厕所标识醒目、洗手设施完好、无蚊蝇、基本无臭味。</w:t>
            </w:r>
          </w:p>
        </w:tc>
        <w:tc>
          <w:tcPr>
            <w:tcW w:w="1519" w:type="dxa"/>
            <w:tcBorders>
              <w:tl2br w:val="nil"/>
              <w:tr2bl w:val="nil"/>
            </w:tcBorders>
            <w:vAlign w:val="center"/>
          </w:tcPr>
          <w:p>
            <w:pPr>
              <w:spacing w:line="299" w:lineRule="auto"/>
              <w:jc w:val="both"/>
              <w:rPr>
                <w:rFonts w:hint="eastAsia" w:asciiTheme="minorEastAsia" w:hAnsiTheme="minorEastAsia" w:eastAsiaTheme="minorEastAsia" w:cstheme="minorEastAsia"/>
                <w:sz w:val="21"/>
                <w:szCs w:val="21"/>
              </w:rPr>
            </w:pPr>
          </w:p>
          <w:p>
            <w:pPr>
              <w:spacing w:line="299" w:lineRule="auto"/>
              <w:jc w:val="both"/>
              <w:rPr>
                <w:rFonts w:hint="eastAsia" w:asciiTheme="minorEastAsia" w:hAnsiTheme="minorEastAsia" w:eastAsiaTheme="minorEastAsia" w:cstheme="minorEastAsia"/>
                <w:sz w:val="21"/>
                <w:szCs w:val="21"/>
              </w:rPr>
            </w:pPr>
          </w:p>
          <w:p>
            <w:pPr>
              <w:spacing w:line="299" w:lineRule="auto"/>
              <w:jc w:val="both"/>
              <w:rPr>
                <w:rFonts w:hint="eastAsia" w:asciiTheme="minorEastAsia" w:hAnsiTheme="minorEastAsia" w:eastAsiaTheme="minorEastAsia" w:cstheme="minorEastAsia"/>
                <w:sz w:val="21"/>
                <w:szCs w:val="21"/>
              </w:rPr>
            </w:pPr>
          </w:p>
          <w:p>
            <w:pPr>
              <w:spacing w:before="81"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十四条，26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1326" w:type="dxa"/>
            <w:vMerge w:val="restart"/>
            <w:tcBorders>
              <w:tl2br w:val="nil"/>
              <w:tr2bl w:val="nil"/>
            </w:tcBorders>
            <w:vAlign w:val="center"/>
          </w:tcPr>
          <w:p>
            <w:pPr>
              <w:spacing w:before="81" w:line="208" w:lineRule="auto"/>
              <w:ind w:left="123"/>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1家娱乐</w:t>
            </w:r>
          </w:p>
          <w:p>
            <w:pPr>
              <w:spacing w:before="81" w:line="208"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场所</w:t>
            </w:r>
          </w:p>
        </w:tc>
        <w:tc>
          <w:tcPr>
            <w:tcW w:w="6290" w:type="dxa"/>
            <w:tcBorders>
              <w:tl2br w:val="nil"/>
              <w:tr2bl w:val="nil"/>
            </w:tcBorders>
            <w:vAlign w:val="center"/>
          </w:tcPr>
          <w:p>
            <w:pPr>
              <w:spacing w:before="87" w:line="228" w:lineRule="auto"/>
              <w:ind w:left="108" w:right="44" w:firstLine="1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1处附属式公共厕所</w:t>
            </w:r>
            <w:r>
              <w:rPr>
                <w:rFonts w:hint="eastAsia" w:asciiTheme="minorEastAsia" w:hAnsiTheme="minorEastAsia" w:eastAsiaTheme="minorEastAsia" w:cstheme="minorEastAsia"/>
                <w:spacing w:val="2"/>
                <w:sz w:val="21"/>
                <w:szCs w:val="21"/>
              </w:rPr>
              <w:t>：免费开放、厕所标识醒目、洗手设施完好、无蚊蝇、</w:t>
            </w:r>
            <w:r>
              <w:rPr>
                <w:rFonts w:hint="eastAsia" w:asciiTheme="minorEastAsia" w:hAnsiTheme="minorEastAsia" w:eastAsiaTheme="minorEastAsia" w:cstheme="minorEastAsia"/>
                <w:spacing w:val="9"/>
                <w:sz w:val="21"/>
                <w:szCs w:val="21"/>
              </w:rPr>
              <w:t>基</w:t>
            </w:r>
            <w:r>
              <w:rPr>
                <w:rFonts w:hint="eastAsia" w:asciiTheme="minorEastAsia" w:hAnsiTheme="minorEastAsia" w:eastAsiaTheme="minorEastAsia" w:cstheme="minorEastAsia"/>
                <w:spacing w:val="7"/>
                <w:sz w:val="21"/>
                <w:szCs w:val="21"/>
              </w:rPr>
              <w:t>本无臭味。</w:t>
            </w:r>
          </w:p>
        </w:tc>
        <w:tc>
          <w:tcPr>
            <w:tcW w:w="1519" w:type="dxa"/>
            <w:tcBorders>
              <w:tl2br w:val="nil"/>
              <w:tr2bl w:val="nil"/>
            </w:tcBorders>
            <w:vAlign w:val="center"/>
          </w:tcPr>
          <w:p>
            <w:pPr>
              <w:spacing w:before="243"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十四条，26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87" w:hRule="atLeast"/>
          <w:jc w:val="center"/>
        </w:trPr>
        <w:tc>
          <w:tcPr>
            <w:tcW w:w="1326" w:type="dxa"/>
            <w:vMerge w:val="continue"/>
            <w:tcBorders>
              <w:tl2br w:val="nil"/>
              <w:tr2bl w:val="nil"/>
            </w:tcBorders>
            <w:vAlign w:val="center"/>
          </w:tcPr>
          <w:p>
            <w:pPr>
              <w:jc w:val="center"/>
              <w:rPr>
                <w:rFonts w:hint="eastAsia" w:asciiTheme="minorEastAsia" w:hAnsiTheme="minorEastAsia" w:eastAsiaTheme="minorEastAsia" w:cstheme="minorEastAsia"/>
                <w:sz w:val="21"/>
                <w:szCs w:val="21"/>
              </w:rPr>
            </w:pPr>
          </w:p>
        </w:tc>
        <w:tc>
          <w:tcPr>
            <w:tcW w:w="6290" w:type="dxa"/>
            <w:tcBorders>
              <w:tl2br w:val="nil"/>
              <w:tr2bl w:val="nil"/>
            </w:tcBorders>
            <w:vAlign w:val="center"/>
          </w:tcPr>
          <w:p>
            <w:pPr>
              <w:spacing w:before="48" w:line="220" w:lineRule="auto"/>
              <w:ind w:left="109" w:right="171" w:firstLine="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消防</w:t>
            </w:r>
            <w:r>
              <w:rPr>
                <w:rFonts w:hint="eastAsia" w:asciiTheme="minorEastAsia" w:hAnsiTheme="minorEastAsia" w:eastAsiaTheme="minorEastAsia" w:cstheme="minorEastAsia"/>
                <w:spacing w:val="13"/>
                <w:sz w:val="21"/>
                <w:szCs w:val="21"/>
              </w:rPr>
              <w:t>设</w:t>
            </w:r>
            <w:r>
              <w:rPr>
                <w:rFonts w:hint="eastAsia" w:asciiTheme="minorEastAsia" w:hAnsiTheme="minorEastAsia" w:eastAsiaTheme="minorEastAsia" w:cstheme="minorEastAsia"/>
                <w:spacing w:val="7"/>
                <w:sz w:val="21"/>
                <w:szCs w:val="21"/>
              </w:rPr>
              <w:t>施齐全、完好</w:t>
            </w:r>
            <w:r>
              <w:rPr>
                <w:rFonts w:hint="eastAsia" w:asciiTheme="minorEastAsia" w:hAnsi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火灾自动报警系统、自动灭火系统、消火栓系统、</w:t>
            </w:r>
            <w:r>
              <w:rPr>
                <w:rFonts w:hint="eastAsia" w:asciiTheme="minorEastAsia" w:hAnsiTheme="minorEastAsia" w:eastAsiaTheme="minorEastAsia" w:cstheme="minorEastAsia"/>
                <w:spacing w:val="8"/>
                <w:sz w:val="21"/>
                <w:szCs w:val="21"/>
              </w:rPr>
              <w:t>防烟</w:t>
            </w:r>
            <w:r>
              <w:rPr>
                <w:rFonts w:hint="eastAsia" w:asciiTheme="minorEastAsia" w:hAnsiTheme="minorEastAsia" w:eastAsiaTheme="minorEastAsia" w:cstheme="minorEastAsia"/>
                <w:spacing w:val="6"/>
                <w:sz w:val="21"/>
                <w:szCs w:val="21"/>
              </w:rPr>
              <w:t>排</w:t>
            </w:r>
            <w:r>
              <w:rPr>
                <w:rFonts w:hint="eastAsia" w:asciiTheme="minorEastAsia" w:hAnsiTheme="minorEastAsia" w:eastAsiaTheme="minorEastAsia" w:cstheme="minorEastAsia"/>
                <w:spacing w:val="4"/>
                <w:sz w:val="21"/>
                <w:szCs w:val="21"/>
              </w:rPr>
              <w:t>烟系统以及应急广播和应急照明、安全疏散设施等)，消防车通道</w:t>
            </w:r>
            <w:r>
              <w:rPr>
                <w:rFonts w:hint="eastAsia" w:asciiTheme="minorEastAsia" w:hAnsiTheme="minorEastAsia" w:eastAsiaTheme="minorEastAsia" w:cstheme="minorEastAsia"/>
                <w:spacing w:val="5"/>
                <w:sz w:val="21"/>
                <w:szCs w:val="21"/>
              </w:rPr>
              <w:t>通</w:t>
            </w:r>
            <w:r>
              <w:rPr>
                <w:rFonts w:hint="eastAsia" w:asciiTheme="minorEastAsia" w:hAnsiTheme="minorEastAsia" w:eastAsiaTheme="minorEastAsia" w:cstheme="minorEastAsia"/>
                <w:spacing w:val="4"/>
                <w:sz w:val="21"/>
                <w:szCs w:val="21"/>
              </w:rPr>
              <w:t>畅。</w:t>
            </w:r>
          </w:p>
        </w:tc>
        <w:tc>
          <w:tcPr>
            <w:tcW w:w="1519" w:type="dxa"/>
            <w:tcBorders>
              <w:tl2br w:val="nil"/>
              <w:tr2bl w:val="nil"/>
            </w:tcBorders>
            <w:vAlign w:val="center"/>
          </w:tcPr>
          <w:p>
            <w:pPr>
              <w:spacing w:line="275" w:lineRule="auto"/>
              <w:jc w:val="both"/>
              <w:rPr>
                <w:rFonts w:hint="eastAsia" w:asciiTheme="minorEastAsia" w:hAnsiTheme="minorEastAsia" w:eastAsiaTheme="minorEastAsia" w:cstheme="minorEastAsia"/>
                <w:sz w:val="21"/>
                <w:szCs w:val="21"/>
              </w:rPr>
            </w:pPr>
          </w:p>
          <w:p>
            <w:pPr>
              <w:spacing w:before="82"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二十条，52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1326" w:type="dxa"/>
            <w:tcBorders>
              <w:tl2br w:val="nil"/>
              <w:tr2bl w:val="nil"/>
            </w:tcBorders>
            <w:vAlign w:val="center"/>
          </w:tcPr>
          <w:p>
            <w:pPr>
              <w:spacing w:before="43" w:line="215" w:lineRule="auto"/>
              <w:ind w:left="114" w:right="264" w:firstLine="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4"/>
                <w:sz w:val="21"/>
                <w:szCs w:val="21"/>
              </w:rPr>
              <w:t>个当地规模较大的</w:t>
            </w:r>
            <w:r>
              <w:rPr>
                <w:rFonts w:hint="eastAsia" w:asciiTheme="minorEastAsia" w:hAnsiTheme="minorEastAsia" w:eastAsiaTheme="minorEastAsia" w:cstheme="minorEastAsia"/>
                <w:spacing w:val="6"/>
                <w:sz w:val="21"/>
                <w:szCs w:val="21"/>
              </w:rPr>
              <w:t>商场</w:t>
            </w:r>
          </w:p>
        </w:tc>
        <w:tc>
          <w:tcPr>
            <w:tcW w:w="6290" w:type="dxa"/>
            <w:tcBorders>
              <w:tl2br w:val="nil"/>
              <w:tr2bl w:val="nil"/>
            </w:tcBorders>
            <w:vAlign w:val="center"/>
          </w:tcPr>
          <w:p>
            <w:pPr>
              <w:spacing w:before="43" w:line="215" w:lineRule="auto"/>
              <w:ind w:left="107" w:right="171" w:firstLine="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至</w:t>
            </w:r>
            <w:r>
              <w:rPr>
                <w:rFonts w:hint="eastAsia" w:asciiTheme="minorEastAsia" w:hAnsiTheme="minorEastAsia" w:eastAsiaTheme="minorEastAsia" w:cstheme="minorEastAsia"/>
                <w:spacing w:val="13"/>
                <w:sz w:val="21"/>
                <w:szCs w:val="21"/>
              </w:rPr>
              <w:t>少</w:t>
            </w:r>
            <w:r>
              <w:rPr>
                <w:rFonts w:hint="eastAsia" w:asciiTheme="minorEastAsia" w:hAnsiTheme="minorEastAsia" w:eastAsiaTheme="minorEastAsia" w:cstheme="minorEastAsia"/>
                <w:spacing w:val="9"/>
                <w:sz w:val="21"/>
                <w:szCs w:val="21"/>
              </w:rPr>
              <w:t>建有盲道、无障碍卫生间</w:t>
            </w:r>
            <w:r>
              <w:rPr>
                <w:rFonts w:hint="eastAsia" w:asciiTheme="minorEastAsia" w:hAnsiTheme="minorEastAsia" w:cstheme="minorEastAsia"/>
                <w:spacing w:val="9"/>
                <w:sz w:val="21"/>
                <w:szCs w:val="21"/>
                <w:lang w:eastAsia="zh-CN"/>
              </w:rPr>
              <w:t>（</w:t>
            </w:r>
            <w:r>
              <w:rPr>
                <w:rFonts w:hint="eastAsia" w:asciiTheme="minorEastAsia" w:hAnsiTheme="minorEastAsia" w:eastAsiaTheme="minorEastAsia" w:cstheme="minorEastAsia"/>
                <w:spacing w:val="9"/>
                <w:sz w:val="21"/>
                <w:szCs w:val="21"/>
              </w:rPr>
              <w:t>厕位)、出入口无障碍设施、低位服务设</w:t>
            </w:r>
            <w:r>
              <w:rPr>
                <w:rFonts w:hint="eastAsia" w:asciiTheme="minorEastAsia" w:hAnsiTheme="minorEastAsia" w:eastAsiaTheme="minorEastAsia" w:cstheme="minorEastAsia"/>
                <w:spacing w:val="8"/>
                <w:sz w:val="21"/>
                <w:szCs w:val="21"/>
              </w:rPr>
              <w:t>施、无障</w:t>
            </w:r>
            <w:r>
              <w:rPr>
                <w:rFonts w:hint="eastAsia" w:asciiTheme="minorEastAsia" w:hAnsiTheme="minorEastAsia" w:eastAsiaTheme="minorEastAsia" w:cstheme="minorEastAsia"/>
                <w:spacing w:val="4"/>
                <w:sz w:val="21"/>
                <w:szCs w:val="21"/>
              </w:rPr>
              <w:t>碍停车位、无障碍标志这6种无障碍设施的3种及以上。</w:t>
            </w:r>
          </w:p>
        </w:tc>
        <w:tc>
          <w:tcPr>
            <w:tcW w:w="1519" w:type="dxa"/>
            <w:tcBorders>
              <w:tl2br w:val="nil"/>
              <w:tr2bl w:val="nil"/>
            </w:tcBorders>
            <w:vAlign w:val="center"/>
          </w:tcPr>
          <w:p>
            <w:pPr>
              <w:spacing w:before="2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第</w:t>
            </w:r>
            <w:r>
              <w:rPr>
                <w:rFonts w:hint="eastAsia" w:asciiTheme="minorEastAsia" w:hAnsiTheme="minorEastAsia" w:eastAsiaTheme="minorEastAsia" w:cstheme="minorEastAsia"/>
                <w:spacing w:val="-10"/>
                <w:sz w:val="21"/>
                <w:szCs w:val="21"/>
              </w:rPr>
              <w:t>十条，10</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1326" w:type="dxa"/>
            <w:tcBorders>
              <w:tl2br w:val="nil"/>
              <w:tr2bl w:val="nil"/>
            </w:tcBorders>
            <w:vAlign w:val="center"/>
          </w:tcPr>
          <w:p>
            <w:pPr>
              <w:spacing w:before="46" w:line="214" w:lineRule="auto"/>
              <w:ind w:left="114" w:right="211" w:firstLine="9"/>
              <w:jc w:val="center"/>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4"/>
                <w:sz w:val="21"/>
                <w:szCs w:val="21"/>
              </w:rPr>
              <w:t>个当地规模较大的</w:t>
            </w:r>
            <w:r>
              <w:rPr>
                <w:rFonts w:hint="eastAsia" w:asciiTheme="minorEastAsia" w:hAnsiTheme="minorEastAsia" w:eastAsiaTheme="minorEastAsia" w:cstheme="minorEastAsia"/>
                <w:spacing w:val="3"/>
                <w:sz w:val="21"/>
                <w:szCs w:val="21"/>
              </w:rPr>
              <w:t>商场、超市或菜</w:t>
            </w:r>
          </w:p>
          <w:p>
            <w:pPr>
              <w:spacing w:before="46" w:line="214" w:lineRule="auto"/>
              <w:ind w:left="114" w:right="211" w:firstLine="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市</w:t>
            </w:r>
            <w:r>
              <w:rPr>
                <w:rFonts w:hint="eastAsia" w:asciiTheme="minorEastAsia" w:hAnsiTheme="minorEastAsia" w:eastAsiaTheme="minorEastAsia" w:cstheme="minorEastAsia"/>
                <w:spacing w:val="1"/>
                <w:sz w:val="21"/>
                <w:szCs w:val="21"/>
              </w:rPr>
              <w:t>场</w:t>
            </w:r>
          </w:p>
        </w:tc>
        <w:tc>
          <w:tcPr>
            <w:tcW w:w="6290" w:type="dxa"/>
            <w:tcBorders>
              <w:tl2br w:val="nil"/>
              <w:tr2bl w:val="nil"/>
            </w:tcBorders>
            <w:vAlign w:val="center"/>
          </w:tcPr>
          <w:p>
            <w:pPr>
              <w:spacing w:before="46" w:line="214" w:lineRule="auto"/>
              <w:ind w:left="108" w:right="44" w:firstLine="1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1处附属式公共厕所</w:t>
            </w:r>
            <w:r>
              <w:rPr>
                <w:rFonts w:hint="eastAsia" w:asciiTheme="minorEastAsia" w:hAnsiTheme="minorEastAsia" w:eastAsiaTheme="minorEastAsia" w:cstheme="minorEastAsia"/>
                <w:spacing w:val="2"/>
                <w:sz w:val="21"/>
                <w:szCs w:val="21"/>
              </w:rPr>
              <w:t>：免费开放、厕所标识醒目、洗手设施完好、无蚊蝇、</w:t>
            </w:r>
            <w:r>
              <w:rPr>
                <w:rFonts w:hint="eastAsia" w:asciiTheme="minorEastAsia" w:hAnsiTheme="minorEastAsia" w:eastAsiaTheme="minorEastAsia" w:cstheme="minorEastAsia"/>
                <w:spacing w:val="9"/>
                <w:sz w:val="21"/>
                <w:szCs w:val="21"/>
              </w:rPr>
              <w:t>基</w:t>
            </w:r>
            <w:r>
              <w:rPr>
                <w:rFonts w:hint="eastAsia" w:asciiTheme="minorEastAsia" w:hAnsiTheme="minorEastAsia" w:eastAsiaTheme="minorEastAsia" w:cstheme="minorEastAsia"/>
                <w:spacing w:val="7"/>
                <w:sz w:val="21"/>
                <w:szCs w:val="21"/>
              </w:rPr>
              <w:t>本无臭味。</w:t>
            </w:r>
          </w:p>
        </w:tc>
        <w:tc>
          <w:tcPr>
            <w:tcW w:w="1519" w:type="dxa"/>
            <w:tcBorders>
              <w:tl2br w:val="nil"/>
              <w:tr2bl w:val="nil"/>
            </w:tcBorders>
            <w:vAlign w:val="center"/>
          </w:tcPr>
          <w:p>
            <w:pPr>
              <w:spacing w:before="2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十四条，26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1326" w:type="dxa"/>
            <w:tcBorders>
              <w:tl2br w:val="nil"/>
              <w:tr2bl w:val="nil"/>
            </w:tcBorders>
            <w:vAlign w:val="center"/>
          </w:tcPr>
          <w:p>
            <w:pPr>
              <w:spacing w:before="101" w:line="208"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1个公</w:t>
            </w:r>
            <w:r>
              <w:rPr>
                <w:rFonts w:hint="eastAsia" w:asciiTheme="minorEastAsia" w:hAnsiTheme="minorEastAsia" w:eastAsiaTheme="minorEastAsia" w:cstheme="minorEastAsia"/>
                <w:sz w:val="21"/>
                <w:szCs w:val="21"/>
              </w:rPr>
              <w:t>园</w:t>
            </w:r>
          </w:p>
        </w:tc>
        <w:tc>
          <w:tcPr>
            <w:tcW w:w="6290" w:type="dxa"/>
            <w:tcBorders>
              <w:tl2br w:val="nil"/>
              <w:tr2bl w:val="nil"/>
            </w:tcBorders>
            <w:vAlign w:val="center"/>
          </w:tcPr>
          <w:p>
            <w:pPr>
              <w:spacing w:before="101" w:line="208" w:lineRule="auto"/>
              <w:ind w:left="10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健康主题公园建设和管理情况</w:t>
            </w:r>
            <w:r>
              <w:rPr>
                <w:rFonts w:hint="eastAsia" w:asciiTheme="minorEastAsia" w:hAnsiTheme="minorEastAsia" w:eastAsiaTheme="minorEastAsia" w:cstheme="minorEastAsia"/>
                <w:spacing w:val="8"/>
                <w:sz w:val="21"/>
                <w:szCs w:val="21"/>
              </w:rPr>
              <w:t>。</w:t>
            </w:r>
          </w:p>
        </w:tc>
        <w:tc>
          <w:tcPr>
            <w:tcW w:w="1519" w:type="dxa"/>
            <w:tcBorders>
              <w:tl2br w:val="nil"/>
              <w:tr2bl w:val="nil"/>
            </w:tcBorders>
            <w:vAlign w:val="center"/>
          </w:tcPr>
          <w:p>
            <w:pPr>
              <w:spacing w:before="1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第</w:t>
            </w:r>
            <w:r>
              <w:rPr>
                <w:rFonts w:hint="eastAsia" w:asciiTheme="minorEastAsia" w:hAnsiTheme="minorEastAsia" w:eastAsiaTheme="minorEastAsia" w:cstheme="minorEastAsia"/>
                <w:spacing w:val="-10"/>
                <w:sz w:val="21"/>
                <w:szCs w:val="21"/>
              </w:rPr>
              <w:t>十条，11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1326" w:type="dxa"/>
            <w:tcBorders>
              <w:tl2br w:val="nil"/>
              <w:tr2bl w:val="nil"/>
            </w:tcBorders>
            <w:vAlign w:val="center"/>
          </w:tcPr>
          <w:p>
            <w:pPr>
              <w:spacing w:before="100" w:line="208" w:lineRule="auto"/>
              <w:ind w:left="123"/>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1个健康</w:t>
            </w:r>
          </w:p>
          <w:p>
            <w:pPr>
              <w:spacing w:before="100" w:line="208"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步道</w:t>
            </w:r>
          </w:p>
        </w:tc>
        <w:tc>
          <w:tcPr>
            <w:tcW w:w="6290" w:type="dxa"/>
            <w:tcBorders>
              <w:tl2br w:val="nil"/>
              <w:tr2bl w:val="nil"/>
            </w:tcBorders>
            <w:vAlign w:val="center"/>
          </w:tcPr>
          <w:p>
            <w:pPr>
              <w:spacing w:before="100" w:line="208" w:lineRule="auto"/>
              <w:ind w:left="10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健</w:t>
            </w:r>
            <w:r>
              <w:rPr>
                <w:rFonts w:hint="eastAsia" w:asciiTheme="minorEastAsia" w:hAnsiTheme="minorEastAsia" w:eastAsiaTheme="minorEastAsia" w:cstheme="minorEastAsia"/>
                <w:spacing w:val="8"/>
                <w:sz w:val="21"/>
                <w:szCs w:val="21"/>
              </w:rPr>
              <w:t>康步道建设和管理情况。</w:t>
            </w:r>
          </w:p>
        </w:tc>
        <w:tc>
          <w:tcPr>
            <w:tcW w:w="1519" w:type="dxa"/>
            <w:tcBorders>
              <w:tl2br w:val="nil"/>
              <w:tr2bl w:val="nil"/>
            </w:tcBorders>
            <w:vAlign w:val="center"/>
          </w:tcPr>
          <w:p>
            <w:pPr>
              <w:spacing w:before="100"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第</w:t>
            </w:r>
            <w:r>
              <w:rPr>
                <w:rFonts w:hint="eastAsia" w:asciiTheme="minorEastAsia" w:hAnsiTheme="minorEastAsia" w:eastAsiaTheme="minorEastAsia" w:cstheme="minorEastAsia"/>
                <w:spacing w:val="-10"/>
                <w:sz w:val="21"/>
                <w:szCs w:val="21"/>
              </w:rPr>
              <w:t>十条，12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1326" w:type="dxa"/>
            <w:tcBorders>
              <w:tl2br w:val="nil"/>
              <w:tr2bl w:val="nil"/>
            </w:tcBorders>
            <w:vAlign w:val="center"/>
          </w:tcPr>
          <w:p>
            <w:pPr>
              <w:spacing w:before="100" w:line="209"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1个绿</w:t>
            </w:r>
            <w:r>
              <w:rPr>
                <w:rFonts w:hint="eastAsia" w:asciiTheme="minorEastAsia" w:hAnsiTheme="minorEastAsia" w:eastAsiaTheme="minorEastAsia" w:cstheme="minorEastAsia"/>
                <w:sz w:val="21"/>
                <w:szCs w:val="21"/>
              </w:rPr>
              <w:t>道</w:t>
            </w:r>
          </w:p>
        </w:tc>
        <w:tc>
          <w:tcPr>
            <w:tcW w:w="6290" w:type="dxa"/>
            <w:tcBorders>
              <w:tl2br w:val="nil"/>
              <w:tr2bl w:val="nil"/>
            </w:tcBorders>
            <w:vAlign w:val="center"/>
          </w:tcPr>
          <w:p>
            <w:pPr>
              <w:spacing w:before="100" w:line="208"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绿</w:t>
            </w:r>
            <w:r>
              <w:rPr>
                <w:rFonts w:hint="eastAsia" w:asciiTheme="minorEastAsia" w:hAnsiTheme="minorEastAsia" w:eastAsiaTheme="minorEastAsia" w:cstheme="minorEastAsia"/>
                <w:spacing w:val="8"/>
                <w:sz w:val="21"/>
                <w:szCs w:val="21"/>
              </w:rPr>
              <w:t>道建设和管理情况。</w:t>
            </w:r>
          </w:p>
        </w:tc>
        <w:tc>
          <w:tcPr>
            <w:tcW w:w="1519" w:type="dxa"/>
            <w:tcBorders>
              <w:tl2br w:val="nil"/>
              <w:tr2bl w:val="nil"/>
            </w:tcBorders>
            <w:vAlign w:val="center"/>
          </w:tcPr>
          <w:p>
            <w:pPr>
              <w:spacing w:before="99"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第</w:t>
            </w:r>
            <w:r>
              <w:rPr>
                <w:rFonts w:hint="eastAsia" w:asciiTheme="minorEastAsia" w:hAnsiTheme="minorEastAsia" w:eastAsiaTheme="minorEastAsia" w:cstheme="minorEastAsia"/>
                <w:spacing w:val="-10"/>
                <w:sz w:val="21"/>
                <w:szCs w:val="21"/>
              </w:rPr>
              <w:t>十条，13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1326" w:type="dxa"/>
            <w:tcBorders>
              <w:tl2br w:val="nil"/>
              <w:tr2bl w:val="nil"/>
            </w:tcBorders>
            <w:vAlign w:val="center"/>
          </w:tcPr>
          <w:p>
            <w:pPr>
              <w:spacing w:before="100" w:line="207" w:lineRule="auto"/>
              <w:ind w:left="123"/>
              <w:jc w:val="center"/>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3"/>
                <w:sz w:val="21"/>
                <w:szCs w:val="21"/>
              </w:rPr>
              <w:t>家污水</w:t>
            </w:r>
          </w:p>
          <w:p>
            <w:pPr>
              <w:spacing w:before="100" w:line="207" w:lineRule="auto"/>
              <w:ind w:lef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处理厂</w:t>
            </w:r>
          </w:p>
        </w:tc>
        <w:tc>
          <w:tcPr>
            <w:tcW w:w="6290" w:type="dxa"/>
            <w:tcBorders>
              <w:tl2br w:val="nil"/>
              <w:tr2bl w:val="nil"/>
            </w:tcBorders>
            <w:vAlign w:val="center"/>
          </w:tcPr>
          <w:p>
            <w:pPr>
              <w:spacing w:before="100" w:line="207"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被抽查污水处理厂是否达标运行</w:t>
            </w:r>
            <w:r>
              <w:rPr>
                <w:rFonts w:hint="eastAsia" w:asciiTheme="minorEastAsia" w:hAnsiTheme="minorEastAsia" w:eastAsiaTheme="minorEastAsia" w:cstheme="minorEastAsia"/>
                <w:spacing w:val="7"/>
                <w:sz w:val="21"/>
                <w:szCs w:val="21"/>
              </w:rPr>
              <w:t>。</w:t>
            </w:r>
          </w:p>
        </w:tc>
        <w:tc>
          <w:tcPr>
            <w:tcW w:w="1519" w:type="dxa"/>
            <w:tcBorders>
              <w:tl2br w:val="nil"/>
              <w:tr2bl w:val="nil"/>
            </w:tcBorders>
            <w:vAlign w:val="center"/>
          </w:tcPr>
          <w:p>
            <w:pPr>
              <w:spacing w:before="99"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十三条，22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93" w:hRule="atLeast"/>
          <w:jc w:val="center"/>
        </w:trPr>
        <w:tc>
          <w:tcPr>
            <w:tcW w:w="1326" w:type="dxa"/>
            <w:tcBorders>
              <w:tl2br w:val="nil"/>
              <w:tr2bl w:val="nil"/>
            </w:tcBorders>
            <w:vAlign w:val="center"/>
          </w:tcPr>
          <w:p>
            <w:pPr>
              <w:spacing w:before="47" w:line="219" w:lineRule="auto"/>
              <w:ind w:left="113" w:right="105" w:firstLine="1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1</w:t>
            </w:r>
            <w:r>
              <w:rPr>
                <w:rFonts w:hint="eastAsia" w:asciiTheme="minorEastAsia" w:hAnsiTheme="minorEastAsia" w:eastAsiaTheme="minorEastAsia" w:cstheme="minorEastAsia"/>
                <w:spacing w:val="12"/>
                <w:sz w:val="21"/>
                <w:szCs w:val="21"/>
              </w:rPr>
              <w:t>处铁路沿线</w:t>
            </w:r>
            <w:r>
              <w:rPr>
                <w:rFonts w:hint="eastAsia" w:asciiTheme="minorEastAsia" w:hAnsiTheme="minorEastAsia" w:cstheme="minorEastAsia"/>
                <w:spacing w:val="12"/>
                <w:sz w:val="21"/>
                <w:szCs w:val="21"/>
                <w:lang w:eastAsia="zh-CN"/>
              </w:rPr>
              <w:t>（</w:t>
            </w:r>
            <w:r>
              <w:rPr>
                <w:rFonts w:hint="eastAsia" w:asciiTheme="minorEastAsia" w:hAnsiTheme="minorEastAsia" w:eastAsiaTheme="minorEastAsia" w:cstheme="minorEastAsia"/>
                <w:spacing w:val="12"/>
                <w:sz w:val="21"/>
                <w:szCs w:val="21"/>
              </w:rPr>
              <w:t>无铁路</w:t>
            </w:r>
            <w:r>
              <w:rPr>
                <w:rFonts w:hint="eastAsia" w:asciiTheme="minorEastAsia" w:hAnsiTheme="minorEastAsia" w:eastAsiaTheme="minorEastAsia" w:cstheme="minorEastAsia"/>
                <w:spacing w:val="8"/>
                <w:sz w:val="21"/>
                <w:szCs w:val="21"/>
              </w:rPr>
              <w:t>的</w:t>
            </w:r>
            <w:r>
              <w:rPr>
                <w:rFonts w:hint="eastAsia" w:asciiTheme="minorEastAsia" w:hAnsiTheme="minorEastAsia" w:eastAsiaTheme="minorEastAsia" w:cstheme="minorEastAsia"/>
                <w:spacing w:val="4"/>
                <w:sz w:val="21"/>
                <w:szCs w:val="21"/>
              </w:rPr>
              <w:t>县区可抽查1处当</w:t>
            </w:r>
            <w:r>
              <w:rPr>
                <w:rFonts w:hint="eastAsia" w:asciiTheme="minorEastAsia" w:hAnsiTheme="minorEastAsia" w:eastAsiaTheme="minorEastAsia" w:cstheme="minorEastAsia"/>
                <w:spacing w:val="18"/>
                <w:sz w:val="21"/>
                <w:szCs w:val="21"/>
              </w:rPr>
              <w:t>地</w:t>
            </w:r>
            <w:r>
              <w:rPr>
                <w:rFonts w:hint="eastAsia" w:asciiTheme="minorEastAsia" w:hAnsiTheme="minorEastAsia" w:eastAsiaTheme="minorEastAsia" w:cstheme="minorEastAsia"/>
                <w:spacing w:val="13"/>
                <w:sz w:val="21"/>
                <w:szCs w:val="21"/>
              </w:rPr>
              <w:t>主要公路沿线)</w:t>
            </w:r>
          </w:p>
        </w:tc>
        <w:tc>
          <w:tcPr>
            <w:tcW w:w="6290" w:type="dxa"/>
            <w:tcBorders>
              <w:tl2br w:val="nil"/>
              <w:tr2bl w:val="nil"/>
            </w:tcBorders>
            <w:vAlign w:val="center"/>
          </w:tcPr>
          <w:p>
            <w:pPr>
              <w:spacing w:line="275" w:lineRule="auto"/>
              <w:jc w:val="both"/>
              <w:rPr>
                <w:rFonts w:hint="eastAsia" w:asciiTheme="minorEastAsia" w:hAnsiTheme="minorEastAsia" w:eastAsiaTheme="minorEastAsia" w:cstheme="minorEastAsia"/>
                <w:sz w:val="21"/>
                <w:szCs w:val="21"/>
              </w:rPr>
            </w:pPr>
          </w:p>
          <w:p>
            <w:pPr>
              <w:spacing w:before="82"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无</w:t>
            </w:r>
            <w:r>
              <w:rPr>
                <w:rFonts w:hint="eastAsia" w:asciiTheme="minorEastAsia" w:hAnsiTheme="minorEastAsia" w:eastAsiaTheme="minorEastAsia" w:cstheme="minorEastAsia"/>
                <w:spacing w:val="6"/>
                <w:sz w:val="21"/>
                <w:szCs w:val="21"/>
              </w:rPr>
              <w:t>垃圾乱堆、露天焚烧垃圾或违规填埋现象。</w:t>
            </w:r>
          </w:p>
        </w:tc>
        <w:tc>
          <w:tcPr>
            <w:tcW w:w="1519" w:type="dxa"/>
            <w:tcBorders>
              <w:tl2br w:val="nil"/>
              <w:tr2bl w:val="nil"/>
            </w:tcBorders>
            <w:vAlign w:val="center"/>
          </w:tcPr>
          <w:p>
            <w:pPr>
              <w:spacing w:line="275" w:lineRule="auto"/>
              <w:jc w:val="both"/>
              <w:rPr>
                <w:rFonts w:hint="eastAsia" w:asciiTheme="minorEastAsia" w:hAnsiTheme="minorEastAsia" w:eastAsiaTheme="minorEastAsia" w:cstheme="minorEastAsia"/>
                <w:sz w:val="21"/>
                <w:szCs w:val="21"/>
              </w:rPr>
            </w:pPr>
          </w:p>
          <w:p>
            <w:pPr>
              <w:spacing w:before="81"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十三条，24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532" w:hRule="atLeast"/>
          <w:jc w:val="center"/>
        </w:trPr>
        <w:tc>
          <w:tcPr>
            <w:tcW w:w="1326" w:type="dxa"/>
            <w:tcBorders>
              <w:tl2br w:val="nil"/>
              <w:tr2bl w:val="nil"/>
            </w:tcBorders>
            <w:vAlign w:val="center"/>
          </w:tcPr>
          <w:p>
            <w:pPr>
              <w:spacing w:before="46" w:line="214" w:lineRule="auto"/>
              <w:ind w:left="114" w:right="264" w:firstLine="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pacing w:val="-1"/>
                <w:sz w:val="21"/>
                <w:szCs w:val="21"/>
              </w:rPr>
              <w:t>处农贸市场、或集</w:t>
            </w:r>
            <w:r>
              <w:rPr>
                <w:rFonts w:hint="eastAsia" w:asciiTheme="minorEastAsia" w:hAnsiTheme="minorEastAsia" w:eastAsiaTheme="minorEastAsia" w:cstheme="minorEastAsia"/>
                <w:spacing w:val="9"/>
                <w:sz w:val="21"/>
                <w:szCs w:val="21"/>
              </w:rPr>
              <w:t>市、或宠物市场</w:t>
            </w:r>
          </w:p>
        </w:tc>
        <w:tc>
          <w:tcPr>
            <w:tcW w:w="6290" w:type="dxa"/>
            <w:tcBorders>
              <w:tl2br w:val="nil"/>
              <w:tr2bl w:val="nil"/>
            </w:tcBorders>
            <w:vAlign w:val="center"/>
          </w:tcPr>
          <w:p>
            <w:pPr>
              <w:spacing w:before="203" w:line="208" w:lineRule="auto"/>
              <w:ind w:left="1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查</w:t>
            </w:r>
            <w:r>
              <w:rPr>
                <w:rFonts w:hint="eastAsia" w:asciiTheme="minorEastAsia" w:hAnsiTheme="minorEastAsia" w:eastAsiaTheme="minorEastAsia" w:cstheme="minorEastAsia"/>
                <w:spacing w:val="9"/>
                <w:sz w:val="21"/>
                <w:szCs w:val="21"/>
              </w:rPr>
              <w:t>看有无贩卖、制售、食用野生动物情况。</w:t>
            </w:r>
          </w:p>
        </w:tc>
        <w:tc>
          <w:tcPr>
            <w:tcW w:w="1519" w:type="dxa"/>
            <w:tcBorders>
              <w:tl2br w:val="nil"/>
              <w:tr2bl w:val="nil"/>
            </w:tcBorders>
            <w:vAlign w:val="center"/>
          </w:tcPr>
          <w:p>
            <w:pPr>
              <w:spacing w:before="202"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十四条，31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12" w:hRule="atLeast"/>
          <w:jc w:val="center"/>
        </w:trPr>
        <w:tc>
          <w:tcPr>
            <w:tcW w:w="1326" w:type="dxa"/>
            <w:tcBorders>
              <w:tl2br w:val="nil"/>
              <w:tr2bl w:val="nil"/>
            </w:tcBorders>
            <w:vAlign w:val="center"/>
          </w:tcPr>
          <w:p>
            <w:pPr>
              <w:spacing w:before="48" w:line="215" w:lineRule="auto"/>
              <w:ind w:left="111" w:right="211" w:firstLine="1"/>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8"/>
                <w:sz w:val="21"/>
                <w:szCs w:val="21"/>
              </w:rPr>
              <w:t>抽</w:t>
            </w:r>
            <w:r>
              <w:rPr>
                <w:rFonts w:hint="eastAsia" w:asciiTheme="minorEastAsia" w:hAnsiTheme="minorEastAsia" w:eastAsiaTheme="minorEastAsia" w:cstheme="minorEastAsia"/>
                <w:spacing w:val="7"/>
                <w:sz w:val="21"/>
                <w:szCs w:val="21"/>
              </w:rPr>
              <w:t>查</w:t>
            </w:r>
            <w:r>
              <w:rPr>
                <w:rFonts w:hint="eastAsia" w:asciiTheme="minorEastAsia" w:hAnsiTheme="minorEastAsia" w:eastAsiaTheme="minorEastAsia" w:cstheme="minorEastAsia"/>
                <w:spacing w:val="4"/>
                <w:sz w:val="21"/>
                <w:szCs w:val="21"/>
              </w:rPr>
              <w:t>1处公共体育设</w:t>
            </w:r>
            <w:r>
              <w:rPr>
                <w:rFonts w:hint="eastAsia" w:asciiTheme="minorEastAsia" w:hAnsiTheme="minorEastAsia" w:eastAsiaTheme="minorEastAsia" w:cstheme="minorEastAsia"/>
                <w:spacing w:val="-4"/>
                <w:sz w:val="21"/>
                <w:szCs w:val="21"/>
              </w:rPr>
              <w:t>施，</w:t>
            </w:r>
            <w:r>
              <w:rPr>
                <w:rFonts w:hint="eastAsia" w:asciiTheme="minorEastAsia" w:hAnsiTheme="minorEastAsia" w:eastAsiaTheme="minorEastAsia" w:cstheme="minorEastAsia"/>
                <w:spacing w:val="-2"/>
                <w:sz w:val="21"/>
                <w:szCs w:val="21"/>
              </w:rPr>
              <w:t>询问其收费</w:t>
            </w:r>
          </w:p>
          <w:p>
            <w:pPr>
              <w:spacing w:before="48" w:line="215" w:lineRule="auto"/>
              <w:ind w:left="111" w:right="211" w:firstLine="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情况</w:t>
            </w:r>
          </w:p>
        </w:tc>
        <w:tc>
          <w:tcPr>
            <w:tcW w:w="6290" w:type="dxa"/>
            <w:tcBorders>
              <w:tl2br w:val="nil"/>
              <w:tr2bl w:val="nil"/>
            </w:tcBorders>
            <w:vAlign w:val="center"/>
          </w:tcPr>
          <w:p>
            <w:pPr>
              <w:jc w:val="both"/>
              <w:rPr>
                <w:rFonts w:hint="eastAsia" w:asciiTheme="minorEastAsia" w:hAnsiTheme="minorEastAsia" w:eastAsiaTheme="minorEastAsia" w:cstheme="minorEastAsia"/>
                <w:sz w:val="21"/>
                <w:szCs w:val="21"/>
              </w:rPr>
            </w:pPr>
          </w:p>
        </w:tc>
        <w:tc>
          <w:tcPr>
            <w:tcW w:w="1519" w:type="dxa"/>
            <w:tcBorders>
              <w:tl2br w:val="nil"/>
              <w:tr2bl w:val="nil"/>
            </w:tcBorders>
            <w:vAlign w:val="center"/>
          </w:tcPr>
          <w:p>
            <w:pPr>
              <w:spacing w:before="203" w:line="209"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第</w:t>
            </w:r>
            <w:r>
              <w:rPr>
                <w:rFonts w:hint="eastAsia" w:asciiTheme="minorEastAsia" w:hAnsiTheme="minorEastAsia" w:eastAsiaTheme="minorEastAsia" w:cstheme="minorEastAsia"/>
                <w:spacing w:val="-8"/>
                <w:sz w:val="21"/>
                <w:szCs w:val="21"/>
              </w:rPr>
              <w:t>三十条，79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D79096-9093-4796-A9DC-235C420BCCDD}"/>
  </w:font>
  <w:font w:name="黑体">
    <w:panose1 w:val="02010609060101010101"/>
    <w:charset w:val="86"/>
    <w:family w:val="auto"/>
    <w:pitch w:val="default"/>
    <w:sig w:usb0="800002BF" w:usb1="38CF7CFA" w:usb2="00000016" w:usb3="00000000" w:csb0="00040001" w:csb1="00000000"/>
    <w:embedRegular r:id="rId2" w:fontKey="{E8126D8D-ED64-418D-AA9D-6EF759030B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3967545D-E24C-4242-B569-6A06D3289B76}"/>
  </w:font>
  <w:font w:name="仿宋_GB2312">
    <w:altName w:val="仿宋"/>
    <w:panose1 w:val="02010609030101010101"/>
    <w:charset w:val="86"/>
    <w:family w:val="auto"/>
    <w:pitch w:val="default"/>
    <w:sig w:usb0="00000000" w:usb1="00000000" w:usb2="00000000" w:usb3="00000000" w:csb0="00040000" w:csb1="00000000"/>
    <w:embedRegular r:id="rId4" w:fontKey="{45BF86EF-9F8D-4C52-9003-45891831825F}"/>
  </w:font>
  <w:font w:name="楷体_GB2312">
    <w:altName w:val="楷体"/>
    <w:panose1 w:val="02010609030101010101"/>
    <w:charset w:val="86"/>
    <w:family w:val="modern"/>
    <w:pitch w:val="default"/>
    <w:sig w:usb0="00000000" w:usb1="00000000" w:usb2="00000000" w:usb3="00000000" w:csb0="00040000" w:csb1="00000000"/>
    <w:embedRegular r:id="rId5" w:fontKey="{19D7F4E0-B6CD-4E69-99F3-BB470EB5F374}"/>
  </w:font>
  <w:font w:name="方正黑体简体">
    <w:altName w:val="微软雅黑"/>
    <w:panose1 w:val="02010601030101010101"/>
    <w:charset w:val="86"/>
    <w:family w:val="auto"/>
    <w:pitch w:val="default"/>
    <w:sig w:usb0="00000000" w:usb1="00000000" w:usb2="00000000" w:usb3="00000000" w:csb0="00040000" w:csb1="00000000"/>
    <w:embedRegular r:id="rId6" w:fontKey="{E44473B8-14DB-4185-94E4-65233FE90124}"/>
  </w:font>
  <w:font w:name="方正楷体_GB2312">
    <w:panose1 w:val="02000000000000000000"/>
    <w:charset w:val="86"/>
    <w:family w:val="auto"/>
    <w:pitch w:val="default"/>
    <w:sig w:usb0="A00002BF" w:usb1="184F6CFA" w:usb2="00000012" w:usb3="00000000" w:csb0="00040001" w:csb1="00000000"/>
    <w:embedRegular r:id="rId7" w:fontKey="{5363DFC2-FF81-4978-9E50-05C3AF9AED94}"/>
  </w:font>
  <w:font w:name="楷体">
    <w:panose1 w:val="02010609060101010101"/>
    <w:charset w:val="86"/>
    <w:family w:val="auto"/>
    <w:pitch w:val="default"/>
    <w:sig w:usb0="800002BF" w:usb1="38CF7CFA" w:usb2="00000016" w:usb3="00000000" w:csb0="00040001" w:csb1="00000000"/>
    <w:embedRegular r:id="rId8" w:fontKey="{7789BD4D-7515-4F51-A038-1F178BD918DD}"/>
  </w:font>
  <w:font w:name="方正小标宋简体">
    <w:panose1 w:val="00000600000000000000"/>
    <w:charset w:val="86"/>
    <w:family w:val="auto"/>
    <w:pitch w:val="default"/>
    <w:sig w:usb0="800002BF" w:usb1="184F6CF8" w:usb2="00000012" w:usb3="00000000" w:csb0="00160001" w:csb1="12030000"/>
    <w:embedRegular r:id="rId9" w:fontKey="{E2494F66-5EBD-425B-ACA5-736A4243BF3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right="665"/>
      <w:jc w:val="right"/>
      <w:rPr>
        <w:rFonts w:ascii="Arial" w:hAnsi="Arial" w:eastAsia="Arial" w:cs="Arial"/>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DQ1ZDA2MTE3NTAxNjkzYmVkZjIwM2EwNmIyMDMifQ=="/>
  </w:docVars>
  <w:rsids>
    <w:rsidRoot w:val="6DA01174"/>
    <w:rsid w:val="02A12ECC"/>
    <w:rsid w:val="03B92498"/>
    <w:rsid w:val="069F7716"/>
    <w:rsid w:val="0D034CD1"/>
    <w:rsid w:val="0D4C3F35"/>
    <w:rsid w:val="10EF574B"/>
    <w:rsid w:val="11CB1D14"/>
    <w:rsid w:val="14BB0294"/>
    <w:rsid w:val="153B4ABB"/>
    <w:rsid w:val="17F26E74"/>
    <w:rsid w:val="186D58D3"/>
    <w:rsid w:val="18A961DF"/>
    <w:rsid w:val="1EB83620"/>
    <w:rsid w:val="224C47AB"/>
    <w:rsid w:val="25DF5936"/>
    <w:rsid w:val="27D01156"/>
    <w:rsid w:val="2874680A"/>
    <w:rsid w:val="294E705B"/>
    <w:rsid w:val="29A30A29"/>
    <w:rsid w:val="2E422F06"/>
    <w:rsid w:val="30980BBB"/>
    <w:rsid w:val="32B1065A"/>
    <w:rsid w:val="338D4C23"/>
    <w:rsid w:val="375515B4"/>
    <w:rsid w:val="46054AED"/>
    <w:rsid w:val="463263A8"/>
    <w:rsid w:val="48C06AA9"/>
    <w:rsid w:val="511F2F07"/>
    <w:rsid w:val="515D3A2F"/>
    <w:rsid w:val="51AE6039"/>
    <w:rsid w:val="55C23E61"/>
    <w:rsid w:val="57233025"/>
    <w:rsid w:val="57FF75EE"/>
    <w:rsid w:val="591744C4"/>
    <w:rsid w:val="5B3C7639"/>
    <w:rsid w:val="5BC2286C"/>
    <w:rsid w:val="5C0D1BAE"/>
    <w:rsid w:val="5E2558D5"/>
    <w:rsid w:val="68476448"/>
    <w:rsid w:val="69362744"/>
    <w:rsid w:val="69997064"/>
    <w:rsid w:val="6D176247"/>
    <w:rsid w:val="6D370590"/>
    <w:rsid w:val="6DA01174"/>
    <w:rsid w:val="6EBF4F8A"/>
    <w:rsid w:val="70E37655"/>
    <w:rsid w:val="719C5A56"/>
    <w:rsid w:val="72536115"/>
    <w:rsid w:val="75563DA3"/>
    <w:rsid w:val="759058D2"/>
    <w:rsid w:val="77422BFC"/>
    <w:rsid w:val="7A3C3932"/>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index 8"/>
    <w:basedOn w:val="1"/>
    <w:next w:val="1"/>
    <w:qFormat/>
    <w:uiPriority w:val="0"/>
    <w:pPr>
      <w:ind w:left="2940"/>
      <w:jc w:val="center"/>
    </w:pPr>
    <w:rPr>
      <w:rFonts w:ascii="方正小标宋_GBK" w:eastAsia="方正小标宋_GBK"/>
      <w:sz w:val="44"/>
      <w:szCs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qFormat/>
    <w:uiPriority w:val="0"/>
    <w:pPr>
      <w:spacing w:after="120" w:line="480" w:lineRule="auto"/>
    </w:pPr>
    <w:rPr>
      <w:rFonts w:ascii="Times New Roman" w:hAnsi="Times New Roman" w:cs="Times New Roma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28177</Words>
  <Characters>29234</Characters>
  <Lines>0</Lines>
  <Paragraphs>0</Paragraphs>
  <TotalTime>4</TotalTime>
  <ScaleCrop>false</ScaleCrop>
  <LinksUpToDate>false</LinksUpToDate>
  <CharactersWithSpaces>29564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2023-04-14T02:05:00Z</dcterms:created>
  <dc:creator>微信用户</dc:creator>
  <cp:lastModifiedBy>WPS_1470879831</cp:lastModifiedBy>
  <dcterms:modified xsi:type="dcterms:W3CDTF">2023-06-02T02:36:12Z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98E5BAE80C914E608DDA1F15F02FAE1F_13</vt:lpwstr>
  </property>
</Properties>
</file>