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9EF8E">
      <w:pPr>
        <w:spacing w:before="156" w:beforeLines="50" w:line="560" w:lineRule="exact"/>
        <w:jc w:val="both"/>
        <w:rPr>
          <w:rFonts w:hint="eastAsia" w:ascii="仿宋" w:hAnsi="仿宋" w:eastAsia="仿宋" w:cs="仿宋"/>
          <w:i w:val="0"/>
          <w:iCs w:val="0"/>
          <w:caps w:val="0"/>
          <w:color w:val="FF0000"/>
          <w:spacing w:val="0"/>
          <w:sz w:val="32"/>
          <w:szCs w:val="32"/>
          <w:shd w:val="clear" w:color="auto" w:fill="FFFFFF"/>
        </w:rPr>
      </w:pPr>
      <w:r>
        <w:rPr>
          <w:rFonts w:hint="eastAsia" w:ascii="仿宋" w:hAnsi="仿宋" w:eastAsia="仿宋" w:cs="仿宋"/>
          <w:color w:val="auto"/>
          <w:sz w:val="32"/>
          <w:szCs w:val="32"/>
          <w:lang w:val="en-US" w:eastAsia="zh-CN"/>
        </w:rPr>
        <w:t>附件2</w:t>
      </w:r>
    </w:p>
    <w:p w14:paraId="02F09982">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b/>
          <w:bCs/>
          <w:color w:val="auto"/>
          <w:sz w:val="44"/>
          <w:szCs w:val="44"/>
        </w:rPr>
      </w:pPr>
      <w:r>
        <w:rPr>
          <w:rFonts w:hint="eastAsia"/>
          <w:b/>
          <w:bCs/>
          <w:color w:val="auto"/>
          <w:sz w:val="44"/>
          <w:szCs w:val="44"/>
          <w:lang w:val="en-US" w:eastAsia="zh-CN"/>
        </w:rPr>
        <w:t>关于修订文件的</w:t>
      </w:r>
      <w:r>
        <w:rPr>
          <w:rFonts w:hint="eastAsia"/>
          <w:b/>
          <w:bCs/>
          <w:color w:val="auto"/>
          <w:sz w:val="44"/>
          <w:szCs w:val="44"/>
        </w:rPr>
        <w:t>起草说明</w:t>
      </w:r>
    </w:p>
    <w:p w14:paraId="1200983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bCs/>
          <w:color w:val="auto"/>
          <w:sz w:val="32"/>
          <w:szCs w:val="32"/>
        </w:rPr>
      </w:pPr>
    </w:p>
    <w:p w14:paraId="71BE852D">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一、规范性文件制定的必要性和基本情况（背景）</w:t>
      </w:r>
    </w:p>
    <w:p w14:paraId="205DBDDD">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方正仿宋_GB2312" w:hAnsi="方正仿宋_GB2312" w:eastAsia="方正仿宋_GB2312" w:cs="方正仿宋_GB2312"/>
          <w:b/>
          <w:bCs/>
          <w:color w:val="auto"/>
          <w:sz w:val="32"/>
          <w:szCs w:val="32"/>
        </w:rPr>
      </w:pPr>
      <w:r>
        <w:rPr>
          <w:rFonts w:hint="eastAsia" w:ascii="方正仿宋_GB2312" w:hAnsi="方正仿宋_GB2312" w:eastAsia="方正仿宋_GB2312" w:cs="方正仿宋_GB2312"/>
          <w:b/>
          <w:bCs/>
          <w:color w:val="auto"/>
          <w:sz w:val="32"/>
          <w:szCs w:val="32"/>
        </w:rPr>
        <w:t>（一）制定本规范性文件的理由、目的及意义</w:t>
      </w:r>
    </w:p>
    <w:p w14:paraId="098C0663">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2025年4月，隆回县人民政府办公室印发《关于进一步规范精神疾病和失能失智人群医养结合患者住院及托养救助工作的通知》（隆政办发〔2025〕4号），在规范救助对象、统一救助标准、明确机构资质、优化审批程序等方面发挥了积极作用。</w:t>
      </w:r>
    </w:p>
    <w:p w14:paraId="55272203">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2025年3月27日，隆回县医疗保障局收到了邵阳市医疗保障局下发的《关于严格执行医疗保障待遇清单制度管理取消医保个性化政策的函》，要求立即停止执行失能失智老人医养结合按床日付费政策，并关闭该政策在医保经办平台的结算功能。2025年4月，医保部门取消“医养结合”住院按床日付费政策（原标准1500元/人/月），自此</w:t>
      </w:r>
      <w:r>
        <w:rPr>
          <w:rFonts w:hint="default" w:ascii="仿宋" w:hAnsi="仿宋" w:eastAsia="仿宋" w:cs="仿宋"/>
          <w:color w:val="auto"/>
          <w:sz w:val="32"/>
          <w:szCs w:val="32"/>
          <w:lang w:val="en-US" w:eastAsia="zh-CN"/>
        </w:rPr>
        <w:t>救助资金减少1500元/人/月，失能失智集中特困供养人员与监测户救助工作面临资金缺口，直接影响救助服务质量及救助工作的可持续发展。</w:t>
      </w:r>
    </w:p>
    <w:p w14:paraId="1FD61B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仿宋" w:hAnsi="仿宋" w:eastAsia="仿宋" w:cs="仿宋"/>
          <w:color w:val="auto"/>
          <w:sz w:val="32"/>
          <w:szCs w:val="32"/>
        </w:rPr>
      </w:pPr>
      <w:r>
        <w:rPr>
          <w:rFonts w:hint="default" w:ascii="仿宋" w:hAnsi="仿宋" w:eastAsia="仿宋" w:cs="仿宋"/>
          <w:color w:val="auto"/>
          <w:sz w:val="32"/>
          <w:szCs w:val="32"/>
          <w:lang w:val="en-US" w:eastAsia="zh-CN"/>
        </w:rPr>
        <w:t>2025年12月26日，县政府办公室牵头组织县财政局、民政局、卫生健康局、农业农村局等部门组成联合核查组，对</w:t>
      </w:r>
      <w:r>
        <w:rPr>
          <w:rFonts w:hint="eastAsia" w:ascii="仿宋" w:hAnsi="仿宋" w:eastAsia="仿宋" w:cs="仿宋"/>
          <w:color w:val="auto"/>
          <w:sz w:val="32"/>
          <w:szCs w:val="32"/>
          <w:lang w:val="en-US" w:eastAsia="zh-CN"/>
        </w:rPr>
        <w:t>救助机构</w:t>
      </w:r>
      <w:r>
        <w:rPr>
          <w:rFonts w:hint="default" w:ascii="仿宋" w:hAnsi="仿宋" w:eastAsia="仿宋" w:cs="仿宋"/>
          <w:color w:val="auto"/>
          <w:sz w:val="32"/>
          <w:szCs w:val="32"/>
          <w:lang w:val="en-US" w:eastAsia="zh-CN"/>
        </w:rPr>
        <w:t>失能失智集中特困供养人员托养服务及监测户救助工作落实情况进行专项核查。核查确认：截至2025年12月，全县累计收治失能失智集中特困供养人员与监测户319人（其中在住233人），现行救助标准与实际运营成本存在</w:t>
      </w:r>
      <w:r>
        <w:rPr>
          <w:rFonts w:hint="eastAsia" w:ascii="仿宋" w:hAnsi="仿宋" w:eastAsia="仿宋" w:cs="仿宋"/>
          <w:color w:val="auto"/>
          <w:sz w:val="32"/>
          <w:szCs w:val="32"/>
          <w:lang w:val="en-US" w:eastAsia="zh-CN"/>
        </w:rPr>
        <w:t>较大差距</w:t>
      </w:r>
      <w:r>
        <w:rPr>
          <w:rFonts w:hint="default" w:ascii="仿宋" w:hAnsi="仿宋" w:eastAsia="仿宋" w:cs="仿宋"/>
          <w:color w:val="auto"/>
          <w:sz w:val="32"/>
          <w:szCs w:val="32"/>
          <w:lang w:val="en-US" w:eastAsia="zh-CN"/>
        </w:rPr>
        <w:t>，2025年4月至11月累计资金缺口达291.35万元。</w:t>
      </w:r>
    </w:p>
    <w:p w14:paraId="15BA557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仿宋" w:hAnsi="仿宋" w:eastAsia="仿宋" w:cs="仿宋"/>
          <w:color w:val="auto"/>
          <w:sz w:val="32"/>
          <w:szCs w:val="32"/>
        </w:rPr>
      </w:pPr>
      <w:r>
        <w:rPr>
          <w:rFonts w:hint="default" w:ascii="仿宋" w:hAnsi="仿宋" w:eastAsia="仿宋" w:cs="仿宋"/>
          <w:color w:val="auto"/>
          <w:sz w:val="32"/>
          <w:szCs w:val="32"/>
          <w:lang w:val="en-US" w:eastAsia="zh-CN"/>
        </w:rPr>
        <w:t>随着政策实施推进，部分救助标准与当前财政保障能力、特殊人群实际需求及上级政策调整要求已不相适应，亟需进行修订完善。主要体现在：</w:t>
      </w:r>
      <w:r>
        <w:rPr>
          <w:rFonts w:hint="default" w:ascii="仿宋" w:hAnsi="仿宋" w:eastAsia="仿宋" w:cs="仿宋"/>
          <w:b/>
          <w:bCs/>
          <w:color w:val="auto"/>
          <w:sz w:val="32"/>
          <w:szCs w:val="32"/>
          <w:lang w:val="en-US" w:eastAsia="zh-CN"/>
        </w:rPr>
        <w:t>一是</w:t>
      </w:r>
      <w:r>
        <w:rPr>
          <w:rFonts w:hint="default" w:ascii="仿宋" w:hAnsi="仿宋" w:eastAsia="仿宋" w:cs="仿宋"/>
          <w:color w:val="auto"/>
          <w:sz w:val="32"/>
          <w:szCs w:val="32"/>
          <w:lang w:val="en-US" w:eastAsia="zh-CN"/>
        </w:rPr>
        <w:t>失能失智集中特困供养人员与监测户等群体的照护救助标准偏低，难以覆盖实际照护成本；</w:t>
      </w:r>
      <w:r>
        <w:rPr>
          <w:rFonts w:hint="default" w:ascii="仿宋" w:hAnsi="仿宋" w:eastAsia="仿宋" w:cs="仿宋"/>
          <w:b/>
          <w:bCs/>
          <w:color w:val="auto"/>
          <w:sz w:val="32"/>
          <w:szCs w:val="32"/>
          <w:lang w:val="en-US" w:eastAsia="zh-CN"/>
        </w:rPr>
        <w:t>二是</w:t>
      </w:r>
      <w:r>
        <w:rPr>
          <w:rFonts w:hint="default" w:ascii="仿宋" w:hAnsi="仿宋" w:eastAsia="仿宋" w:cs="仿宋"/>
          <w:color w:val="auto"/>
          <w:sz w:val="32"/>
          <w:szCs w:val="32"/>
          <w:lang w:val="en-US" w:eastAsia="zh-CN"/>
        </w:rPr>
        <w:t>资金归口管理不够清晰，结算周期过长影响机构正常运转；</w:t>
      </w:r>
      <w:r>
        <w:rPr>
          <w:rFonts w:hint="default" w:ascii="仿宋" w:hAnsi="仿宋" w:eastAsia="仿宋" w:cs="仿宋"/>
          <w:b/>
          <w:bCs/>
          <w:color w:val="auto"/>
          <w:sz w:val="32"/>
          <w:szCs w:val="32"/>
          <w:lang w:val="en-US" w:eastAsia="zh-CN"/>
        </w:rPr>
        <w:t>三是</w:t>
      </w:r>
      <w:r>
        <w:rPr>
          <w:rFonts w:hint="default" w:ascii="仿宋" w:hAnsi="仿宋" w:eastAsia="仿宋" w:cs="仿宋"/>
          <w:color w:val="auto"/>
          <w:sz w:val="32"/>
          <w:szCs w:val="32"/>
          <w:lang w:val="en-US" w:eastAsia="zh-CN"/>
        </w:rPr>
        <w:t>救助对象分类及资金分担机制需进一步与民政等领域新出台政策衔接；</w:t>
      </w:r>
      <w:r>
        <w:rPr>
          <w:rFonts w:hint="default" w:ascii="仿宋" w:hAnsi="仿宋" w:eastAsia="仿宋" w:cs="仿宋"/>
          <w:b/>
          <w:bCs/>
          <w:color w:val="auto"/>
          <w:sz w:val="32"/>
          <w:szCs w:val="32"/>
          <w:lang w:val="en-US" w:eastAsia="zh-CN"/>
        </w:rPr>
        <w:t>四是</w:t>
      </w:r>
      <w:r>
        <w:rPr>
          <w:rFonts w:hint="default" w:ascii="仿宋" w:hAnsi="仿宋" w:eastAsia="仿宋" w:cs="仿宋"/>
          <w:color w:val="auto"/>
          <w:sz w:val="32"/>
          <w:szCs w:val="32"/>
          <w:lang w:val="en-US" w:eastAsia="zh-CN"/>
        </w:rPr>
        <w:t>缺乏护理等级差异化救助标准，未能体现精准救助原则。</w:t>
      </w:r>
    </w:p>
    <w:p w14:paraId="5BDFC7D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仿宋" w:hAnsi="仿宋" w:eastAsia="仿宋" w:cs="仿宋"/>
          <w:color w:val="auto"/>
          <w:sz w:val="32"/>
          <w:szCs w:val="32"/>
        </w:rPr>
      </w:pPr>
      <w:r>
        <w:rPr>
          <w:rFonts w:hint="default" w:ascii="仿宋" w:hAnsi="仿宋" w:eastAsia="仿宋" w:cs="仿宋"/>
          <w:color w:val="auto"/>
          <w:sz w:val="32"/>
          <w:szCs w:val="32"/>
          <w:lang w:val="en-US" w:eastAsia="zh-CN"/>
        </w:rPr>
        <w:t>为此，本次修订聚焦</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提标准、明责任、优流程、强兜底</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对救助标准、资金分担、审批归口等进行系统性调整，建立与护理等级挂钩的差异化补助标准，明确财政、民政部门资金分担比例，优化资金结算拨付流程，进一步提升政策的精准性、可操作性和可持续性，切实保障特殊困难群体基本权益，筑牢民生保障底线。</w:t>
      </w:r>
    </w:p>
    <w:p w14:paraId="2A5D79E6">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方正仿宋_GB2312" w:hAnsi="方正仿宋_GB2312" w:eastAsia="方正仿宋_GB2312" w:cs="方正仿宋_GB2312"/>
          <w:b/>
          <w:bCs/>
          <w:color w:val="auto"/>
          <w:sz w:val="32"/>
          <w:szCs w:val="32"/>
        </w:rPr>
      </w:pPr>
      <w:r>
        <w:rPr>
          <w:rFonts w:hint="eastAsia" w:ascii="方正仿宋_GB2312" w:hAnsi="方正仿宋_GB2312" w:eastAsia="方正仿宋_GB2312" w:cs="方正仿宋_GB2312"/>
          <w:b/>
          <w:bCs/>
          <w:color w:val="auto"/>
          <w:sz w:val="32"/>
          <w:szCs w:val="32"/>
        </w:rPr>
        <w:t>（二）其他地区相关情况</w:t>
      </w:r>
    </w:p>
    <w:p w14:paraId="69F0895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经系统梳理，当前市场环境下，县级机构对失能失智人员的照护服务收费普遍在3000元/月以上，省、市同类机构达4500元/月以上。我县原救助标准明显低于省、市、县同期市场价格。隆回县结合本地实际，借鉴上述经验，在成本核算基础上制定更具操作性、更符合实际的救助标准。</w:t>
      </w:r>
    </w:p>
    <w:p w14:paraId="61EB7AE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二、规范性文件的起草过程</w:t>
      </w:r>
    </w:p>
    <w:p w14:paraId="3B61C148">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方正仿宋_GB2312" w:hAnsi="方正仿宋_GB2312" w:eastAsia="方正仿宋_GB2312" w:cs="方正仿宋_GB2312"/>
          <w:b/>
          <w:bCs/>
          <w:color w:val="auto"/>
          <w:sz w:val="32"/>
          <w:szCs w:val="32"/>
        </w:rPr>
      </w:pPr>
      <w:r>
        <w:rPr>
          <w:rFonts w:hint="eastAsia" w:ascii="方正仿宋_GB2312" w:hAnsi="方正仿宋_GB2312" w:eastAsia="方正仿宋_GB2312" w:cs="方正仿宋_GB2312"/>
          <w:b/>
          <w:bCs/>
          <w:color w:val="auto"/>
          <w:sz w:val="32"/>
          <w:szCs w:val="32"/>
        </w:rPr>
        <w:t>（一）调研与征求意见</w:t>
      </w:r>
    </w:p>
    <w:p w14:paraId="73A82EBD">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调研情况</w:t>
      </w:r>
      <w:r>
        <w:rPr>
          <w:rFonts w:hint="eastAsia" w:ascii="仿宋" w:hAnsi="仿宋" w:eastAsia="仿宋" w:cs="仿宋"/>
          <w:b/>
          <w:bCs/>
          <w:color w:val="auto"/>
          <w:sz w:val="32"/>
          <w:szCs w:val="32"/>
          <w:lang w:val="en-US" w:eastAsia="zh-CN"/>
        </w:rPr>
        <w:t>：</w:t>
      </w:r>
      <w:r>
        <w:rPr>
          <w:rFonts w:hint="default" w:ascii="仿宋" w:hAnsi="仿宋" w:eastAsia="仿宋" w:cs="仿宋"/>
          <w:color w:val="auto"/>
          <w:sz w:val="32"/>
          <w:szCs w:val="32"/>
          <w:lang w:val="en-US" w:eastAsia="zh-CN"/>
        </w:rPr>
        <w:t>2025年12月26日，联合核查组通过实地走访、资料审查、账目核查、人员访谈等方式，对</w:t>
      </w:r>
      <w:r>
        <w:rPr>
          <w:rFonts w:hint="eastAsia" w:ascii="仿宋" w:hAnsi="仿宋" w:eastAsia="仿宋" w:cs="仿宋"/>
          <w:color w:val="auto"/>
          <w:sz w:val="32"/>
          <w:szCs w:val="32"/>
          <w:lang w:val="en-US" w:eastAsia="zh-CN"/>
        </w:rPr>
        <w:t>救助机构</w:t>
      </w:r>
      <w:r>
        <w:rPr>
          <w:rFonts w:hint="default" w:ascii="仿宋" w:hAnsi="仿宋" w:eastAsia="仿宋" w:cs="仿宋"/>
          <w:color w:val="auto"/>
          <w:sz w:val="32"/>
          <w:szCs w:val="32"/>
          <w:lang w:val="en-US" w:eastAsia="zh-CN"/>
        </w:rPr>
        <w:t>魏源老年公寓进行专项核查，形成《关于</w:t>
      </w:r>
      <w:bookmarkStart w:id="0" w:name="OLE_LINK1"/>
      <w:r>
        <w:rPr>
          <w:rFonts w:hint="default" w:ascii="仿宋" w:hAnsi="仿宋" w:eastAsia="仿宋" w:cs="仿宋"/>
          <w:color w:val="auto"/>
          <w:sz w:val="32"/>
          <w:szCs w:val="32"/>
          <w:lang w:val="en-US" w:eastAsia="zh-CN"/>
        </w:rPr>
        <w:t>魏源老年公寓</w:t>
      </w:r>
      <w:bookmarkEnd w:id="0"/>
      <w:r>
        <w:rPr>
          <w:rFonts w:hint="default" w:ascii="仿宋" w:hAnsi="仿宋" w:eastAsia="仿宋" w:cs="仿宋"/>
          <w:color w:val="auto"/>
          <w:sz w:val="32"/>
          <w:szCs w:val="32"/>
          <w:lang w:val="en-US" w:eastAsia="zh-CN"/>
        </w:rPr>
        <w:t>相关情况的核查报告》。2026年1月，根据县人民政府常务会议安排，由</w:t>
      </w:r>
      <w:r>
        <w:rPr>
          <w:rFonts w:hint="eastAsia" w:ascii="仿宋" w:hAnsi="仿宋" w:eastAsia="仿宋" w:cs="仿宋"/>
          <w:color w:val="auto"/>
          <w:sz w:val="32"/>
          <w:szCs w:val="32"/>
          <w:lang w:val="en-US" w:eastAsia="zh-CN"/>
        </w:rPr>
        <w:t>副县长提名人选</w:t>
      </w:r>
      <w:r>
        <w:rPr>
          <w:rFonts w:hint="default" w:ascii="仿宋" w:hAnsi="仿宋" w:eastAsia="仿宋" w:cs="仿宋"/>
          <w:color w:val="auto"/>
          <w:sz w:val="32"/>
          <w:szCs w:val="32"/>
          <w:lang w:val="en-US" w:eastAsia="zh-CN"/>
        </w:rPr>
        <w:t>李海卫牵头，组织县发改局、财政局、民政局、卫健局、农业农村局等部门，依据2017年备案收费标准、湘发改价费规〔2023〕118号文件规定的自主定价情况及基础运营成本测算结果，对拟调整的救助保障标准进行核准，形成《关于全县失能失智集中特困供养人员与监测户救助标准的核准报告》。</w:t>
      </w:r>
    </w:p>
    <w:p w14:paraId="5FC5C59E">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征求意见：</w:t>
      </w:r>
      <w:r>
        <w:rPr>
          <w:rFonts w:hint="eastAsia" w:ascii="仿宋" w:hAnsi="仿宋" w:eastAsia="仿宋" w:cs="仿宋"/>
          <w:color w:val="auto"/>
          <w:sz w:val="32"/>
          <w:szCs w:val="32"/>
        </w:rPr>
        <w:t>草案</w:t>
      </w:r>
      <w:r>
        <w:rPr>
          <w:rFonts w:hint="eastAsia" w:ascii="仿宋" w:hAnsi="仿宋" w:eastAsia="仿宋" w:cs="仿宋"/>
          <w:color w:val="auto"/>
          <w:sz w:val="32"/>
          <w:szCs w:val="32"/>
          <w:lang w:val="en-US" w:eastAsia="zh-CN"/>
        </w:rPr>
        <w:t>广泛</w:t>
      </w:r>
      <w:r>
        <w:rPr>
          <w:rFonts w:hint="eastAsia" w:ascii="仿宋" w:hAnsi="仿宋" w:eastAsia="仿宋" w:cs="仿宋"/>
          <w:color w:val="auto"/>
          <w:sz w:val="32"/>
          <w:szCs w:val="32"/>
        </w:rPr>
        <w:t>向乡镇（街道）</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救助</w:t>
      </w:r>
      <w:r>
        <w:rPr>
          <w:rFonts w:hint="eastAsia" w:ascii="仿宋" w:hAnsi="仿宋" w:eastAsia="仿宋" w:cs="仿宋"/>
          <w:color w:val="auto"/>
          <w:sz w:val="32"/>
          <w:szCs w:val="32"/>
        </w:rPr>
        <w:t>机构及社会公众征求意见</w:t>
      </w:r>
      <w:r>
        <w:rPr>
          <w:rFonts w:hint="eastAsia" w:ascii="仿宋" w:hAnsi="仿宋" w:eastAsia="仿宋" w:cs="仿宋"/>
          <w:color w:val="auto"/>
          <w:sz w:val="32"/>
          <w:szCs w:val="32"/>
          <w:lang w:eastAsia="zh-CN"/>
        </w:rPr>
        <w:t>；</w:t>
      </w:r>
    </w:p>
    <w:p w14:paraId="3826E70D">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争议协调</w:t>
      </w:r>
    </w:p>
    <w:p w14:paraId="61B8D87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关于救助标准：联合核查组建议统一调整为2800元/人/月，但核准过程中发现该建议未体现护理等级差异化。经多部门协商，最终确定</w:t>
      </w:r>
      <w:r>
        <w:rPr>
          <w:rFonts w:hint="default" w:ascii="仿宋" w:hAnsi="仿宋" w:eastAsia="仿宋" w:cs="仿宋"/>
          <w:color w:val="auto"/>
          <w:sz w:val="32"/>
          <w:szCs w:val="32"/>
          <w:lang w:val="en-US" w:eastAsia="zh-CN"/>
        </w:rPr>
        <w:t>失能失智集中特困供养人员与监测户</w:t>
      </w:r>
      <w:r>
        <w:rPr>
          <w:rFonts w:hint="eastAsia" w:ascii="仿宋" w:hAnsi="仿宋" w:eastAsia="仿宋" w:cs="仿宋"/>
          <w:color w:val="auto"/>
          <w:sz w:val="32"/>
          <w:szCs w:val="32"/>
        </w:rPr>
        <w:t>按护理等级分类别实施救助：全护理2900元/人/月、半护理2700元/人/月，既体现精准救助，又符合成本核算结果。</w:t>
      </w:r>
    </w:p>
    <w:p w14:paraId="71C1E29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关于</w:t>
      </w:r>
      <w:r>
        <w:rPr>
          <w:rFonts w:hint="default" w:ascii="仿宋" w:hAnsi="仿宋" w:eastAsia="仿宋" w:cs="仿宋"/>
          <w:color w:val="auto"/>
          <w:sz w:val="32"/>
          <w:szCs w:val="32"/>
          <w:lang w:val="en-US" w:eastAsia="zh-CN"/>
        </w:rPr>
        <w:t>失能失智</w:t>
      </w:r>
      <w:r>
        <w:rPr>
          <w:rFonts w:hint="eastAsia" w:ascii="仿宋" w:hAnsi="仿宋" w:eastAsia="仿宋" w:cs="仿宋"/>
          <w:color w:val="auto"/>
          <w:sz w:val="32"/>
          <w:szCs w:val="32"/>
        </w:rPr>
        <w:t>监测户资金来源：针对60周岁以上监测户中低保对象及80周岁以上低保户，经县财政、民政、卫健多轮协商，最终确定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分类补助、分级负担</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方案：此类对象由县民政按2470元/人/月（含低保金、残疾人两项补贴、高龄补贴及绩效补贴）补助，县财政分别按全护理430元/人/月、半护理230元/人/月补助；其余监测户由县财政全额保障。</w:t>
      </w:r>
    </w:p>
    <w:p w14:paraId="0B39B43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关于</w:t>
      </w:r>
      <w:r>
        <w:rPr>
          <w:rFonts w:hint="default" w:ascii="仿宋" w:hAnsi="仿宋" w:eastAsia="仿宋" w:cs="仿宋"/>
          <w:color w:val="auto"/>
          <w:sz w:val="32"/>
          <w:szCs w:val="32"/>
          <w:lang w:val="en-US" w:eastAsia="zh-CN"/>
        </w:rPr>
        <w:t>失能失智</w:t>
      </w:r>
      <w:r>
        <w:rPr>
          <w:rFonts w:hint="eastAsia" w:ascii="仿宋" w:hAnsi="仿宋" w:eastAsia="仿宋" w:cs="仿宋"/>
          <w:color w:val="auto"/>
          <w:sz w:val="32"/>
          <w:szCs w:val="32"/>
        </w:rPr>
        <w:t>特困供养人员资金来源：根据邵市政办发〔2021〕11号及隆民发〔2025〕6号文件精神，县民政按全护理1795元/人/月、半护理1378元/人/月补助，县财政分别按全护理1105元/人/月、半护理1322元/人/月补助。</w:t>
      </w:r>
    </w:p>
    <w:p w14:paraId="16DB761F">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方正仿宋_GB2312" w:hAnsi="方正仿宋_GB2312" w:eastAsia="方正仿宋_GB2312" w:cs="方正仿宋_GB2312"/>
          <w:b/>
          <w:bCs/>
          <w:color w:val="auto"/>
          <w:sz w:val="32"/>
          <w:szCs w:val="32"/>
        </w:rPr>
      </w:pPr>
      <w:r>
        <w:rPr>
          <w:rFonts w:hint="eastAsia" w:ascii="方正仿宋_GB2312" w:hAnsi="方正仿宋_GB2312" w:eastAsia="方正仿宋_GB2312" w:cs="方正仿宋_GB2312"/>
          <w:b/>
          <w:bCs/>
          <w:color w:val="auto"/>
          <w:sz w:val="32"/>
          <w:szCs w:val="32"/>
        </w:rPr>
        <w:t>（二）重大问题说明</w:t>
      </w:r>
    </w:p>
    <w:p w14:paraId="7FD0A74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关于资金结算</w:t>
      </w:r>
      <w:r>
        <w:rPr>
          <w:rFonts w:hint="eastAsia" w:ascii="仿宋" w:hAnsi="仿宋" w:eastAsia="仿宋" w:cs="仿宋"/>
          <w:color w:val="auto"/>
          <w:sz w:val="32"/>
          <w:szCs w:val="32"/>
          <w:lang w:val="en-US" w:eastAsia="zh-CN"/>
        </w:rPr>
        <w:t>流程</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公安部门送治的</w:t>
      </w:r>
      <w:r>
        <w:rPr>
          <w:rFonts w:hint="eastAsia" w:ascii="仿宋" w:hAnsi="仿宋" w:eastAsia="仿宋" w:cs="仿宋"/>
          <w:color w:val="auto"/>
          <w:sz w:val="32"/>
          <w:szCs w:val="32"/>
        </w:rPr>
        <w:t>肇事肇祸精神障碍患者经医保报销后的</w:t>
      </w:r>
      <w:r>
        <w:rPr>
          <w:rFonts w:hint="eastAsia" w:ascii="仿宋" w:hAnsi="仿宋" w:eastAsia="仿宋" w:cs="仿宋"/>
          <w:color w:val="auto"/>
          <w:sz w:val="32"/>
          <w:szCs w:val="32"/>
          <w:lang w:val="en-US" w:eastAsia="zh-CN"/>
        </w:rPr>
        <w:t>自付医疗费</w:t>
      </w:r>
      <w:r>
        <w:rPr>
          <w:rFonts w:hint="eastAsia" w:ascii="仿宋" w:hAnsi="仿宋" w:eastAsia="仿宋" w:cs="仿宋"/>
          <w:color w:val="auto"/>
          <w:sz w:val="32"/>
          <w:szCs w:val="32"/>
        </w:rPr>
        <w:t>、生活费、</w:t>
      </w:r>
      <w:r>
        <w:rPr>
          <w:rFonts w:hint="eastAsia" w:ascii="仿宋" w:hAnsi="仿宋" w:eastAsia="仿宋" w:cs="仿宋"/>
          <w:color w:val="auto"/>
          <w:sz w:val="32"/>
          <w:szCs w:val="32"/>
          <w:lang w:val="en-US" w:eastAsia="zh-CN"/>
        </w:rPr>
        <w:t>照护</w:t>
      </w:r>
      <w:r>
        <w:rPr>
          <w:rFonts w:hint="eastAsia" w:ascii="仿宋" w:hAnsi="仿宋" w:eastAsia="仿宋" w:cs="仿宋"/>
          <w:color w:val="auto"/>
          <w:sz w:val="32"/>
          <w:szCs w:val="32"/>
        </w:rPr>
        <w:t>费</w:t>
      </w:r>
      <w:r>
        <w:rPr>
          <w:rFonts w:hint="eastAsia" w:ascii="仿宋" w:hAnsi="仿宋" w:eastAsia="仿宋" w:cs="仿宋"/>
          <w:color w:val="auto"/>
          <w:sz w:val="32"/>
          <w:szCs w:val="32"/>
          <w:lang w:eastAsia="zh-CN"/>
        </w:rPr>
        <w:t>等，</w:t>
      </w:r>
      <w:r>
        <w:rPr>
          <w:rFonts w:hint="eastAsia" w:ascii="仿宋" w:hAnsi="仿宋" w:eastAsia="仿宋" w:cs="仿宋"/>
          <w:color w:val="auto"/>
          <w:sz w:val="32"/>
          <w:szCs w:val="32"/>
        </w:rPr>
        <w:t>不</w:t>
      </w:r>
      <w:r>
        <w:rPr>
          <w:rFonts w:hint="eastAsia" w:ascii="仿宋" w:hAnsi="仿宋" w:eastAsia="仿宋" w:cs="仿宋"/>
          <w:color w:val="auto"/>
          <w:sz w:val="32"/>
          <w:szCs w:val="32"/>
          <w:lang w:val="en-US" w:eastAsia="zh-CN"/>
        </w:rPr>
        <w:t>属</w:t>
      </w:r>
      <w:r>
        <w:rPr>
          <w:rFonts w:hint="eastAsia" w:ascii="仿宋" w:hAnsi="仿宋" w:eastAsia="仿宋" w:cs="仿宋"/>
          <w:color w:val="auto"/>
          <w:sz w:val="32"/>
          <w:szCs w:val="32"/>
        </w:rPr>
        <w:t>医保报销</w:t>
      </w:r>
      <w:r>
        <w:rPr>
          <w:rFonts w:hint="eastAsia" w:ascii="仿宋" w:hAnsi="仿宋" w:eastAsia="仿宋" w:cs="仿宋"/>
          <w:color w:val="auto"/>
          <w:sz w:val="32"/>
          <w:szCs w:val="32"/>
          <w:lang w:val="en-US" w:eastAsia="zh-CN"/>
        </w:rPr>
        <w:t>病种</w:t>
      </w:r>
      <w:r>
        <w:rPr>
          <w:rFonts w:hint="eastAsia" w:ascii="仿宋" w:hAnsi="仿宋" w:eastAsia="仿宋" w:cs="仿宋"/>
          <w:color w:val="auto"/>
          <w:sz w:val="32"/>
          <w:szCs w:val="32"/>
        </w:rPr>
        <w:t>范围</w:t>
      </w:r>
      <w:r>
        <w:rPr>
          <w:rFonts w:hint="eastAsia" w:ascii="仿宋" w:hAnsi="仿宋" w:eastAsia="仿宋" w:cs="仿宋"/>
          <w:color w:val="auto"/>
          <w:sz w:val="32"/>
          <w:szCs w:val="32"/>
          <w:lang w:val="en-US" w:eastAsia="zh-CN"/>
        </w:rPr>
        <w:t>的住院医疗费、</w:t>
      </w:r>
      <w:r>
        <w:rPr>
          <w:rFonts w:hint="eastAsia" w:ascii="仿宋" w:hAnsi="仿宋" w:eastAsia="仿宋" w:cs="仿宋"/>
          <w:color w:val="auto"/>
          <w:sz w:val="32"/>
          <w:szCs w:val="32"/>
        </w:rPr>
        <w:t>生活费、</w:t>
      </w:r>
      <w:r>
        <w:rPr>
          <w:rFonts w:hint="eastAsia" w:ascii="仿宋" w:hAnsi="仿宋" w:eastAsia="仿宋" w:cs="仿宋"/>
          <w:color w:val="auto"/>
          <w:sz w:val="32"/>
          <w:szCs w:val="32"/>
          <w:lang w:val="en-US" w:eastAsia="zh-CN"/>
        </w:rPr>
        <w:t>照护</w:t>
      </w:r>
      <w:r>
        <w:rPr>
          <w:rFonts w:hint="eastAsia" w:ascii="仿宋" w:hAnsi="仿宋" w:eastAsia="仿宋" w:cs="仿宋"/>
          <w:color w:val="auto"/>
          <w:sz w:val="32"/>
          <w:szCs w:val="32"/>
        </w:rPr>
        <w:t>费</w:t>
      </w:r>
      <w:r>
        <w:rPr>
          <w:rFonts w:hint="eastAsia" w:ascii="仿宋" w:hAnsi="仿宋" w:eastAsia="仿宋" w:cs="仿宋"/>
          <w:color w:val="auto"/>
          <w:sz w:val="32"/>
          <w:szCs w:val="32"/>
          <w:lang w:eastAsia="zh-CN"/>
        </w:rPr>
        <w:t>等，</w:t>
      </w:r>
      <w:r>
        <w:rPr>
          <w:rFonts w:hint="eastAsia" w:ascii="仿宋" w:hAnsi="仿宋" w:eastAsia="仿宋" w:cs="仿宋"/>
          <w:color w:val="auto"/>
          <w:sz w:val="32"/>
          <w:szCs w:val="32"/>
          <w:lang w:val="en-US" w:eastAsia="zh-CN"/>
        </w:rPr>
        <w:t>由县、乡按比例分担解决（县财政负担80%，乡镇负担20%），明确每半年结算一次，乡镇负担20%部分由县财政局发出相关费用通知和发票，并予以配合收缴到位统一交救治医疗机构银行账户</w:t>
      </w:r>
      <w:r>
        <w:rPr>
          <w:rFonts w:hint="eastAsia" w:ascii="仿宋" w:hAnsi="仿宋" w:eastAsia="仿宋" w:cs="仿宋"/>
          <w:color w:val="auto"/>
          <w:sz w:val="32"/>
          <w:szCs w:val="32"/>
        </w:rPr>
        <w:t>。</w:t>
      </w:r>
    </w:p>
    <w:p w14:paraId="0DE86DB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三、规范性文件制定依据</w:t>
      </w:r>
    </w:p>
    <w:p w14:paraId="7C9347FB">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上位法依据：</w:t>
      </w:r>
    </w:p>
    <w:p w14:paraId="351A41E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《中华人民共和国精神卫生法》（主席令第62号，2018年修订）；</w:t>
      </w:r>
    </w:p>
    <w:p w14:paraId="629A212D">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《社会救助暂行办法》（国务院令第649号，201</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修订</w:t>
      </w:r>
      <w:r>
        <w:rPr>
          <w:rFonts w:hint="eastAsia" w:ascii="仿宋" w:hAnsi="仿宋" w:eastAsia="仿宋" w:cs="仿宋"/>
          <w:color w:val="auto"/>
          <w:sz w:val="32"/>
          <w:szCs w:val="32"/>
        </w:rPr>
        <w:t>）。</w:t>
      </w:r>
    </w:p>
    <w:p w14:paraId="3C9107C5">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2.参照依据：</w:t>
      </w:r>
    </w:p>
    <w:p w14:paraId="355294F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《湖南省民政厅 湖南</w:t>
      </w:r>
      <w:r>
        <w:rPr>
          <w:rFonts w:hint="eastAsia" w:ascii="仿宋" w:hAnsi="仿宋" w:eastAsia="仿宋" w:cs="仿宋"/>
          <w:color w:val="auto"/>
          <w:kern w:val="2"/>
          <w:sz w:val="32"/>
          <w:szCs w:val="32"/>
          <w:lang w:val="en-US" w:eastAsia="zh-CN" w:bidi="ar-SA"/>
        </w:rPr>
        <w:t>省财政厅关于调整困难群众救助保障相关标准的通知》（湘民发〔2025〕5号）；</w:t>
      </w:r>
    </w:p>
    <w:p w14:paraId="7057F39B">
      <w:pPr>
        <w:spacing w:line="400" w:lineRule="exact"/>
        <w:ind w:firstLine="640" w:firstLineChars="200"/>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《湖南省财政厅 湖南省民政厅关于印发〈湖南省困难群众救助补助资金管理办法〉的通知》（湘财社〔2022〕30号）；</w:t>
      </w:r>
    </w:p>
    <w:p w14:paraId="216035EC">
      <w:pPr>
        <w:spacing w:line="400" w:lineRule="exact"/>
        <w:ind w:firstLine="640" w:firstLineChars="200"/>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《湖南省医疗保障局 湖南省卫生健康委员会关于印发〈湖南省精神疾病医保支付管理办法〉的通知》（湘医保发〔2025〕59号）；</w:t>
      </w:r>
    </w:p>
    <w:p w14:paraId="0282B99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《邵阳市人民政府办公室 关于印发〈邵阳市推进养老服务高质量发展若干措施〉的通知》</w:t>
      </w:r>
      <w:r>
        <w:rPr>
          <w:rFonts w:hint="eastAsia" w:ascii="仿宋" w:hAnsi="仿宋" w:eastAsia="仿宋" w:cs="仿宋"/>
          <w:color w:val="auto"/>
          <w:sz w:val="32"/>
          <w:szCs w:val="32"/>
        </w:rPr>
        <w:t>（邵市政办发〔2021〕11号）；</w:t>
      </w:r>
    </w:p>
    <w:p w14:paraId="4AC113C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《隆回县人民政府</w:t>
      </w:r>
      <w:r>
        <w:rPr>
          <w:rFonts w:hint="eastAsia" w:ascii="仿宋" w:hAnsi="仿宋" w:eastAsia="仿宋" w:cs="仿宋"/>
          <w:color w:val="auto"/>
          <w:sz w:val="32"/>
          <w:szCs w:val="32"/>
        </w:rPr>
        <w:t>关于进一步规范精神疾病和失能失智人群医养结合患者住院及托养救助工作的通知</w:t>
      </w:r>
      <w:r>
        <w:rPr>
          <w:rFonts w:hint="eastAsia" w:ascii="仿宋" w:hAnsi="仿宋" w:eastAsia="仿宋" w:cs="仿宋"/>
          <w:color w:val="auto"/>
          <w:sz w:val="32"/>
          <w:szCs w:val="32"/>
          <w:lang w:val="en-US" w:eastAsia="zh-CN"/>
        </w:rPr>
        <w:t>》（隆政办发〔2025〕4号）</w:t>
      </w:r>
      <w:r>
        <w:rPr>
          <w:rFonts w:hint="eastAsia" w:ascii="仿宋" w:hAnsi="仿宋" w:eastAsia="仿宋" w:cs="仿宋"/>
          <w:color w:val="auto"/>
          <w:sz w:val="32"/>
          <w:szCs w:val="32"/>
        </w:rPr>
        <w:t>；</w:t>
      </w:r>
    </w:p>
    <w:p w14:paraId="58E767B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《隆回县民政局关于印发〈隆回县经济困难失能老年人集中照护服务工作实施方案〉的通知》（隆民发〔2024〕52号）；</w:t>
      </w:r>
    </w:p>
    <w:p w14:paraId="587D85F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隆回县民政局 隆回县财政局</w:t>
      </w:r>
      <w:r>
        <w:rPr>
          <w:rFonts w:hint="eastAsia" w:ascii="仿宋" w:hAnsi="仿宋" w:eastAsia="仿宋" w:cs="仿宋"/>
          <w:color w:val="auto"/>
          <w:sz w:val="32"/>
          <w:szCs w:val="32"/>
        </w:rPr>
        <w:t>关于</w:t>
      </w:r>
      <w:r>
        <w:rPr>
          <w:rFonts w:hint="eastAsia" w:ascii="仿宋" w:hAnsi="仿宋" w:eastAsia="仿宋" w:cs="仿宋"/>
          <w:color w:val="auto"/>
          <w:sz w:val="32"/>
          <w:szCs w:val="32"/>
          <w:lang w:val="en-US" w:eastAsia="zh-CN"/>
        </w:rPr>
        <w:t>提高</w:t>
      </w:r>
      <w:r>
        <w:rPr>
          <w:rFonts w:hint="eastAsia" w:ascii="仿宋" w:hAnsi="仿宋" w:eastAsia="仿宋" w:cs="仿宋"/>
          <w:color w:val="auto"/>
          <w:sz w:val="32"/>
          <w:szCs w:val="32"/>
        </w:rPr>
        <w:t>困难群众救助保障相关标准的通知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隆民发</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2025〕6号</w:t>
      </w:r>
      <w:r>
        <w:rPr>
          <w:rFonts w:hint="eastAsia" w:ascii="仿宋" w:hAnsi="仿宋" w:eastAsia="仿宋" w:cs="仿宋"/>
          <w:color w:val="auto"/>
          <w:sz w:val="32"/>
          <w:szCs w:val="32"/>
          <w:lang w:eastAsia="zh-CN"/>
        </w:rPr>
        <w:t>）。</w:t>
      </w:r>
    </w:p>
    <w:p w14:paraId="102F8C5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四、规范性文件的主要内容</w:t>
      </w:r>
    </w:p>
    <w:p w14:paraId="4963755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本文件共五部分，包含正文5条及8个附件，主要内容如下：</w:t>
      </w:r>
    </w:p>
    <w:p w14:paraId="14551347">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1.救助对象：</w:t>
      </w:r>
      <w:r>
        <w:rPr>
          <w:rFonts w:hint="eastAsia" w:ascii="仿宋" w:hAnsi="仿宋" w:eastAsia="仿宋" w:cs="仿宋"/>
          <w:color w:val="auto"/>
          <w:sz w:val="32"/>
          <w:szCs w:val="32"/>
          <w:lang w:val="en-US" w:eastAsia="zh-CN"/>
        </w:rPr>
        <w:t>明确精神疾病患者（含公安部门送治的未参保和不符合医保报销范围的患者）和失能失智人群（患阿尔茨海默病或严重脑血管意外后遗症引起的失能失智人群，监测户、特困供养人员不限年龄和病种）的医学诊断标准及户籍要求。</w:t>
      </w:r>
    </w:p>
    <w:p w14:paraId="2CA2FD3A">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2.救助标准和资金来源：</w:t>
      </w:r>
    </w:p>
    <w:p w14:paraId="56772D0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（1）精神疾病患者：住院医疗费医保报销后的自负费用、生活费、照护费等按</w:t>
      </w:r>
      <w:r>
        <w:rPr>
          <w:rFonts w:hint="eastAsia" w:ascii="仿宋_GB2312" w:hAnsi="仿宋_GB2312" w:eastAsia="仿宋_GB2312" w:cs="仿宋_GB2312"/>
          <w:color w:val="auto"/>
          <w:sz w:val="32"/>
          <w:szCs w:val="32"/>
          <w:lang w:val="en-US" w:eastAsia="zh-CN"/>
        </w:rPr>
        <w:t>《隆回县精神疾病住院救助补充标准》</w:t>
      </w:r>
      <w:r>
        <w:rPr>
          <w:rFonts w:hint="eastAsia" w:ascii="仿宋" w:hAnsi="仿宋" w:eastAsia="仿宋" w:cs="仿宋"/>
          <w:color w:val="auto"/>
          <w:sz w:val="32"/>
          <w:szCs w:val="32"/>
          <w:lang w:val="en-US" w:eastAsia="zh-CN"/>
        </w:rPr>
        <w:t>执行。监测户（含已消除风险人群）扣除最低生活保障资金后的差额由县财政兜底；特困供养人员基本医疗费用自付部分由县民政负担80%、收治机构负担20%。</w:t>
      </w:r>
    </w:p>
    <w:p w14:paraId="16D0B91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失能失智集中特困供养人员与监测户：按护理等级实行差异化补助标准，全护理2900元/人/月、半护理2700元/人/月。监测户中60周岁以上低保对象和80周岁以上低保户由民政与财政按比例分担，其余监测户由财政全额保障；</w:t>
      </w:r>
      <w:bookmarkStart w:id="1" w:name="OLE_LINK2"/>
      <w:r>
        <w:rPr>
          <w:rFonts w:hint="eastAsia" w:ascii="仿宋" w:hAnsi="仿宋" w:eastAsia="仿宋" w:cs="仿宋"/>
          <w:color w:val="auto"/>
          <w:sz w:val="32"/>
          <w:szCs w:val="32"/>
          <w:lang w:val="en-US" w:eastAsia="zh-CN"/>
        </w:rPr>
        <w:t>集中特困供养人员</w:t>
      </w:r>
      <w:bookmarkEnd w:id="1"/>
      <w:r>
        <w:rPr>
          <w:rFonts w:hint="eastAsia" w:ascii="仿宋" w:hAnsi="仿宋" w:eastAsia="仿宋" w:cs="仿宋"/>
          <w:color w:val="auto"/>
          <w:sz w:val="32"/>
          <w:szCs w:val="32"/>
          <w:lang w:val="en-US" w:eastAsia="zh-CN"/>
        </w:rPr>
        <w:t>由民政与财政按比例分担。</w:t>
      </w:r>
    </w:p>
    <w:p w14:paraId="25BEDA0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（3）流浪乞讨人员：按120元/天包干，由县民政兜底。</w:t>
      </w:r>
    </w:p>
    <w:p w14:paraId="38F74B8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（4）肇事肇祸患者：经医保报销后的自付费用及不属医保报销范围的费用，由县财政负担80%、乡镇负担20%；未参保患者费用由户口所在地乡镇全额解决。</w:t>
      </w:r>
    </w:p>
    <w:p w14:paraId="35091FC8">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3.机构资质：</w:t>
      </w:r>
      <w:r>
        <w:rPr>
          <w:rFonts w:hint="eastAsia" w:ascii="仿宋" w:hAnsi="仿宋" w:eastAsia="仿宋" w:cs="仿宋"/>
          <w:color w:val="auto"/>
          <w:sz w:val="32"/>
          <w:szCs w:val="32"/>
          <w:lang w:val="en-US" w:eastAsia="zh-CN"/>
        </w:rPr>
        <w:t>收治精神疾病患者须具备二级及以上精神病专科医院或二级及以上设有精神科病房的综合医院资质；收治失能失智人群需取得同时满足医疗救治和养老服务的双重资质。</w:t>
      </w:r>
    </w:p>
    <w:p w14:paraId="0E5B5BB7">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4.审批程序：</w:t>
      </w:r>
      <w:r>
        <w:rPr>
          <w:rFonts w:hint="eastAsia" w:ascii="仿宋" w:hAnsi="仿宋" w:eastAsia="仿宋" w:cs="仿宋"/>
          <w:color w:val="auto"/>
          <w:sz w:val="32"/>
          <w:szCs w:val="32"/>
          <w:lang w:val="en-US" w:eastAsia="zh-CN"/>
        </w:rPr>
        <w:t>细分特困供养人员（民政审批）、监测对象（村/社区、乡镇/街道、卫健局三级审批）、肇事肇祸患者（村/社区、乡镇/街道、派出所、公安局四级审批）三类群体的审批流程，明确特殊情况处理机制。</w:t>
      </w:r>
    </w:p>
    <w:p w14:paraId="2C7E11DD">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5.资金审核结算拨付：</w:t>
      </w:r>
      <w:r>
        <w:rPr>
          <w:rFonts w:hint="eastAsia" w:ascii="仿宋" w:hAnsi="仿宋" w:eastAsia="仿宋" w:cs="仿宋"/>
          <w:color w:val="auto"/>
          <w:sz w:val="32"/>
          <w:szCs w:val="32"/>
          <w:lang w:val="en-US" w:eastAsia="zh-CN"/>
        </w:rPr>
        <w:t>明确结算所需资料，规定县财政局、县民政局按月审核结算和拨付，县卫健局、县公安局每半年审核结算一次，结算报账单报分管县领导、常务副县长、县长审批。明确各类救助资金归口管理部门及拨付流程。</w:t>
      </w:r>
    </w:p>
    <w:p w14:paraId="3555BDB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五、其他需要说明的问题</w:t>
      </w:r>
    </w:p>
    <w:p w14:paraId="0C1DC2AA">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1.合法性：</w:t>
      </w:r>
      <w:r>
        <w:rPr>
          <w:rFonts w:hint="eastAsia" w:ascii="仿宋" w:hAnsi="仿宋" w:eastAsia="仿宋" w:cs="仿宋"/>
          <w:color w:val="auto"/>
          <w:sz w:val="32"/>
          <w:szCs w:val="32"/>
          <w:lang w:val="en-US" w:eastAsia="zh-CN"/>
        </w:rPr>
        <w:t>文件条款与《社会救助暂行办法》等上位法无冲突，并通过合法性审查和公平竞争审查；</w:t>
      </w:r>
    </w:p>
    <w:p w14:paraId="199A3393">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2.针对性：</w:t>
      </w:r>
      <w:r>
        <w:rPr>
          <w:rFonts w:hint="eastAsia" w:ascii="仿宋" w:hAnsi="仿宋" w:eastAsia="仿宋" w:cs="仿宋"/>
          <w:color w:val="auto"/>
          <w:sz w:val="32"/>
          <w:szCs w:val="32"/>
          <w:lang w:val="en-US" w:eastAsia="zh-CN"/>
        </w:rPr>
        <w:t>聚焦县域内特殊群体救助痛点，针对医保政策调整后出现的资金缺口问题，通过成本核算精准测算，制定符合实际的差异化救助标准。</w:t>
      </w:r>
    </w:p>
    <w:p w14:paraId="51976E50">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3.可操作性：</w:t>
      </w:r>
    </w:p>
    <w:p w14:paraId="4354757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（1）附件1-8提供标准化审批表及资金结算模板，减少执行偏差；</w:t>
      </w:r>
    </w:p>
    <w:p w14:paraId="5200DE7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（2）明确各部门职责边界（民政局负责特困人员、卫健局负责监测对象、公安局负责肇事肇祸患者、财政局负责资金保障），避免推诿；</w:t>
      </w:r>
    </w:p>
    <w:p w14:paraId="63C6A2E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（3）建立“政策调整衔接条款”，明确“若上级政策发生变化时，照护补助标准和分担比例随政策变化适时调整”，确保与上级新规同步更新；</w:t>
      </w:r>
    </w:p>
    <w:p w14:paraId="5B1604E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（4）设置资金分担动态调整机制，明确“如民政部门负责的经困老人上级集中供养救助惠民政策停止或专项救助资金不足时，监测户中的失能等群体低保对象的救助费用由县财政负责解决”。</w:t>
      </w:r>
    </w:p>
    <w:p w14:paraId="73C6FB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480" w:lineRule="exact"/>
        <w:ind w:right="0"/>
        <w:jc w:val="both"/>
        <w:rPr>
          <w:rFonts w:hint="eastAsia" w:ascii="仿宋" w:hAnsi="仿宋" w:eastAsia="仿宋" w:cs="仿宋"/>
          <w:i w:val="0"/>
          <w:iCs w:val="0"/>
          <w:caps w:val="0"/>
          <w:color w:val="FF0000"/>
          <w:spacing w:val="0"/>
          <w:sz w:val="32"/>
          <w:szCs w:val="32"/>
          <w:shd w:val="clear" w:color="auto" w:fill="FFFFFF"/>
        </w:rPr>
      </w:pPr>
    </w:p>
    <w:p w14:paraId="3B2570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480" w:lineRule="exact"/>
        <w:ind w:right="0"/>
        <w:jc w:val="both"/>
        <w:rPr>
          <w:rFonts w:hint="eastAsia" w:ascii="仿宋" w:hAnsi="仿宋" w:eastAsia="仿宋" w:cs="仿宋"/>
          <w:i w:val="0"/>
          <w:iCs w:val="0"/>
          <w:caps w:val="0"/>
          <w:color w:val="FF0000"/>
          <w:spacing w:val="0"/>
          <w:sz w:val="32"/>
          <w:szCs w:val="32"/>
          <w:shd w:val="clear" w:color="auto" w:fill="FFFFFF"/>
        </w:rPr>
      </w:pPr>
    </w:p>
    <w:p w14:paraId="7B2E75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480" w:lineRule="exact"/>
        <w:ind w:right="0"/>
        <w:jc w:val="both"/>
        <w:rPr>
          <w:rFonts w:hint="eastAsia" w:ascii="仿宋" w:hAnsi="仿宋" w:eastAsia="仿宋" w:cs="仿宋"/>
          <w:i w:val="0"/>
          <w:iCs w:val="0"/>
          <w:caps w:val="0"/>
          <w:color w:val="FF0000"/>
          <w:spacing w:val="0"/>
          <w:sz w:val="32"/>
          <w:szCs w:val="32"/>
          <w:shd w:val="clear" w:color="auto" w:fill="FFFFFF"/>
        </w:rPr>
      </w:pPr>
    </w:p>
    <w:p w14:paraId="01F965A3">
      <w:pPr>
        <w:spacing w:before="156" w:beforeLines="50" w:line="560" w:lineRule="exact"/>
        <w:jc w:val="both"/>
        <w:rPr>
          <w:rFonts w:hint="eastAsia" w:ascii="仿宋" w:hAnsi="仿宋" w:eastAsia="仿宋" w:cs="仿宋"/>
          <w:color w:val="auto"/>
          <w:sz w:val="32"/>
          <w:szCs w:val="32"/>
          <w:lang w:val="en-US" w:eastAsia="zh-CN"/>
        </w:rPr>
      </w:pPr>
    </w:p>
    <w:p w14:paraId="3810D132">
      <w:pPr>
        <w:spacing w:before="156" w:beforeLines="50" w:line="560" w:lineRule="exact"/>
        <w:jc w:val="both"/>
        <w:rPr>
          <w:rFonts w:hint="eastAsia" w:ascii="仿宋" w:hAnsi="仿宋" w:eastAsia="仿宋" w:cs="仿宋"/>
          <w:color w:val="auto"/>
          <w:sz w:val="32"/>
          <w:szCs w:val="32"/>
          <w:lang w:val="en-US" w:eastAsia="zh-CN"/>
        </w:rPr>
      </w:pPr>
    </w:p>
    <w:p w14:paraId="598E1AC8">
      <w:pPr>
        <w:spacing w:before="156" w:beforeLines="50" w:line="560" w:lineRule="exact"/>
        <w:jc w:val="both"/>
        <w:rPr>
          <w:rFonts w:hint="eastAsia" w:ascii="仿宋" w:hAnsi="仿宋" w:eastAsia="仿宋" w:cs="仿宋"/>
          <w:color w:val="auto"/>
          <w:sz w:val="32"/>
          <w:szCs w:val="32"/>
          <w:lang w:val="en-US" w:eastAsia="zh-CN"/>
        </w:rPr>
      </w:pPr>
    </w:p>
    <w:p w14:paraId="28AA9B37">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110034-073B-4C33-9860-8BAEF2265F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160A764-29C9-4EA6-8C1F-96E179FDA3C5}"/>
  </w:font>
  <w:font w:name="仿宋">
    <w:panose1 w:val="02010609060101010101"/>
    <w:charset w:val="86"/>
    <w:family w:val="auto"/>
    <w:pitch w:val="default"/>
    <w:sig w:usb0="800002BF" w:usb1="38CF7CFA" w:usb2="00000016" w:usb3="00000000" w:csb0="00040001" w:csb1="00000000"/>
    <w:embedRegular r:id="rId3" w:fontKey="{8B06E8BE-578C-441B-9976-5EEE48F99606}"/>
  </w:font>
  <w:font w:name="方正仿宋_GB2312">
    <w:panose1 w:val="02000000000000000000"/>
    <w:charset w:val="86"/>
    <w:family w:val="auto"/>
    <w:pitch w:val="default"/>
    <w:sig w:usb0="A00002BF" w:usb1="184F6CFA" w:usb2="00000012" w:usb3="00000000" w:csb0="00040001" w:csb1="00000000"/>
    <w:embedRegular r:id="rId4" w:fontKey="{E9CC9382-D2A3-426D-91A1-1745AE0BA3A8}"/>
  </w:font>
  <w:font w:name="仿宋_GB2312">
    <w:altName w:val="仿宋"/>
    <w:panose1 w:val="02010609030101010101"/>
    <w:charset w:val="86"/>
    <w:family w:val="modern"/>
    <w:pitch w:val="default"/>
    <w:sig w:usb0="00000000" w:usb1="00000000" w:usb2="00000000" w:usb3="00000000" w:csb0="00040000" w:csb1="00000000"/>
    <w:embedRegular r:id="rId5" w:fontKey="{5E8A47A8-FD82-4F91-BFA4-CFBB83A8B3A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F0C5B"/>
    <w:rsid w:val="738F0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
    <w:name w:val="Body Text First Indent 2"/>
    <w:basedOn w:val="1"/>
    <w:next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2026-02-27T08:44:00Z</dcterms:created>
  <dc:creator>WPS_1470879831</dc:creator>
  <cp:lastModifiedBy>WPS_1470879831</cp:lastModifiedBy>
  <dcterms:modified xsi:type="dcterms:W3CDTF">2026-02-27T08:44:46Z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5A52F58325404DC487004F02AF0D96E8_11</vt:lpwstr>
  </property>
  <property fmtid="{D5CDD505-2E9C-101B-9397-08002B2CF9AE}" pid="4" name="KSOTemplateDocerSaveRecord">
    <vt:lpwstr>eyJoZGlkIjoiM2E1ZDQ1ZDA2MTE3NTAxNjkzYmVkZjIwM2EwNmIyMDMiLCJ1c2VySWQiOiIyMzQ0MjM2MzQifQ==</vt:lpwstr>
  </property>
</Properties>
</file>