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中国共产党隆回县委员会统战部</w:t>
      </w:r>
    </w:p>
    <w:p>
      <w:pPr>
        <w:spacing w:line="560" w:lineRule="exact"/>
        <w:jc w:val="center"/>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2024年部门整体支出绩效自评报告</w:t>
      </w:r>
    </w:p>
    <w:p>
      <w:pPr>
        <w:spacing w:line="560" w:lineRule="exact"/>
        <w:ind w:firstLine="640" w:firstLineChars="200"/>
        <w:rPr>
          <w:sz w:val="32"/>
          <w:szCs w:val="32"/>
        </w:rPr>
      </w:pPr>
    </w:p>
    <w:p>
      <w:pPr>
        <w:numPr>
          <w:ilvl w:val="0"/>
          <w:numId w:val="1"/>
        </w:num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部门基本情况</w:t>
      </w:r>
    </w:p>
    <w:p>
      <w:pPr>
        <w:spacing w:line="560" w:lineRule="exact"/>
        <w:ind w:firstLine="640" w:firstLineChars="200"/>
        <w:rPr>
          <w:rFonts w:ascii="楷体" w:hAnsi="楷体" w:eastAsia="楷体" w:cs="仿宋"/>
          <w:sz w:val="32"/>
          <w:szCs w:val="32"/>
        </w:rPr>
      </w:pPr>
      <w:r>
        <w:rPr>
          <w:rFonts w:ascii="楷体" w:hAnsi="楷体" w:eastAsia="方正兰亭黑_GBK" w:cs="仿宋"/>
          <w:sz w:val="32"/>
          <w:szCs w:val="32"/>
        </w:rPr>
        <w:t>（一）</w:t>
      </w:r>
      <w:r>
        <w:rPr>
          <w:rFonts w:hint="eastAsia" w:ascii="楷体" w:hAnsi="楷体" w:eastAsia="楷体" w:cs="仿宋"/>
          <w:sz w:val="32"/>
          <w:szCs w:val="32"/>
        </w:rPr>
        <w:t>部门概况</w:t>
      </w:r>
    </w:p>
    <w:p>
      <w:pPr>
        <w:spacing w:line="560" w:lineRule="exact"/>
        <w:ind w:firstLine="640" w:firstLineChars="200"/>
        <w:rPr>
          <w:rFonts w:ascii="黑体" w:hAnsi="黑体" w:eastAsia="黑体" w:cs="仿宋"/>
          <w:bCs/>
          <w:sz w:val="32"/>
          <w:szCs w:val="32"/>
        </w:rPr>
      </w:pPr>
      <w:r>
        <w:rPr>
          <w:rFonts w:hint="eastAsia" w:ascii="仿宋" w:hAnsi="仿宋" w:eastAsia="仿宋" w:cs="仿宋"/>
          <w:sz w:val="32"/>
          <w:szCs w:val="32"/>
        </w:rPr>
        <w:t>1.部门职能。中共隆回县委统战部是中共隆回县委主管统一战线工作的职能部门，是县委在统一战线工作方面的参谋机构、组织协调机构、具体执行机构、督促检查机构，承担了解情况、掌握政策、协调关系、安排人事、增进共识、加强团结等职责。</w:t>
      </w:r>
    </w:p>
    <w:p>
      <w:pPr>
        <w:spacing w:line="560" w:lineRule="exact"/>
        <w:ind w:firstLine="640" w:firstLineChars="200"/>
        <w:rPr>
          <w:rFonts w:ascii="黑体" w:hAnsi="黑体" w:eastAsia="黑体" w:cs="仿宋"/>
          <w:bCs/>
          <w:sz w:val="32"/>
          <w:szCs w:val="32"/>
        </w:rPr>
      </w:pPr>
      <w:r>
        <w:rPr>
          <w:rFonts w:hint="eastAsia" w:ascii="仿宋" w:hAnsi="仿宋" w:eastAsia="仿宋" w:cs="仿宋"/>
          <w:sz w:val="32"/>
          <w:szCs w:val="32"/>
        </w:rPr>
        <w:t>2.机构设置情况。我部为正科级党</w:t>
      </w:r>
      <w:r>
        <w:rPr>
          <w:rFonts w:ascii="仿宋" w:hAnsi="仿宋" w:eastAsia="仿宋" w:cs="仿宋"/>
          <w:sz w:val="32"/>
          <w:szCs w:val="32"/>
        </w:rPr>
        <w:t>委部门</w:t>
      </w:r>
      <w:r>
        <w:rPr>
          <w:rFonts w:hint="eastAsia" w:ascii="仿宋" w:hAnsi="仿宋" w:eastAsia="仿宋" w:cs="仿宋"/>
          <w:sz w:val="32"/>
          <w:szCs w:val="32"/>
        </w:rPr>
        <w:t>，设办公室、政工组、侨务和港澳台组、非公经济组、民宗组，下设民族宗教事务服务中心1个</w:t>
      </w:r>
      <w:r>
        <w:rPr>
          <w:rFonts w:ascii="仿宋" w:hAnsi="仿宋" w:eastAsia="仿宋" w:cs="仿宋"/>
          <w:sz w:val="32"/>
          <w:szCs w:val="32"/>
        </w:rPr>
        <w:t>正股级</w:t>
      </w:r>
      <w:r>
        <w:rPr>
          <w:rFonts w:hint="eastAsia" w:ascii="仿宋" w:hAnsi="仿宋" w:eastAsia="仿宋" w:cs="仿宋"/>
          <w:sz w:val="32"/>
          <w:szCs w:val="32"/>
        </w:rPr>
        <w:t>事业单位。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3.人员情况。2024年末，我部在职人员实有19人，退休干部10人。</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（二）整体支出绩效目标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我部设定的整体支出绩效目标为：以习近平新时代中国特色社会主义思想为指导，全面贯彻党的二十大、二十届二中全会精神，深刻领悟“两个确立”的决定性意义，增强“四个意识”、坚定“四个自信”、做到“两个维护”，深入学习贯彻习近平总书记关于做好新时代党的统一战线工作的重要思想、关于湖南工作的重要讲话和指示批示精神，坚决贯彻落实党中央关于统战工作各项决策部署和省委、市委、县委工作要求 ，坚持稳中求进、守正创新，更加完善大统战工作格局，更加精准加强思想政治引领，更加主动服务全县高质量发展，更加有力破解重点难点问题，更加有效防范化解风险隐患，更加坚决推动落实统战工作责任制，不断增强工作针对性、实效性、创新性，为推进“农业富县、工业强县、生态秀县、教育兴县”</w:t>
      </w:r>
      <w:r>
        <w:rPr>
          <w:rFonts w:ascii="仿宋" w:hAnsi="仿宋" w:eastAsia="仿宋" w:cs="仿宋"/>
          <w:sz w:val="32"/>
          <w:szCs w:val="32"/>
        </w:rPr>
        <w:t>、</w:t>
      </w:r>
      <w:r>
        <w:rPr>
          <w:rFonts w:hint="eastAsia" w:ascii="仿宋" w:hAnsi="仿宋" w:eastAsia="仿宋" w:cs="仿宋"/>
          <w:sz w:val="32"/>
          <w:szCs w:val="32"/>
        </w:rPr>
        <w:t>建设现代化新隆回凝心聚力。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2024年的重点工作:（一）</w:t>
      </w:r>
      <w:r>
        <w:rPr>
          <w:rFonts w:hint="eastAsia" w:ascii="仿宋" w:hAnsi="仿宋" w:eastAsia="仿宋" w:cs="仿宋"/>
          <w:b/>
          <w:sz w:val="32"/>
          <w:szCs w:val="32"/>
        </w:rPr>
        <w:t>加强党的领导。</w:t>
      </w:r>
      <w:r>
        <w:rPr>
          <w:rFonts w:hint="eastAsia" w:ascii="仿宋" w:hAnsi="仿宋" w:eastAsia="仿宋" w:cs="仿宋"/>
          <w:sz w:val="32"/>
          <w:szCs w:val="32"/>
        </w:rPr>
        <w:t>提请县委常委会议研究统战工作5次，召开县委统战工作领导小组全体会议1次、专题会议1次、述职评议会议1次，召开领导小组专项机制会议7次，推动工作的落实。（二）</w:t>
      </w:r>
      <w:r>
        <w:rPr>
          <w:rFonts w:hint="eastAsia" w:ascii="仿宋" w:hAnsi="仿宋" w:eastAsia="仿宋" w:cs="仿宋"/>
          <w:b/>
          <w:sz w:val="32"/>
          <w:szCs w:val="32"/>
        </w:rPr>
        <w:t>突出政治引领。</w:t>
      </w:r>
      <w:r>
        <w:rPr>
          <w:rFonts w:hint="eastAsia" w:ascii="仿宋" w:hAnsi="仿宋" w:eastAsia="仿宋" w:cs="仿宋"/>
          <w:sz w:val="32"/>
          <w:szCs w:val="32"/>
        </w:rPr>
        <w:t>举办隆回县统一战线学习贯彻习近平总书记关于做好新时代党的统一战线工作的重要思想暨全县统战工作培训班、全县宗教政策法规培训班。组织开展党外代表人士暑期集中谈心活动，举办了全县各界人士中秋茶话会。组织县新的社会阶层人士联合会、县党外知识分子联谊会、宗教界代表人士、非公经济人士开展政治学习、主题团建、送法下乡、寻美隆回、纪律教育、爱国主义教育和县情调研等活动。</w:t>
      </w:r>
      <w:r>
        <w:rPr>
          <w:rFonts w:hint="eastAsia" w:ascii="仿宋" w:hAnsi="仿宋" w:eastAsia="仿宋" w:cs="仿宋"/>
          <w:b/>
          <w:sz w:val="32"/>
          <w:szCs w:val="32"/>
        </w:rPr>
        <w:t>（三）服务中心大局。</w:t>
      </w:r>
      <w:r>
        <w:rPr>
          <w:rFonts w:hint="eastAsia" w:ascii="仿宋" w:hAnsi="仿宋" w:eastAsia="仿宋" w:cs="仿宋"/>
          <w:sz w:val="32"/>
          <w:szCs w:val="32"/>
        </w:rPr>
        <w:t>举办民营企业座谈会、企业家接待日活动5次，交办企业诉求58个。推荐6家民营企业担任省、市优化营商环境监督点和监督员。发挥县民营企业服务中心作用，受理和有效处置民企诉求12起。落实县领导联系异地隆回商会制度，常态化开展走访和招商活动。持续开展“万企兴万村”行动，新增结对帮扶企业7家，全县共有67家企业结对帮扶89个村，实施项目80个，累计投入10亿余元。高质量承办了第五届“侨心杯”全国少年足球邀请赛。</w:t>
      </w:r>
      <w:r>
        <w:rPr>
          <w:rFonts w:hint="eastAsia" w:ascii="仿宋" w:hAnsi="仿宋" w:eastAsia="仿宋" w:cs="仿宋"/>
          <w:b/>
          <w:sz w:val="32"/>
          <w:szCs w:val="32"/>
        </w:rPr>
        <w:t>（四）树牢底线意识。</w:t>
      </w:r>
      <w:r>
        <w:rPr>
          <w:rFonts w:hint="eastAsia" w:ascii="仿宋" w:hAnsi="仿宋" w:eastAsia="仿宋" w:cs="仿宋"/>
          <w:sz w:val="32"/>
          <w:szCs w:val="32"/>
        </w:rPr>
        <w:t>在全县开展民族团结进步宣传月系列活动。组织参加湖南省旅游从业人员“铸牢中华民族共同体意识”讲解大赛并获三等奖。隆回二中获评湖南省铸牢中华民族共同体意识教育示范学校。在全县宗教活动场所开展安全隐患大排查大整治。</w:t>
      </w:r>
      <w:r>
        <w:rPr>
          <w:rFonts w:hint="eastAsia" w:ascii="仿宋" w:hAnsi="仿宋" w:eastAsia="仿宋" w:cs="仿宋"/>
          <w:b/>
          <w:sz w:val="32"/>
          <w:szCs w:val="32"/>
        </w:rPr>
        <w:t>（五）强化自身建设。</w:t>
      </w:r>
      <w:r>
        <w:rPr>
          <w:rFonts w:hint="eastAsia" w:ascii="仿宋" w:hAnsi="仿宋" w:eastAsia="仿宋" w:cs="仿宋"/>
          <w:sz w:val="32"/>
          <w:szCs w:val="32"/>
        </w:rPr>
        <w:t>指导完成县党外知识分子（无党派人士）联谊会和县道教协会、县伊斯兰教协会以及佛山市隆回商会、深圳市隆回商会换届。深化调查研究，共完成调研课题4个，配合</w:t>
      </w:r>
      <w:r>
        <w:rPr>
          <w:rFonts w:hint="eastAsia" w:ascii="仿宋" w:hAnsi="仿宋" w:eastAsia="仿宋" w:cs="仿宋"/>
          <w:color w:val="000000"/>
          <w:sz w:val="32"/>
          <w:szCs w:val="32"/>
        </w:rPr>
        <w:t>市部开展调研2次；</w:t>
      </w:r>
      <w:r>
        <w:rPr>
          <w:rFonts w:hint="eastAsia" w:ascii="仿宋" w:hAnsi="仿宋" w:eastAsia="仿宋" w:cs="仿宋"/>
          <w:sz w:val="32"/>
          <w:szCs w:val="32"/>
        </w:rPr>
        <w:t>开展党纪学习教育，深化“明方向、立规矩、正风气、强免疫”干部队伍作风建设专项整治活动，开展“讲政治规矩，强担当作为，树新风正气”专项活动。</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（三）部门整体支出情况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2024年度收入540.46万元，其中：县财政预算安排539.71万元，其他收入0.75万元。2024年部门整体支出546.71万元，其中：基本支出309.02万元，项目支出237.69万元。</w:t>
      </w:r>
    </w:p>
    <w:p>
      <w:pPr>
        <w:spacing w:line="560" w:lineRule="exact"/>
        <w:ind w:firstLine="640" w:firstLineChars="200"/>
        <w:rPr>
          <w:rFonts w:ascii="黑体" w:hAnsi="黑体" w:eastAsia="黑体" w:cs="仿宋"/>
          <w:sz w:val="32"/>
          <w:szCs w:val="32"/>
        </w:rPr>
      </w:pPr>
      <w:bookmarkStart w:id="0" w:name="OLE_LINK1"/>
      <w:r>
        <w:rPr>
          <w:rFonts w:hint="eastAsia" w:ascii="黑体" w:hAnsi="黑体" w:eastAsia="黑体" w:cs="仿宋"/>
          <w:sz w:val="32"/>
          <w:szCs w:val="32"/>
        </w:rPr>
        <w:t>二、部门整体支出管理及使用情况</w:t>
      </w:r>
    </w:p>
    <w:bookmarkEnd w:id="0"/>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（一）基本支出情况</w:t>
      </w:r>
    </w:p>
    <w:p>
      <w:pPr>
        <w:pStyle w:val="12"/>
        <w:spacing w:line="560" w:lineRule="exact"/>
        <w:ind w:firstLine="640"/>
        <w:rPr>
          <w:rFonts w:ascii="仿宋" w:hAnsi="仿宋" w:eastAsia="仿宋" w:cs="仿宋"/>
          <w:szCs w:val="32"/>
        </w:rPr>
      </w:pPr>
      <w:r>
        <w:rPr>
          <w:rFonts w:hint="eastAsia" w:ascii="仿宋" w:hAnsi="仿宋" w:eastAsia="仿宋" w:cs="仿宋"/>
          <w:szCs w:val="32"/>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309.02万元，其中：工资福利支出260.67万元，商品和服务支出40.35万元，对个人和家庭的补助支出8万元。</w:t>
      </w:r>
    </w:p>
    <w:p>
      <w:pPr>
        <w:numPr>
          <w:ilvl w:val="0"/>
          <w:numId w:val="2"/>
        </w:num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项目支出情况</w:t>
      </w:r>
    </w:p>
    <w:p>
      <w:pPr>
        <w:pStyle w:val="12"/>
        <w:spacing w:line="560" w:lineRule="exact"/>
        <w:ind w:firstLine="640"/>
        <w:rPr>
          <w:rFonts w:ascii="仿宋" w:hAnsi="仿宋" w:eastAsia="仿宋" w:cs="仿宋"/>
          <w:szCs w:val="32"/>
        </w:rPr>
      </w:pPr>
      <w:r>
        <w:rPr>
          <w:rFonts w:hint="eastAsia" w:ascii="仿宋" w:hAnsi="仿宋" w:eastAsia="仿宋" w:cs="仿宋"/>
          <w:szCs w:val="32"/>
        </w:rPr>
        <w:t>项目支出是指基本支出以外为完成相关行政任务和事业发展目标所发生的各项支出，2024年项目支出237.69元，其中：统战事务经费</w:t>
      </w:r>
      <w:r>
        <w:rPr>
          <w:rFonts w:hint="eastAsia" w:ascii="仿宋" w:hAnsi="仿宋" w:eastAsia="仿宋" w:cs="仿宋"/>
          <w:szCs w:val="32"/>
          <w:lang w:val="en-US" w:eastAsia="zh-CN"/>
        </w:rPr>
        <w:t>189.4</w:t>
      </w:r>
      <w:r>
        <w:rPr>
          <w:rFonts w:hint="eastAsia" w:ascii="仿宋" w:hAnsi="仿宋" w:eastAsia="仿宋" w:cs="仿宋"/>
          <w:szCs w:val="32"/>
        </w:rPr>
        <w:t>万元，</w:t>
      </w:r>
      <w:bookmarkStart w:id="1" w:name="_GoBack"/>
      <w:bookmarkEnd w:id="1"/>
      <w:r>
        <w:rPr>
          <w:rFonts w:hint="eastAsia" w:ascii="仿宋" w:hAnsi="仿宋" w:eastAsia="仿宋" w:cs="仿宋"/>
          <w:szCs w:val="32"/>
        </w:rPr>
        <w:t>市级新的社会阶层人士统战工作实践创新基地创建经费10万元，换届工作及其他会议经费26.77万元，乡村振兴工作经费5.72万元，统战工作培训经费3万元，中秋茶话会2.8万元。</w:t>
      </w:r>
    </w:p>
    <w:p>
      <w:pPr>
        <w:numPr>
          <w:ilvl w:val="0"/>
          <w:numId w:val="2"/>
        </w:num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“三公”经费情况</w:t>
      </w:r>
    </w:p>
    <w:p>
      <w:pPr>
        <w:pStyle w:val="7"/>
        <w:spacing w:line="560" w:lineRule="exact"/>
        <w:jc w:val="both"/>
        <w:rPr>
          <w:rFonts w:ascii="仿宋" w:hAnsi="仿宋" w:eastAsia="仿宋" w:cs="仿宋"/>
          <w:b w:val="0"/>
          <w:bCs w:val="0"/>
          <w:sz w:val="32"/>
          <w:szCs w:val="32"/>
        </w:rPr>
      </w:pPr>
      <w:r>
        <w:rPr>
          <w:rFonts w:hint="eastAsia" w:ascii="仿宋" w:hAnsi="仿宋" w:eastAsia="仿宋" w:cs="仿宋"/>
          <w:b w:val="0"/>
          <w:bCs w:val="0"/>
          <w:sz w:val="32"/>
          <w:szCs w:val="32"/>
        </w:rPr>
        <w:t xml:space="preserve">     2024年“三公”经费支出2.01万元。其中：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1．因公出国（境）费用0万元；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2．公务接待费2.01万元；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3．公务用车购置及运行费0万元。</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三、政府性基金预算支出情况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我部无政府性基金预算支出事项</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四、国有资本经营预算支出情况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我部无国有资本经营预算支出事项</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五、社会保险基金预算支出情况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我部无社会保险基金预算支出事项</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六、部门整体支出绩效情况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我部坚决贯彻落实县委、县政府决策部署，严格预算绩效管理，不断增强统筹能力，强化刚性约束，着力提升预算管理规范化、科学化、标准化水平，推动财政经费使用提质增效。全年各项经费绩效目标设定合理，预算执行有效保障部门运转及推动各项职能工作，支出基本符合年度和中长期规划要求，绩效目标基本得以实现，整体支出完成情况较好。</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（一）持续提升预算管理质量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我部继续紧扣预算管理制度改革脉络，持续加强全面预算绩效管理，进一步提高财政资源配置效率和使用效益。一是加强统筹整合，编制大事要事保障清单。统筹各类资金形成合力，编制大事要事保障清单，并细化至具体项目。二是优化支出结构，提升资源配置效率。精准保障重点刚性支出，优化支出结构，严控一般性支出；将预算绩效管理理念贯穿资金、资产、资源配置全过程，将绩效评价结果与完善政策、调整预算有机衔接。三是强化刚性约束，增强预算执行效力。坚持预算法定，实行预算编制和执行全方位、全过程监控，进一步规范预算调剂行为，实现预算指标对执行的有效控制。</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（二）不断提高财务管理水平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坚决落实县委县政府“过紧日子”的要求，厉行节约办一切事业。降低管理成本。采取积极的成本管控措施，把有限经费用于重点支出刚性支出，保证重点工作和重大活动的有序开展，保障部机关的良好运行运转。</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（三）着重加强资产管理力度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行政事业单位国有资产管理的有关规定，切实加强国有资产管理。一是开展闲置资产清查。按要求组织专人对单位闲置资产进行摸排清查，进一步提升国有资产使用效率，防范国有资产流失。二是加强管理制度学习。认真学习《湖南省省级行政事业单位国有资产处置管理办法》等新制度文件，及时掌握最新政策，不断提高资产管理业务水平。三是严格新增资产配置。建立资产管理与预算管理、财务管理有效结合的工作机制，配置资产以单位履行职能和促进事业发展需要为基础，以资产功能与单位职能相匹配为基本条件，严把资产配置关口。</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（四）不断规范政府采购行为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我部进一步规范政府采购工作，一是细化政府采购预算编制。确保政府采购与年度预算相衔接，杜绝超预算、无预算开展政府采购。二是规范政府购买服务行为。对于适合以市场化方式提供的购买服务事项，严格按照县政府制定的购买服务采购目录，依法依规实施政府购买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（五）履职效能实绩突出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我部认真完成</w:t>
      </w:r>
      <w:r>
        <w:rPr>
          <w:rFonts w:ascii="仿宋" w:hAnsi="仿宋" w:eastAsia="仿宋" w:cs="仿宋"/>
          <w:sz w:val="32"/>
          <w:szCs w:val="32"/>
        </w:rPr>
        <w:t>2024年度县直单位领导班子年度考核指标中</w:t>
      </w:r>
      <w:r>
        <w:rPr>
          <w:rFonts w:hint="eastAsia" w:ascii="仿宋" w:hAnsi="仿宋" w:eastAsia="仿宋" w:cs="仿宋"/>
          <w:sz w:val="32"/>
          <w:szCs w:val="32"/>
        </w:rPr>
        <w:t>明确的任务，在政治建设、思想建设、组织建设、作风建设、纪律建设、落实单位职能职责等方面实绩突出，自评情况较好。</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（六）社会效应愈发显著</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县委坚强领导下，坚持以习近平新时代中国特色社会主义思想为指导，推动各领域统战工作高质量发展取得新实效，统一战线工作继续呈现团结奋进、开拓活跃的良好局面，政治效益、经济效益、社会效益愈发显著。</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（七）公众满意度日益提高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在县委县政府的坚强领导下，我部着力在强化政治引领、服务中心大局、防范化解风险隐患、构建大统战工作格局上下功夫，统一战线法宝作用进一步凸显，公众满意度高。</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七、存在的问题</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预算支出与绩效目标间存在偏差。主要原因是压减一般性支出。牢固树立过“紧日子”思想，进一步加大一般性支出压减力度，压减非重点、非刚性支出。</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绩效评估体系建设水平尚待提升。一是单位绩效核心内容体系不完善，评估方法比较简单，绩效评价工作比较粗浅。二是部分产出指标设置不够精细完整，指标设计的质量和层次有待提高，取值不够科学。</w:t>
      </w:r>
    </w:p>
    <w:p>
      <w:pPr>
        <w:pStyle w:val="12"/>
        <w:spacing w:line="560" w:lineRule="exact"/>
        <w:ind w:firstLine="640"/>
        <w:rPr>
          <w:rFonts w:ascii="仿宋" w:hAnsi="仿宋" w:eastAsia="仿宋" w:cs="仿宋"/>
          <w:szCs w:val="32"/>
        </w:rPr>
      </w:pPr>
      <w:r>
        <w:rPr>
          <w:rFonts w:hint="eastAsia" w:ascii="仿宋" w:hAnsi="仿宋" w:eastAsia="仿宋" w:cs="仿宋"/>
          <w:szCs w:val="32"/>
        </w:rPr>
        <w:t>3.预算缺乏预见性和科学性，产生一定偏差，年度调整预算幅度较大。部分预算项目资金不能及时拨付，收入与支出有时间差，对应项目执行预算支出有难度。</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八、改进措施和有关建议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下一步，我部将继续落实有关文件精神，落实绩效管理责任，提高绩效管理科学化规范化标准化水平，进一步推动我部整体支出绩效水平，具体如下：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强化评估体系建设，提高绩效管理水平。不断完善充实内部评价内容和改进评估方法，从以财务自评为主升级成工作小组集体评价为主，并在年度整体支出项目支出核心绩效目标、指标设置权重取值等方面下功夫，做到评估工作更精细化和科学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2.加强单位内部监督，防范风险控制。切实完善内部控制体系和内部财会监督机制，进一步前移监督关口，强化事前事中监督，注重通过事前监督提示预警、及时控制，事中监督纠错纠偏、及时止损。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3.提升信息化水平，强化技术支持。充分利用财政“一体化”系统和单位财务内控系统，整合单位预算编制、执行、资产、采购、会计核算等业务，实现财政资金从预算安排源头到使用末端的全链条跟踪监控。</w:t>
      </w:r>
      <w:r>
        <w:rPr>
          <w:rFonts w:hint="eastAsia" w:ascii="仿宋" w:hAnsi="仿宋" w:eastAsia="仿宋" w:cs="仿宋"/>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方正兰亭黑_GBK">
    <w:altName w:val="微软雅黑"/>
    <w:panose1 w:val="00000000000000000000"/>
    <w:charset w:val="86"/>
    <w:family w:val="script"/>
    <w:pitch w:val="default"/>
    <w:sig w:usb0="00000000" w:usb1="00000000" w:usb2="0008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13B04"/>
    <w:multiLevelType w:val="singleLevel"/>
    <w:tmpl w:val="A2A13B04"/>
    <w:lvl w:ilvl="0" w:tentative="0">
      <w:start w:val="1"/>
      <w:numFmt w:val="chineseCounting"/>
      <w:suff w:val="nothing"/>
      <w:lvlText w:val="%1、"/>
      <w:lvlJc w:val="left"/>
      <w:pPr>
        <w:ind w:left="0" w:firstLine="0"/>
      </w:pPr>
      <w:rPr>
        <w:rFonts w:hint="eastAsia"/>
      </w:rPr>
    </w:lvl>
  </w:abstractNum>
  <w:abstractNum w:abstractNumId="1">
    <w:nsid w:val="CD9B8BD1"/>
    <w:multiLevelType w:val="singleLevel"/>
    <w:tmpl w:val="CD9B8BD1"/>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zAxNjZmZTU2YWIzYWViMDAyMzFjOTZmNGQzNWM0YzYifQ=="/>
  </w:docVars>
  <w:rsids>
    <w:rsidRoot w:val="001F621A"/>
    <w:rsid w:val="001F621A"/>
    <w:rsid w:val="003B2435"/>
    <w:rsid w:val="006C0B23"/>
    <w:rsid w:val="00A17205"/>
    <w:rsid w:val="00EB1C93"/>
    <w:rsid w:val="19A7259D"/>
    <w:rsid w:val="246D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6"/>
    <w:qFormat/>
    <w:uiPriority w:val="0"/>
    <w:pPr>
      <w:ind w:firstLine="420"/>
    </w:pPr>
    <w:rPr>
      <w:rFonts w:ascii="Calibri" w:hAnsi="Calibri"/>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Body Text"/>
    <w:basedOn w:val="1"/>
    <w:next w:val="1"/>
    <w:qFormat/>
    <w:uiPriority w:val="0"/>
    <w:pPr>
      <w:jc w:val="center"/>
    </w:pPr>
    <w:rPr>
      <w:rFonts w:ascii="宋体"/>
      <w:b/>
      <w:bCs/>
      <w:sz w:val="44"/>
    </w:rPr>
  </w:style>
  <w:style w:type="paragraph" w:styleId="8">
    <w:name w:val="Body Text Indent"/>
    <w:basedOn w:val="1"/>
    <w:next w:val="5"/>
    <w:uiPriority w:val="0"/>
    <w:pPr>
      <w:ind w:firstLine="200" w:firstLineChars="200"/>
    </w:pPr>
    <w:rPr>
      <w:sz w:val="32"/>
    </w:rPr>
  </w:style>
  <w:style w:type="paragraph" w:styleId="9">
    <w:name w:val="Block Text"/>
    <w:basedOn w:val="1"/>
    <w:qFormat/>
    <w:uiPriority w:val="0"/>
    <w:pPr>
      <w:spacing w:after="120"/>
      <w:ind w:left="700" w:leftChars="700" w:right="700" w:rightChars="700"/>
    </w:p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spacing w:before="100" w:beforeAutospacing="1" w:after="100" w:afterAutospacing="1"/>
      <w:jc w:val="left"/>
    </w:pPr>
    <w:rPr>
      <w:kern w:val="0"/>
      <w:sz w:val="24"/>
    </w:rPr>
  </w:style>
  <w:style w:type="paragraph" w:styleId="12">
    <w:name w:val="Body Text First Indent 2"/>
    <w:basedOn w:val="8"/>
    <w:next w:val="9"/>
    <w:qFormat/>
    <w:uiPriority w:val="0"/>
  </w:style>
  <w:style w:type="character" w:customStyle="1" w:styleId="15">
    <w:name w:val="NormalCharacter"/>
    <w:qFormat/>
    <w:uiPriority w:val="0"/>
  </w:style>
  <w:style w:type="paragraph" w:customStyle="1" w:styleId="16">
    <w:name w:val="BodyTextIndent"/>
    <w:basedOn w:val="1"/>
    <w:uiPriority w:val="0"/>
    <w:pPr>
      <w:ind w:left="200" w:leftChars="200"/>
      <w:textAlignment w:val="baseline"/>
    </w:pPr>
    <w:rPr>
      <w:kern w:val="0"/>
      <w:sz w:val="24"/>
    </w:rPr>
  </w:style>
  <w:style w:type="paragraph" w:customStyle="1" w:styleId="17">
    <w:name w:val="BodyText1I2"/>
    <w:basedOn w:val="16"/>
    <w:qFormat/>
    <w:uiPriority w:val="0"/>
    <w:pPr>
      <w:spacing w:before="100" w:beforeAutospacing="1" w:after="100" w:afterAutospacing="1"/>
      <w:ind w:firstLine="200" w:firstLineChars="200"/>
    </w:pPr>
  </w:style>
  <w:style w:type="paragraph" w:customStyle="1" w:styleId="18">
    <w:name w:val="可研正文"/>
    <w:basedOn w:val="1"/>
    <w:uiPriority w:val="0"/>
    <w:pPr>
      <w:spacing w:line="360" w:lineRule="auto"/>
      <w:ind w:firstLine="200" w:firstLineChars="200"/>
    </w:pPr>
    <w:rPr>
      <w:rFonts w:ascii="Calibri" w:hAnsi="Calibri"/>
      <w:sz w:val="24"/>
      <w:szCs w:val="52"/>
    </w:rPr>
  </w:style>
  <w:style w:type="paragraph" w:customStyle="1" w:styleId="19">
    <w:name w:val="_Style 1"/>
    <w:basedOn w:val="1"/>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63E7B-9B24-4DC3-9A53-E4C334DCF3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597</Words>
  <Characters>3409</Characters>
  <Lines>28</Lines>
  <Paragraphs>7</Paragraphs>
  <TotalTime>9</TotalTime>
  <ScaleCrop>false</ScaleCrop>
  <LinksUpToDate>false</LinksUpToDate>
  <CharactersWithSpaces>3999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2025-04-22T02:17:00Z</dcterms:created>
  <dc:creator>厚达</dc:creator>
  <cp:lastModifiedBy>厚达</cp:lastModifiedBy>
  <cp:lastPrinted>2025-04-21T01:32:00Z</cp:lastPrinted>
  <dcterms:modified xsi:type="dcterms:W3CDTF">2025-04-24T03:31:20Z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54038BDC95694B3CB347EEAD841288FB_13</vt:lpwstr>
  </property>
  <property fmtid="{D5CDD505-2E9C-101B-9397-08002B2CF9AE}" pid="4" name="commondata">
    <vt:lpwstr>eyJoZGlkIjoiOTMwYTc1NjdhMjZjMTVkMDBkM2JhMDFhN2Q5MzEyZmYifQ==</vt:lpwstr>
  </property>
  <property fmtid="{D5CDD505-2E9C-101B-9397-08002B2CF9AE}" pid="5" name="KSOTemplateDocerSaveRecord">
    <vt:lpwstr>eyJoZGlkIjoiYzAxNjZmZTU2YWIzYWViMDAyMzFjOTZmNGQzNWM0YzYiLCJ1c2VySWQiOiI0MTQwMzE4NzYifQ==</vt:lpwstr>
  </property>
</Properties>
</file>