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仿宋简体" w:hAnsi="宋体" w:eastAsia="方正仿宋简体" w:cs="宋体"/>
          <w:kern w:val="0"/>
          <w:sz w:val="32"/>
          <w:szCs w:val="32"/>
        </w:rPr>
      </w:pPr>
      <w:bookmarkStart w:id="0" w:name="_GoBack"/>
      <w:bookmarkEnd w:id="0"/>
      <w:r>
        <w:rPr>
          <w:rFonts w:hint="eastAsia" w:ascii="方正仿宋简体" w:hAnsi="宋体" w:eastAsia="方正仿宋简体" w:cs="宋体"/>
          <w:kern w:val="0"/>
          <w:sz w:val="32"/>
          <w:szCs w:val="32"/>
        </w:rPr>
        <w:t>附件</w:t>
      </w:r>
      <w:r>
        <w:rPr>
          <w:rFonts w:ascii="方正仿宋简体" w:hAnsi="宋体" w:eastAsia="方正仿宋简体" w:cs="宋体"/>
          <w:kern w:val="0"/>
          <w:sz w:val="32"/>
          <w:szCs w:val="32"/>
        </w:rPr>
        <w:t>3</w:t>
      </w: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7"/>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533"/>
        <w:gridCol w:w="1168"/>
        <w:gridCol w:w="2372"/>
        <w:gridCol w:w="605"/>
        <w:gridCol w:w="567"/>
        <w:gridCol w:w="992"/>
        <w:gridCol w:w="560"/>
        <w:gridCol w:w="7"/>
        <w:gridCol w:w="993"/>
        <w:gridCol w:w="494"/>
        <w:gridCol w:w="672"/>
        <w:gridCol w:w="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7" w:type="dxa"/>
          <w:trHeight w:val="480" w:hRule="atLeast"/>
          <w:jc w:val="center"/>
        </w:trPr>
        <w:tc>
          <w:tcPr>
            <w:tcW w:w="9071" w:type="dxa"/>
            <w:gridSpan w:val="12"/>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hint="eastAsia" w:ascii="黑体" w:hAnsi="黑体" w:eastAsia="黑体" w:cs="黑体"/>
                <w:sz w:val="24"/>
                <w:lang w:eastAsia="zh-CN"/>
              </w:rPr>
              <w:t>2021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03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10"/>
            <w:noWrap w:val="0"/>
            <w:vAlign w:val="top"/>
          </w:tcPr>
          <w:p>
            <w:pPr>
              <w:spacing w:line="540" w:lineRule="exact"/>
              <w:jc w:val="left"/>
              <w:rPr>
                <w:rFonts w:ascii="楷体" w:hAnsi="楷体" w:eastAsia="楷体" w:cs="楷体"/>
                <w:szCs w:val="21"/>
              </w:rPr>
            </w:pPr>
            <w:r>
              <w:rPr>
                <w:rFonts w:hint="eastAsia" w:ascii="仿宋" w:hAnsi="仿宋" w:eastAsia="仿宋" w:cs="仿宋"/>
                <w:b w:val="0"/>
                <w:bCs w:val="0"/>
                <w:sz w:val="24"/>
                <w:szCs w:val="24"/>
                <w:lang w:val="en-US" w:eastAsia="zh-CN"/>
              </w:rPr>
              <w:t>中共隆回县委网络安全和信息化委员会办公室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66"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14</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6"/>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56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10"/>
            <w:noWrap w:val="0"/>
            <w:vAlign w:val="top"/>
          </w:tcPr>
          <w:p>
            <w:pPr>
              <w:spacing w:line="340" w:lineRule="exact"/>
              <w:jc w:val="left"/>
              <w:rPr>
                <w:rFonts w:hint="eastAsia" w:ascii="仿宋" w:hAnsi="仿宋" w:eastAsia="仿宋" w:cs="仿宋"/>
                <w:szCs w:val="21"/>
                <w:lang w:val="en-US" w:eastAsia="zh-CN"/>
              </w:rPr>
            </w:pPr>
            <w:r>
              <w:rPr>
                <w:rFonts w:hint="eastAsia" w:ascii="仿宋" w:hAnsi="仿宋" w:eastAsia="仿宋" w:cs="仿宋"/>
                <w:szCs w:val="21"/>
                <w:lang w:val="en-US" w:eastAsia="zh-CN"/>
              </w:rPr>
              <w:t>中共隆回县委网络安全和信息化委员会办公室的主要职责是：贯彻落实中央、省委、市委关于网络安全和信息化工作的方针政策以及县委县政府的工作部署；负责县委网络安全和信息化委员会日常工作，负责协调处理网络安全和信息化重大突发事件和有关应急工作。</w:t>
            </w:r>
          </w:p>
          <w:p>
            <w:pPr>
              <w:spacing w:line="34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7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noWrap w:val="0"/>
            <w:vAlign w:val="center"/>
          </w:tcPr>
          <w:p>
            <w:pPr>
              <w:jc w:val="center"/>
              <w:rPr>
                <w:rFonts w:ascii="楷体" w:hAnsi="楷体" w:eastAsia="楷体" w:cs="楷体"/>
                <w:szCs w:val="21"/>
              </w:rPr>
            </w:pPr>
            <w:r>
              <w:rPr>
                <w:rFonts w:hint="eastAsia" w:ascii="楷体" w:hAnsi="楷体" w:eastAsia="楷体" w:cs="楷体"/>
                <w:szCs w:val="21"/>
              </w:rPr>
              <w:t>262.08</w:t>
            </w:r>
          </w:p>
        </w:tc>
        <w:tc>
          <w:tcPr>
            <w:tcW w:w="1552"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1000" w:type="dxa"/>
            <w:gridSpan w:val="2"/>
            <w:noWrap w:val="0"/>
            <w:vAlign w:val="top"/>
          </w:tcPr>
          <w:p>
            <w:pPr>
              <w:spacing w:line="560" w:lineRule="exact"/>
              <w:jc w:val="center"/>
              <w:rPr>
                <w:rFonts w:hint="eastAsia" w:ascii="楷体" w:hAnsi="楷体" w:eastAsia="楷体" w:cs="楷体"/>
                <w:szCs w:val="21"/>
                <w:lang w:val="en-US" w:eastAsia="zh-CN"/>
              </w:rPr>
            </w:pPr>
            <w:r>
              <w:rPr>
                <w:rFonts w:hint="eastAsia" w:ascii="楷体" w:hAnsi="楷体" w:eastAsia="楷体" w:cs="楷体"/>
                <w:szCs w:val="21"/>
                <w:lang w:val="en-US" w:eastAsia="zh-CN"/>
              </w:rPr>
              <w:t>-</w:t>
            </w:r>
          </w:p>
        </w:tc>
        <w:tc>
          <w:tcPr>
            <w:tcW w:w="494"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265.17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5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noWrap w:val="0"/>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w:t>
            </w:r>
          </w:p>
        </w:tc>
        <w:tc>
          <w:tcPr>
            <w:tcW w:w="1552" w:type="dxa"/>
            <w:gridSpan w:val="2"/>
            <w:noWrap w:val="0"/>
            <w:vAlign w:val="center"/>
          </w:tcPr>
          <w:p>
            <w:pPr>
              <w:spacing w:line="560" w:lineRule="exact"/>
              <w:ind w:firstLine="315" w:firstLineChars="150"/>
              <w:rPr>
                <w:rFonts w:hint="default" w:ascii="楷体" w:hAnsi="楷体" w:eastAsia="楷体" w:cs="楷体"/>
                <w:szCs w:val="21"/>
                <w:lang w:val="en-US" w:eastAsia="zh-CN"/>
              </w:rPr>
            </w:pPr>
            <w:r>
              <w:rPr>
                <w:rFonts w:hint="eastAsia" w:ascii="楷体" w:hAnsi="楷体" w:eastAsia="楷体" w:cs="楷体"/>
                <w:szCs w:val="21"/>
              </w:rPr>
              <w:t>其他收入</w:t>
            </w:r>
            <w:r>
              <w:rPr>
                <w:rFonts w:hint="eastAsia" w:ascii="楷体" w:hAnsi="楷体" w:eastAsia="楷体" w:cs="楷体"/>
                <w:szCs w:val="21"/>
                <w:lang w:val="en-US" w:eastAsia="zh-CN"/>
              </w:rPr>
              <w:t>()()</w:t>
            </w:r>
          </w:p>
        </w:tc>
        <w:tc>
          <w:tcPr>
            <w:tcW w:w="1000" w:type="dxa"/>
            <w:gridSpan w:val="2"/>
            <w:noWrap w:val="0"/>
            <w:vAlign w:val="top"/>
          </w:tcPr>
          <w:p>
            <w:pPr>
              <w:spacing w:line="240" w:lineRule="auto"/>
              <w:jc w:val="both"/>
              <w:rPr>
                <w:rFonts w:ascii="楷体" w:hAnsi="楷体" w:eastAsia="楷体" w:cs="楷体"/>
                <w:szCs w:val="21"/>
              </w:rPr>
            </w:pPr>
            <w:r>
              <w:rPr>
                <w:rFonts w:hint="eastAsia" w:ascii="宋体" w:hAnsi="宋体" w:cs="宋体"/>
                <w:i w:val="0"/>
                <w:iCs w:val="0"/>
                <w:caps w:val="0"/>
                <w:color w:val="232323"/>
                <w:spacing w:val="0"/>
                <w:sz w:val="18"/>
                <w:szCs w:val="18"/>
                <w:shd w:val="clear" w:fill="FFFFFF"/>
                <w:lang w:eastAsia="zh-CN"/>
              </w:rPr>
              <w:t>上年结转</w:t>
            </w:r>
            <w:r>
              <w:rPr>
                <w:rFonts w:hint="eastAsia" w:ascii="宋体" w:hAnsi="宋体" w:eastAsia="宋体" w:cs="宋体"/>
                <w:i w:val="0"/>
                <w:iCs w:val="0"/>
                <w:caps w:val="0"/>
                <w:color w:val="232323"/>
                <w:spacing w:val="0"/>
                <w:sz w:val="21"/>
                <w:szCs w:val="21"/>
                <w:shd w:val="clear" w:fill="FFFFFF"/>
              </w:rPr>
              <w:t>3.09</w:t>
            </w:r>
          </w:p>
        </w:tc>
        <w:tc>
          <w:tcPr>
            <w:tcW w:w="494" w:type="dxa"/>
            <w:vMerge w:val="continue"/>
            <w:noWrap w:val="0"/>
            <w:vAlign w:val="center"/>
          </w:tcPr>
          <w:p>
            <w:pPr>
              <w:spacing w:line="560" w:lineRule="exact"/>
              <w:jc w:val="center"/>
              <w:rPr>
                <w:rFonts w:ascii="楷体" w:hAnsi="楷体" w:eastAsia="楷体" w:cs="楷体"/>
                <w:szCs w:val="21"/>
              </w:rPr>
            </w:pPr>
          </w:p>
        </w:tc>
        <w:tc>
          <w:tcPr>
            <w:tcW w:w="709" w:type="dxa"/>
            <w:gridSpan w:val="2"/>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noWrap w:val="0"/>
            <w:vAlign w:val="center"/>
          </w:tcPr>
          <w:p>
            <w:pPr>
              <w:jc w:val="center"/>
              <w:rPr>
                <w:rFonts w:ascii="楷体" w:hAnsi="楷体" w:eastAsia="楷体" w:cs="楷体"/>
                <w:szCs w:val="21"/>
              </w:rPr>
            </w:pPr>
            <w:r>
              <w:rPr>
                <w:rFonts w:hint="eastAsia" w:ascii="楷体" w:hAnsi="楷体" w:eastAsia="楷体" w:cs="楷体"/>
                <w:szCs w:val="21"/>
              </w:rPr>
              <w:t>265.17</w:t>
            </w:r>
          </w:p>
        </w:tc>
        <w:tc>
          <w:tcPr>
            <w:tcW w:w="1559" w:type="dxa"/>
            <w:gridSpan w:val="3"/>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3" w:type="dxa"/>
            <w:vMerge w:val="restart"/>
            <w:noWrap w:val="0"/>
            <w:vAlign w:val="center"/>
          </w:tcPr>
          <w:p>
            <w:pPr>
              <w:jc w:val="center"/>
              <w:rPr>
                <w:rFonts w:hint="eastAsia" w:ascii="楷体" w:hAnsi="楷体" w:eastAsia="楷体" w:cs="楷体"/>
                <w:szCs w:val="21"/>
                <w:lang w:val="en-US" w:eastAsia="zh-CN"/>
              </w:rPr>
            </w:pPr>
            <w:r>
              <w:rPr>
                <w:rFonts w:hint="eastAsia" w:ascii="楷体" w:hAnsi="楷体" w:eastAsia="楷体" w:cs="楷体"/>
                <w:szCs w:val="21"/>
                <w:lang w:val="en-US" w:eastAsia="zh-CN"/>
              </w:rPr>
              <w:t>-</w:t>
            </w:r>
          </w:p>
        </w:tc>
        <w:tc>
          <w:tcPr>
            <w:tcW w:w="494"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center"/>
          </w:tcPr>
          <w:p>
            <w:pPr>
              <w:jc w:val="center"/>
              <w:rPr>
                <w:rFonts w:ascii="楷体" w:hAnsi="楷体" w:eastAsia="楷体" w:cs="楷体"/>
                <w:szCs w:val="21"/>
              </w:rPr>
            </w:pPr>
            <w:r>
              <w:rPr>
                <w:rFonts w:hint="eastAsia" w:ascii="楷体" w:hAnsi="楷体" w:eastAsia="楷体" w:cs="楷体"/>
                <w:szCs w:val="21"/>
              </w:rPr>
              <w:t>265.17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708"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noWrap w:val="0"/>
            <w:vAlign w:val="center"/>
          </w:tcPr>
          <w:p>
            <w:pPr>
              <w:jc w:val="center"/>
              <w:rPr>
                <w:rFonts w:ascii="楷体" w:hAnsi="楷体" w:eastAsia="楷体" w:cs="楷体"/>
                <w:szCs w:val="21"/>
              </w:rPr>
            </w:pPr>
            <w:r>
              <w:rPr>
                <w:rFonts w:hint="eastAsia" w:ascii="楷体" w:hAnsi="楷体" w:eastAsia="楷体" w:cs="楷体"/>
                <w:szCs w:val="21"/>
              </w:rPr>
              <w:t>3.27</w:t>
            </w:r>
          </w:p>
        </w:tc>
        <w:tc>
          <w:tcPr>
            <w:tcW w:w="1559" w:type="dxa"/>
            <w:gridSpan w:val="3"/>
            <w:vMerge w:val="continue"/>
            <w:noWrap w:val="0"/>
            <w:vAlign w:val="top"/>
          </w:tcPr>
          <w:p>
            <w:pPr>
              <w:jc w:val="center"/>
              <w:rPr>
                <w:rFonts w:ascii="楷体" w:hAnsi="楷体" w:eastAsia="楷体" w:cs="楷体"/>
                <w:szCs w:val="21"/>
              </w:rPr>
            </w:pPr>
          </w:p>
        </w:tc>
        <w:tc>
          <w:tcPr>
            <w:tcW w:w="993" w:type="dxa"/>
            <w:vMerge w:val="continue"/>
            <w:noWrap w:val="0"/>
            <w:vAlign w:val="top"/>
          </w:tcPr>
          <w:p>
            <w:pPr>
              <w:jc w:val="center"/>
              <w:rPr>
                <w:rFonts w:ascii="楷体" w:hAnsi="楷体" w:eastAsia="楷体" w:cs="楷体"/>
                <w:szCs w:val="21"/>
              </w:rPr>
            </w:pPr>
          </w:p>
        </w:tc>
        <w:tc>
          <w:tcPr>
            <w:tcW w:w="494" w:type="dxa"/>
            <w:vMerge w:val="continue"/>
            <w:noWrap w:val="0"/>
            <w:vAlign w:val="center"/>
          </w:tcPr>
          <w:p>
            <w:pPr>
              <w:jc w:val="center"/>
              <w:rPr>
                <w:rFonts w:ascii="楷体" w:hAnsi="楷体" w:eastAsia="楷体" w:cs="楷体"/>
                <w:szCs w:val="21"/>
              </w:rPr>
            </w:pPr>
          </w:p>
        </w:tc>
        <w:tc>
          <w:tcPr>
            <w:tcW w:w="709" w:type="dxa"/>
            <w:gridSpan w:val="2"/>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43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12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4"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10"/>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rPr>
              <w:t>□</w:t>
            </w:r>
            <w:r>
              <w:rPr>
                <w:rFonts w:ascii="楷体" w:hAnsi="楷体" w:eastAsia="楷体" w:cs="楷体"/>
                <w:szCs w:val="21"/>
              </w:rPr>
              <w:t xml:space="preserve">    </w:t>
            </w:r>
            <w:r>
              <w:rPr>
                <w:rFonts w:hint="eastAsia" w:ascii="楷体" w:hAnsi="楷体" w:eastAsia="楷体" w:cs="楷体"/>
                <w:szCs w:val="21"/>
              </w:rPr>
              <w:sym w:font="Wingdings 2" w:char="0052"/>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ascii="楷体" w:hAnsi="楷体" w:eastAsia="楷体" w:cs="楷体"/>
                <w:szCs w:val="21"/>
              </w:rPr>
              <w:t xml:space="preserve"> </w:t>
            </w:r>
            <w:r>
              <w:rPr>
                <w:rFonts w:hint="eastAsia" w:ascii="楷体" w:hAnsi="楷体" w:eastAsia="楷体" w:cs="楷体"/>
                <w:szCs w:val="21"/>
                <w:lang w:val="en-US" w:eastAsia="zh-CN"/>
              </w:rPr>
              <w:t>0</w:t>
            </w:r>
            <w:r>
              <w:rPr>
                <w:rFonts w:hint="eastAsia" w:ascii="楷体" w:hAnsi="楷体" w:eastAsia="楷体" w:cs="楷体"/>
                <w:szCs w:val="21"/>
              </w:rPr>
              <w:t>万元，实际采购金额</w:t>
            </w:r>
            <w:r>
              <w:rPr>
                <w:rFonts w:hint="eastAsia" w:ascii="楷体" w:hAnsi="楷体" w:eastAsia="楷体" w:cs="楷体"/>
                <w:szCs w:val="21"/>
                <w:lang w:val="en-US" w:eastAsia="zh-CN"/>
              </w:rPr>
              <w:t>0</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74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 xml:space="preserve">, </w:t>
            </w:r>
            <w:r>
              <w:rPr>
                <w:rFonts w:hint="eastAsia" w:ascii="楷体" w:hAnsi="楷体" w:eastAsia="楷体" w:cs="楷体"/>
                <w:szCs w:val="21"/>
              </w:rPr>
              <w:t>追加金额</w:t>
            </w:r>
            <w:r>
              <w:rPr>
                <w:rFonts w:hint="eastAsia" w:ascii="楷体" w:hAnsi="楷体" w:eastAsia="楷体" w:cs="楷体"/>
                <w:szCs w:val="21"/>
                <w:lang w:val="en-US" w:eastAsia="zh-CN"/>
              </w:rPr>
              <w:t>16.17</w:t>
            </w:r>
            <w:r>
              <w:rPr>
                <w:rFonts w:ascii="楷体" w:hAnsi="楷体" w:eastAsia="楷体" w:cs="楷体"/>
                <w:szCs w:val="21"/>
              </w:rPr>
              <w:t xml:space="preserve"> </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lang w:val="en-US" w:eastAsia="zh-CN"/>
              </w:rPr>
              <w:t>0</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 xml:space="preserve">: </w:t>
            </w:r>
            <w:r>
              <w:rPr>
                <w:rFonts w:hint="eastAsia" w:ascii="楷体" w:hAnsi="楷体" w:eastAsia="楷体" w:cs="楷体"/>
                <w:szCs w:val="21"/>
                <w:lang w:val="en-US" w:eastAsia="zh-CN"/>
              </w:rPr>
              <w:t>2021</w:t>
            </w:r>
            <w:r>
              <w:rPr>
                <w:rFonts w:hint="eastAsia" w:ascii="楷体" w:hAnsi="楷体" w:eastAsia="楷体" w:cs="楷体"/>
                <w:szCs w:val="21"/>
              </w:rPr>
              <w:t>年</w:t>
            </w:r>
            <w:r>
              <w:rPr>
                <w:rFonts w:ascii="楷体" w:hAnsi="楷体" w:eastAsia="楷体" w:cs="楷体"/>
                <w:szCs w:val="21"/>
              </w:rPr>
              <w:t xml:space="preserve"> </w:t>
            </w:r>
            <w:r>
              <w:rPr>
                <w:rFonts w:hint="eastAsia" w:ascii="楷体" w:hAnsi="楷体" w:eastAsia="楷体" w:cs="楷体"/>
                <w:szCs w:val="21"/>
                <w:lang w:val="en-US" w:eastAsia="zh-CN"/>
              </w:rPr>
              <w:t>1</w:t>
            </w:r>
            <w:r>
              <w:rPr>
                <w:rFonts w:ascii="楷体" w:hAnsi="楷体" w:eastAsia="楷体" w:cs="楷体"/>
                <w:szCs w:val="21"/>
              </w:rPr>
              <w:t xml:space="preserve"> </w:t>
            </w:r>
            <w:r>
              <w:rPr>
                <w:rFonts w:hint="eastAsia" w:ascii="楷体" w:hAnsi="楷体" w:eastAsia="楷体" w:cs="楷体"/>
                <w:szCs w:val="21"/>
              </w:rPr>
              <w:t>月</w:t>
            </w:r>
            <w:r>
              <w:rPr>
                <w:rFonts w:ascii="楷体" w:hAnsi="楷体" w:eastAsia="楷体" w:cs="楷体"/>
                <w:szCs w:val="21"/>
              </w:rPr>
              <w:t xml:space="preserve"> </w:t>
            </w:r>
            <w:r>
              <w:rPr>
                <w:rFonts w:hint="eastAsia" w:ascii="楷体" w:hAnsi="楷体" w:eastAsia="楷体" w:cs="楷体"/>
                <w:szCs w:val="21"/>
                <w:lang w:val="en-US" w:eastAsia="zh-CN"/>
              </w:rPr>
              <w:t>20</w:t>
            </w:r>
            <w:r>
              <w:rPr>
                <w:rFonts w:ascii="楷体" w:hAnsi="楷体" w:eastAsia="楷体" w:cs="楷体"/>
                <w:szCs w:val="21"/>
              </w:rPr>
              <w:t xml:space="preserve"> </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ascii="楷体" w:hAnsi="楷体" w:eastAsia="楷体" w:cs="楷体"/>
                <w:szCs w:val="21"/>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28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1"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10"/>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41"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1"/>
            <w:noWrap w:val="0"/>
            <w:vAlign w:val="center"/>
          </w:tcPr>
          <w:p>
            <w:pPr>
              <w:ind w:firstLine="105" w:firstLineChars="50"/>
              <w:rPr>
                <w:rFonts w:ascii="楷体" w:hAnsi="楷体" w:eastAsia="楷体" w:cs="楷体"/>
                <w:szCs w:val="21"/>
              </w:rPr>
            </w:pPr>
            <w:r>
              <w:rPr>
                <w:rFonts w:hint="eastAsia" w:ascii="仿宋" w:hAnsi="仿宋" w:eastAsia="仿宋" w:cs="仿宋"/>
                <w:szCs w:val="21"/>
              </w:rPr>
              <w:t>严格落实“四个第一时间”要求，加强网络舆情监测、研判和风险管控，推动形成舆情监测预警、分析研判和应对处置三位一体工作格局，加强新媒体从业人员引导，加强网络内容管理建设，常态化开展专项行动，确保全县不发生较大网络舆情事件；强化依法治网，全面从严管理，狠抓责任落实，着力防范和化解网络安全风险，着力加强安全管理，着力保障关键信息基础设施安全，全力提升网络安全保障能力和水平，加大网络安全检查力度，切实维护我县网络安全，不发生较大网络安全事件；精心做好习近平总书记讲话网上宣传和习近平新时代中国特色社会主义思想网上宣传，围绕中</w:t>
            </w:r>
            <w:r>
              <w:rPr>
                <w:rFonts w:hint="eastAsia" w:ascii="仿宋" w:hAnsi="仿宋" w:eastAsia="仿宋" w:cs="仿宋"/>
                <w:szCs w:val="21"/>
                <w:lang w:eastAsia="zh-CN"/>
              </w:rPr>
              <w:t>央</w:t>
            </w:r>
            <w:r>
              <w:rPr>
                <w:rFonts w:hint="eastAsia" w:ascii="仿宋" w:hAnsi="仿宋" w:eastAsia="仿宋" w:cs="仿宋"/>
                <w:szCs w:val="21"/>
              </w:rPr>
              <w:t>全会、全国两会、省委“三高四新”战略、市委“二中心一枢纽”战略、县委全面建设“三宜三融三区”现代化新隆回战略，充分发挥网络宣传评论队伍作用，不断加强在网络意识形态领域的引导作用和发言主导权，持续打通网上传播“最后一公里”，提升网上传播的覆盖面、精准度和有效性。促进帮扶凤形村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697"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1"/>
            <w:noWrap w:val="0"/>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34"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1"/>
            <w:noWrap w:val="0"/>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974" w:hRule="atLeast"/>
          <w:jc w:val="center"/>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1"/>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ascii="宋体" w:hAnsi="宋体"/>
          <w:szCs w:val="21"/>
        </w:rPr>
        <w:t xml:space="preserve"> </w:t>
      </w:r>
      <w:r>
        <w:rPr>
          <w:rFonts w:hint="eastAsia" w:ascii="宋体" w:hAnsi="宋体"/>
          <w:szCs w:val="21"/>
          <w:lang w:eastAsia="zh-CN"/>
        </w:rPr>
        <w:t>刘田清</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15211908518</w:t>
      </w:r>
      <w:r>
        <w:rPr>
          <w:rFonts w:ascii="宋体" w:hAnsi="宋体"/>
          <w:szCs w:val="21"/>
        </w:rPr>
        <w:t xml:space="preserve">      </w:t>
      </w:r>
      <w:r>
        <w:rPr>
          <w:rFonts w:hint="eastAsia" w:ascii="宋体" w:hAnsi="宋体"/>
          <w:szCs w:val="21"/>
        </w:rPr>
        <w:t>时间：</w:t>
      </w:r>
      <w:r>
        <w:rPr>
          <w:rFonts w:hint="eastAsia" w:ascii="宋体" w:hAnsi="宋体"/>
          <w:szCs w:val="21"/>
          <w:lang w:val="en-US" w:eastAsia="zh-CN"/>
        </w:rPr>
        <w:t>2022</w:t>
      </w:r>
      <w:r>
        <w:rPr>
          <w:rFonts w:hint="eastAsia" w:ascii="宋体" w:hAnsi="宋体"/>
          <w:szCs w:val="21"/>
        </w:rPr>
        <w:t>年</w:t>
      </w:r>
      <w:r>
        <w:rPr>
          <w:rFonts w:ascii="宋体" w:hAnsi="宋体"/>
          <w:szCs w:val="21"/>
        </w:rPr>
        <w:t xml:space="preserve"> </w:t>
      </w:r>
      <w:r>
        <w:rPr>
          <w:rFonts w:hint="eastAsia" w:ascii="宋体" w:hAnsi="宋体"/>
          <w:szCs w:val="21"/>
          <w:lang w:val="en-US" w:eastAsia="zh-CN"/>
        </w:rPr>
        <w:t>4</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lang w:val="en-US" w:eastAsia="zh-CN"/>
        </w:rPr>
        <w:t>22</w:t>
      </w:r>
      <w:r>
        <w:rPr>
          <w:rFonts w:ascii="宋体" w:hAnsi="宋体"/>
          <w:szCs w:val="21"/>
        </w:rPr>
        <w:t xml:space="preserve"> </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pPr>
        <w:spacing w:line="560" w:lineRule="exact"/>
        <w:rPr>
          <w:rFonts w:eastAsia="黑体"/>
          <w:kern w:val="0"/>
        </w:rPr>
      </w:pP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r>
        <w:rPr>
          <w:rFonts w:hint="eastAsia" w:ascii="黑体" w:hAnsi="宋体" w:eastAsia="黑体" w:cs="宋体"/>
          <w:kern w:val="0"/>
          <w:sz w:val="32"/>
          <w:szCs w:val="32"/>
        </w:rPr>
        <w:t>附件</w:t>
      </w:r>
      <w:r>
        <w:rPr>
          <w:rFonts w:ascii="黑体" w:hAnsi="宋体" w:eastAsia="黑体" w:cs="宋体"/>
          <w:kern w:val="0"/>
          <w:sz w:val="32"/>
          <w:szCs w:val="32"/>
        </w:rPr>
        <w:t>4</w:t>
      </w:r>
    </w:p>
    <w:p>
      <w:pPr>
        <w:spacing w:line="600" w:lineRule="exact"/>
        <w:jc w:val="center"/>
        <w:rPr>
          <w:rFonts w:hint="eastAsia" w:ascii="黑体" w:hAnsi="黑体" w:eastAsia="黑体" w:cs="黑体"/>
          <w:b/>
          <w:bCs w:val="0"/>
          <w:kern w:val="0"/>
          <w:sz w:val="36"/>
          <w:szCs w:val="36"/>
        </w:rPr>
      </w:pPr>
      <w:r>
        <w:rPr>
          <w:rFonts w:hint="eastAsia" w:ascii="黑体" w:hAnsi="黑体" w:eastAsia="黑体" w:cs="黑体"/>
          <w:b/>
          <w:bCs w:val="0"/>
          <w:kern w:val="0"/>
          <w:sz w:val="36"/>
          <w:szCs w:val="36"/>
        </w:rPr>
        <w:t>部门整体支出绩效自评报告</w:t>
      </w:r>
    </w:p>
    <w:p>
      <w:pPr>
        <w:ind w:firstLine="420" w:firstLineChars="200"/>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部门概况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640" w:firstLineChars="200"/>
        <w:jc w:val="left"/>
        <w:rPr>
          <w:rFonts w:hint="eastAsia" w:ascii="微软雅黑" w:hAnsi="微软雅黑" w:eastAsia="微软雅黑" w:cs="微软雅黑"/>
          <w:i w:val="0"/>
          <w:iCs w:val="0"/>
          <w:caps w:val="0"/>
          <w:color w:val="232323"/>
          <w:spacing w:val="0"/>
          <w:sz w:val="21"/>
          <w:szCs w:val="21"/>
        </w:rPr>
      </w:pPr>
      <w:r>
        <w:rPr>
          <w:rFonts w:hint="eastAsia" w:ascii="仿宋" w:hAnsi="仿宋" w:eastAsia="仿宋" w:cs="仿宋"/>
          <w:sz w:val="32"/>
          <w:szCs w:val="32"/>
        </w:rPr>
        <w:t>（一）部门基本情况</w:t>
      </w:r>
      <w:r>
        <w:rPr>
          <w:rFonts w:hint="eastAsia" w:ascii="仿宋_GB2312" w:hAnsi="微软雅黑" w:eastAsia="仿宋_GB2312" w:cs="仿宋_GB2312"/>
          <w:i w:val="0"/>
          <w:iCs w:val="0"/>
          <w:caps w:val="0"/>
          <w:color w:val="232323"/>
          <w:spacing w:val="0"/>
          <w:kern w:val="0"/>
          <w:sz w:val="32"/>
          <w:szCs w:val="32"/>
          <w:shd w:val="clear" w:fill="FFFFFF"/>
          <w:lang w:val="en-US" w:eastAsia="zh-CN" w:bidi="ar"/>
        </w:rPr>
        <w:t>：</w:t>
      </w:r>
      <w:r>
        <w:rPr>
          <w:rFonts w:ascii="仿宋_GB2312" w:hAnsi="微软雅黑" w:eastAsia="仿宋_GB2312" w:cs="仿宋_GB2312"/>
          <w:i w:val="0"/>
          <w:iCs w:val="0"/>
          <w:caps w:val="0"/>
          <w:color w:val="232323"/>
          <w:spacing w:val="0"/>
          <w:kern w:val="0"/>
          <w:sz w:val="32"/>
          <w:szCs w:val="32"/>
          <w:shd w:val="clear" w:fill="FFFFFF"/>
          <w:lang w:val="en-US" w:eastAsia="zh-CN" w:bidi="ar"/>
        </w:rPr>
        <w:t>中共隆回县委网络安全和信息化委员会办公室（简称：县委网信办）的主要职责是：贯彻落实中央、省委、市委关于网络安全和信息化工作的方针政策以及县委县政府的工作部署；负责县委网络安全和信息化委员会日常工作，负责协调处理网络安全和信息化重大突发事件和有关应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232323"/>
          <w:spacing w:val="0"/>
          <w:sz w:val="21"/>
          <w:szCs w:val="21"/>
        </w:rPr>
      </w:pPr>
      <w:r>
        <w:rPr>
          <w:rFonts w:hint="default" w:ascii="仿宋_GB2312" w:hAnsi="微软雅黑" w:eastAsia="仿宋_GB2312" w:cs="仿宋_GB2312"/>
          <w:i w:val="0"/>
          <w:iCs w:val="0"/>
          <w:caps w:val="0"/>
          <w:color w:val="232323"/>
          <w:spacing w:val="0"/>
          <w:kern w:val="0"/>
          <w:sz w:val="32"/>
          <w:szCs w:val="32"/>
          <w:shd w:val="clear" w:fill="FFFFFF"/>
          <w:lang w:val="en-US" w:eastAsia="zh-CN" w:bidi="ar"/>
        </w:rPr>
        <w:t>县委网信办下设1个副科级事业单位县网络舆情监测中心和4个内设机构（即综合股、网络宣传评论股、网络舆情应急股和网络安全和信息化发展股）。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232323"/>
          <w:spacing w:val="0"/>
          <w:sz w:val="21"/>
          <w:szCs w:val="21"/>
        </w:rPr>
      </w:pPr>
      <w:r>
        <w:rPr>
          <w:rFonts w:hint="default" w:ascii="仿宋_GB2312" w:hAnsi="微软雅黑" w:eastAsia="仿宋_GB2312" w:cs="仿宋_GB2312"/>
          <w:i w:val="0"/>
          <w:iCs w:val="0"/>
          <w:caps w:val="0"/>
          <w:color w:val="232323"/>
          <w:spacing w:val="0"/>
          <w:kern w:val="0"/>
          <w:sz w:val="32"/>
          <w:szCs w:val="32"/>
          <w:shd w:val="clear" w:fill="FFFFFF"/>
          <w:lang w:val="en-US" w:eastAsia="zh-CN" w:bidi="ar"/>
        </w:rPr>
        <w:t>纳入202</w:t>
      </w:r>
      <w:r>
        <w:rPr>
          <w:rFonts w:hint="eastAsia" w:ascii="仿宋_GB2312" w:hAnsi="微软雅黑" w:eastAsia="仿宋_GB2312" w:cs="仿宋_GB2312"/>
          <w:i w:val="0"/>
          <w:iCs w:val="0"/>
          <w:caps w:val="0"/>
          <w:color w:val="232323"/>
          <w:spacing w:val="0"/>
          <w:kern w:val="0"/>
          <w:sz w:val="32"/>
          <w:szCs w:val="32"/>
          <w:shd w:val="clear" w:fill="FFFFFF"/>
          <w:lang w:val="en-US" w:eastAsia="zh-CN" w:bidi="ar"/>
        </w:rPr>
        <w:t>1</w:t>
      </w:r>
      <w:r>
        <w:rPr>
          <w:rFonts w:hint="default" w:ascii="仿宋_GB2312" w:hAnsi="微软雅黑" w:eastAsia="仿宋_GB2312" w:cs="仿宋_GB2312"/>
          <w:i w:val="0"/>
          <w:iCs w:val="0"/>
          <w:caps w:val="0"/>
          <w:color w:val="232323"/>
          <w:spacing w:val="0"/>
          <w:kern w:val="0"/>
          <w:sz w:val="32"/>
          <w:szCs w:val="32"/>
          <w:shd w:val="clear" w:fill="FFFFFF"/>
          <w:lang w:val="en-US" w:eastAsia="zh-CN" w:bidi="ar"/>
        </w:rPr>
        <w:t>年部门预算编制范围的二级预算单位包括：隆回县网络舆情监测中心。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232323"/>
          <w:spacing w:val="0"/>
          <w:sz w:val="21"/>
          <w:szCs w:val="21"/>
        </w:rPr>
      </w:pPr>
      <w:r>
        <w:rPr>
          <w:rFonts w:hint="default" w:ascii="仿宋_GB2312" w:hAnsi="微软雅黑" w:eastAsia="仿宋_GB2312" w:cs="仿宋_GB2312"/>
          <w:i w:val="0"/>
          <w:iCs w:val="0"/>
          <w:caps w:val="0"/>
          <w:color w:val="232323"/>
          <w:spacing w:val="0"/>
          <w:kern w:val="0"/>
          <w:sz w:val="32"/>
          <w:szCs w:val="32"/>
          <w:shd w:val="clear" w:fill="FFFFFF"/>
          <w:lang w:val="en-US" w:eastAsia="zh-CN" w:bidi="ar"/>
        </w:rPr>
        <w:t>县委网信办编制人数14人，实际人数15人（其中，在职 15人，离退休0人），遗属补助人数0人，小车编制数0台，实际0台，房屋面积330平方米。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（二）</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年的重点工作</w:t>
      </w:r>
      <w:r>
        <w:rPr>
          <w:rFonts w:hint="eastAsia" w:ascii="仿宋" w:hAnsi="仿宋" w:eastAsia="仿宋" w:cs="仿宋"/>
          <w:sz w:val="32"/>
          <w:szCs w:val="32"/>
          <w:lang w:eastAsia="zh-CN"/>
        </w:rPr>
        <w:t>。</w:t>
      </w:r>
      <w:r>
        <w:rPr>
          <w:rFonts w:hint="eastAsia" w:ascii="仿宋" w:hAnsi="仿宋" w:eastAsia="仿宋" w:cs="仿宋"/>
          <w:sz w:val="32"/>
          <w:szCs w:val="32"/>
        </w:rPr>
        <w:t>严格落实“四个第一时间”要求，加强网络舆情监测、研判和风险管控，推动形成舆情监测预警、分析研判和应对处置三位一体工作格局，加强新媒体从业人员引导，加强网络内容管理建设，常态化开展专项行动，确保全县不发生较大网络舆情事件；强化依法治网，狠抓责任落实，着力防范和化解网络安全风险，着力加强安全管理，全力提升网络安全保障能力和水平，加大网络安全检查力度，切实维护我县网络安全，不发生较大网络安全事件；</w:t>
      </w:r>
      <w:r>
        <w:rPr>
          <w:rFonts w:hint="eastAsia" w:ascii="仿宋" w:hAnsi="仿宋" w:eastAsia="仿宋" w:cs="仿宋"/>
          <w:sz w:val="32"/>
          <w:szCs w:val="32"/>
          <w:lang w:eastAsia="zh-CN"/>
        </w:rPr>
        <w:t>做好党的二十大精神宣传，</w:t>
      </w:r>
      <w:r>
        <w:rPr>
          <w:rFonts w:hint="eastAsia" w:ascii="仿宋" w:hAnsi="仿宋" w:eastAsia="仿宋" w:cs="仿宋"/>
          <w:sz w:val="32"/>
          <w:szCs w:val="32"/>
        </w:rPr>
        <w:t>精心做好习近平总书记讲话网上宣传和习近平新时代中国特色社会主义思想网上宣传</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（三）部门整体支出情况</w:t>
      </w:r>
      <w:r>
        <w:rPr>
          <w:rFonts w:hint="eastAsia" w:ascii="仿宋" w:hAnsi="仿宋" w:eastAsia="仿宋" w:cs="仿宋"/>
          <w:sz w:val="32"/>
          <w:szCs w:val="32"/>
          <w:lang w:eastAsia="zh-CN"/>
        </w:rPr>
        <w:t>。</w:t>
      </w:r>
      <w:r>
        <w:rPr>
          <w:rFonts w:ascii="仿宋_GB2312" w:hAnsi="宋体" w:eastAsia="仿宋_GB2312" w:cs="仿宋_GB2312"/>
          <w:i w:val="0"/>
          <w:iCs w:val="0"/>
          <w:caps w:val="0"/>
          <w:color w:val="232323"/>
          <w:spacing w:val="0"/>
          <w:sz w:val="32"/>
          <w:szCs w:val="32"/>
          <w:shd w:val="clear" w:fill="FFFFFF"/>
        </w:rPr>
        <w:t>202</w:t>
      </w:r>
      <w:r>
        <w:rPr>
          <w:rFonts w:hint="eastAsia" w:ascii="仿宋_GB2312" w:hAnsi="宋体" w:eastAsia="仿宋_GB2312" w:cs="仿宋_GB2312"/>
          <w:i w:val="0"/>
          <w:iCs w:val="0"/>
          <w:caps w:val="0"/>
          <w:color w:val="232323"/>
          <w:spacing w:val="0"/>
          <w:sz w:val="32"/>
          <w:szCs w:val="32"/>
          <w:shd w:val="clear" w:fill="FFFFFF"/>
          <w:lang w:val="en-US" w:eastAsia="zh-CN"/>
        </w:rPr>
        <w:t>1</w:t>
      </w:r>
      <w:r>
        <w:rPr>
          <w:rFonts w:ascii="仿宋_GB2312" w:hAnsi="宋体" w:eastAsia="仿宋_GB2312" w:cs="仿宋_GB2312"/>
          <w:i w:val="0"/>
          <w:iCs w:val="0"/>
          <w:caps w:val="0"/>
          <w:color w:val="232323"/>
          <w:spacing w:val="0"/>
          <w:sz w:val="32"/>
          <w:szCs w:val="32"/>
          <w:shd w:val="clear" w:fill="FFFFFF"/>
        </w:rPr>
        <w:t>年部门</w:t>
      </w:r>
      <w:r>
        <w:rPr>
          <w:rFonts w:hint="eastAsia" w:ascii="仿宋_GB2312" w:hAnsi="宋体" w:eastAsia="仿宋_GB2312" w:cs="仿宋_GB2312"/>
          <w:i w:val="0"/>
          <w:iCs w:val="0"/>
          <w:caps w:val="0"/>
          <w:color w:val="232323"/>
          <w:spacing w:val="0"/>
          <w:sz w:val="32"/>
          <w:szCs w:val="32"/>
          <w:shd w:val="clear" w:fill="FFFFFF"/>
          <w:lang w:eastAsia="zh-CN"/>
        </w:rPr>
        <w:t>整体</w:t>
      </w:r>
      <w:r>
        <w:rPr>
          <w:rFonts w:ascii="仿宋_GB2312" w:hAnsi="宋体" w:eastAsia="仿宋_GB2312" w:cs="仿宋_GB2312"/>
          <w:i w:val="0"/>
          <w:iCs w:val="0"/>
          <w:caps w:val="0"/>
          <w:color w:val="232323"/>
          <w:spacing w:val="0"/>
          <w:sz w:val="32"/>
          <w:szCs w:val="32"/>
          <w:shd w:val="clear" w:fill="FFFFFF"/>
        </w:rPr>
        <w:t>支出</w:t>
      </w:r>
      <w:r>
        <w:rPr>
          <w:rFonts w:hint="eastAsia" w:ascii="仿宋_GB2312" w:hAnsi="宋体" w:eastAsia="仿宋_GB2312" w:cs="仿宋_GB2312"/>
          <w:i w:val="0"/>
          <w:iCs w:val="0"/>
          <w:caps w:val="0"/>
          <w:color w:val="232323"/>
          <w:spacing w:val="0"/>
          <w:sz w:val="32"/>
          <w:szCs w:val="32"/>
          <w:shd w:val="clear" w:fill="FFFFFF"/>
        </w:rPr>
        <w:t>265.17</w:t>
      </w:r>
      <w:r>
        <w:rPr>
          <w:rFonts w:hint="default" w:ascii="仿宋_GB2312" w:hAnsi="宋体" w:eastAsia="仿宋_GB2312" w:cs="仿宋_GB2312"/>
          <w:i w:val="0"/>
          <w:iCs w:val="0"/>
          <w:caps w:val="0"/>
          <w:color w:val="232323"/>
          <w:spacing w:val="0"/>
          <w:sz w:val="32"/>
          <w:szCs w:val="32"/>
          <w:shd w:val="clear" w:fill="FFFFFF"/>
        </w:rPr>
        <w:t>万元，其中，一般公共服务265.17万元，公共安全0万元，教育0万元，科学技术0万元。</w:t>
      </w:r>
    </w:p>
    <w:p>
      <w:pPr>
        <w:pStyle w:val="2"/>
        <w:numPr>
          <w:ilvl w:val="0"/>
          <w:numId w:val="0"/>
        </w:num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（一）基本支出情况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ascii="仿宋_GB2312" w:hAnsi="宋体" w:eastAsia="仿宋_GB2312" w:cs="仿宋_GB2312"/>
          <w:i w:val="0"/>
          <w:iCs w:val="0"/>
          <w:caps w:val="0"/>
          <w:color w:val="232323"/>
          <w:spacing w:val="0"/>
          <w:sz w:val="32"/>
          <w:szCs w:val="32"/>
          <w:shd w:val="clear" w:fill="FFFFFF"/>
        </w:rPr>
        <w:t>202</w:t>
      </w:r>
      <w:r>
        <w:rPr>
          <w:rFonts w:hint="eastAsia" w:ascii="仿宋_GB2312" w:hAnsi="宋体" w:eastAsia="仿宋_GB2312" w:cs="仿宋_GB2312"/>
          <w:i w:val="0"/>
          <w:iCs w:val="0"/>
          <w:caps w:val="0"/>
          <w:color w:val="232323"/>
          <w:spacing w:val="0"/>
          <w:sz w:val="32"/>
          <w:szCs w:val="32"/>
          <w:shd w:val="clear" w:fill="FFFFFF"/>
          <w:lang w:val="en-US" w:eastAsia="zh-CN"/>
        </w:rPr>
        <w:t>1</w:t>
      </w:r>
      <w:r>
        <w:rPr>
          <w:rFonts w:ascii="仿宋_GB2312" w:hAnsi="宋体" w:eastAsia="仿宋_GB2312" w:cs="仿宋_GB2312"/>
          <w:i w:val="0"/>
          <w:iCs w:val="0"/>
          <w:caps w:val="0"/>
          <w:color w:val="232323"/>
          <w:spacing w:val="0"/>
          <w:sz w:val="32"/>
          <w:szCs w:val="32"/>
          <w:shd w:val="clear" w:fill="FFFFFF"/>
        </w:rPr>
        <w:t>年部门</w:t>
      </w:r>
      <w:r>
        <w:rPr>
          <w:rFonts w:hint="eastAsia" w:ascii="仿宋_GB2312" w:hAnsi="宋体" w:eastAsia="仿宋_GB2312" w:cs="仿宋_GB2312"/>
          <w:i w:val="0"/>
          <w:iCs w:val="0"/>
          <w:caps w:val="0"/>
          <w:color w:val="232323"/>
          <w:spacing w:val="0"/>
          <w:sz w:val="32"/>
          <w:szCs w:val="32"/>
          <w:shd w:val="clear" w:fill="FFFFFF"/>
          <w:lang w:eastAsia="zh-CN"/>
        </w:rPr>
        <w:t>整体</w:t>
      </w:r>
      <w:r>
        <w:rPr>
          <w:rFonts w:ascii="仿宋_GB2312" w:hAnsi="宋体" w:eastAsia="仿宋_GB2312" w:cs="仿宋_GB2312"/>
          <w:i w:val="0"/>
          <w:iCs w:val="0"/>
          <w:caps w:val="0"/>
          <w:color w:val="232323"/>
          <w:spacing w:val="0"/>
          <w:sz w:val="32"/>
          <w:szCs w:val="32"/>
          <w:shd w:val="clear" w:fill="FFFFFF"/>
        </w:rPr>
        <w:t>支出</w:t>
      </w:r>
      <w:r>
        <w:rPr>
          <w:rFonts w:hint="default" w:ascii="仿宋_GB2312" w:hAnsi="宋体" w:eastAsia="仿宋_GB2312" w:cs="仿宋_GB2312"/>
          <w:i w:val="0"/>
          <w:iCs w:val="0"/>
          <w:caps w:val="0"/>
          <w:color w:val="232323"/>
          <w:spacing w:val="0"/>
          <w:sz w:val="32"/>
          <w:szCs w:val="32"/>
          <w:shd w:val="clear" w:fill="FFFFFF"/>
        </w:rPr>
        <w:t>265.17万元，其中，一般公共服务265.17万元</w:t>
      </w:r>
      <w:r>
        <w:rPr>
          <w:rFonts w:hint="eastAsia" w:ascii="仿宋_GB2312" w:hAnsi="宋体" w:eastAsia="仿宋_GB2312" w:cs="仿宋_GB2312"/>
          <w:i w:val="0"/>
          <w:iCs w:val="0"/>
          <w:caps w:val="0"/>
          <w:color w:val="232323"/>
          <w:spacing w:val="0"/>
          <w:sz w:val="32"/>
          <w:szCs w:val="32"/>
          <w:shd w:val="clear" w:fill="FFFFFF"/>
          <w:lang w:eastAsia="zh-CN"/>
        </w:rPr>
        <w:t>（其中:人员经费147.03万元，主要包括基本工资、津贴补贴、奖金、伙食补助费、绩效工资、机关事业单位基本养老保险缴费、职业年金缴费、职工基本医疗保险缴费、公务员医疗补助缴费、其他社会保障缴费、住房公积金、医疗费、其他工资福利支出、生活补助、医疗费补助、奖励金等；公用经费118.14万元，主要包括办公费、印刷费、咨询费、手续费、水费、电费、邮电费、差旅费、维修（护）费、租赁费、会议费、培训费、公务接待费、劳务费、委托业务费、工会经费、福利费、其他交通费用、其他商品和服务支出、办公设备购置、信息网络及软件购置更新等）</w:t>
      </w:r>
      <w:r>
        <w:rPr>
          <w:rFonts w:hint="default" w:ascii="仿宋_GB2312" w:hAnsi="宋体" w:eastAsia="仿宋_GB2312" w:cs="仿宋_GB2312"/>
          <w:i w:val="0"/>
          <w:iCs w:val="0"/>
          <w:caps w:val="0"/>
          <w:color w:val="232323"/>
          <w:spacing w:val="0"/>
          <w:sz w:val="32"/>
          <w:szCs w:val="32"/>
          <w:shd w:val="clear" w:fill="FFFFFF"/>
        </w:rPr>
        <w:t>，公共安全0万元，教育0万元，科学技术0万元。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lang w:eastAsia="zh-CN"/>
        </w:rPr>
      </w:pPr>
      <w:r>
        <w:rPr>
          <w:rFonts w:hint="eastAsia" w:eastAsia="仿宋_GB2312"/>
          <w:sz w:val="32"/>
          <w:szCs w:val="32"/>
        </w:rPr>
        <w:t>（二）项目支出情况</w:t>
      </w:r>
      <w:r>
        <w:rPr>
          <w:rFonts w:hint="eastAsia" w:eastAsia="仿宋_GB2312"/>
          <w:sz w:val="32"/>
          <w:szCs w:val="32"/>
          <w:lang w:eastAsia="zh-CN"/>
        </w:rPr>
        <w:t>：</w:t>
      </w:r>
      <w:r>
        <w:rPr>
          <w:rFonts w:hint="eastAsia" w:eastAsia="仿宋_GB2312"/>
          <w:sz w:val="32"/>
          <w:szCs w:val="32"/>
          <w:lang w:val="en-US" w:eastAsia="zh-CN"/>
        </w:rPr>
        <w:t>2021年度</w:t>
      </w:r>
      <w:r>
        <w:rPr>
          <w:rFonts w:hint="eastAsia" w:eastAsia="仿宋_GB2312"/>
          <w:sz w:val="32"/>
          <w:szCs w:val="32"/>
          <w:lang w:eastAsia="zh-CN"/>
        </w:rPr>
        <w:t>无支出。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r>
        <w:rPr>
          <w:rFonts w:hint="eastAsia" w:eastAsia="仿宋_GB2312"/>
          <w:sz w:val="32"/>
          <w:szCs w:val="32"/>
        </w:rPr>
        <w:t>（三）</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w:t>
      </w: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因公出国（境）费用</w:t>
      </w:r>
      <w:r>
        <w:rPr>
          <w:rFonts w:hint="eastAsia" w:ascii="仿宋" w:hAnsi="仿宋" w:eastAsia="仿宋" w:cs="仿宋"/>
          <w:sz w:val="32"/>
          <w:szCs w:val="32"/>
          <w:lang w:eastAsia="zh-CN"/>
        </w:rPr>
        <w:t>：无支出。</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公务接待费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3.27万元。</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eastAsia="仿宋_GB2312"/>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公务用车购置及运行费。</w:t>
      </w:r>
      <w:r>
        <w:rPr>
          <w:rFonts w:hint="eastAsia" w:ascii="仿宋" w:hAnsi="仿宋" w:eastAsia="仿宋" w:cs="仿宋"/>
          <w:sz w:val="32"/>
          <w:szCs w:val="32"/>
          <w:lang w:eastAsia="zh-CN"/>
        </w:rPr>
        <w:t>无支出。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三、部门整体支出绩效情况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2"/>
          <w:szCs w:val="32"/>
          <w:lang w:eastAsia="zh-CN"/>
        </w:rPr>
      </w:pPr>
      <w:r>
        <w:rPr>
          <w:rFonts w:hint="eastAsia" w:ascii="仿宋" w:hAnsi="仿宋" w:eastAsia="仿宋" w:cs="仿宋"/>
          <w:b w:val="0"/>
          <w:bCs w:val="0"/>
          <w:sz w:val="30"/>
          <w:szCs w:val="30"/>
        </w:rPr>
        <w:t>推进网信工作职能的优化协同高效，形成总揽全局、协调各方的网信工作领导体系。充分发挥统筹协调、参谋服务作用，做到密切配合、统一高效、形成合力。围绕县委、县政府关于网信工作的决策部署和指示</w:t>
      </w:r>
      <w:r>
        <w:rPr>
          <w:rFonts w:hint="eastAsia" w:ascii="仿宋" w:hAnsi="仿宋" w:eastAsia="仿宋" w:cs="仿宋"/>
          <w:b w:val="0"/>
          <w:bCs w:val="0"/>
          <w:spacing w:val="-6"/>
          <w:sz w:val="30"/>
          <w:szCs w:val="30"/>
        </w:rPr>
        <w:t>批示，加强督查督办，确保各项工作落地见效。推动建立县委网信委统筹协调制度、联络员制度，加快健全网络综合治理体系。</w:t>
      </w:r>
      <w:r>
        <w:rPr>
          <w:rFonts w:hint="eastAsia" w:ascii="仿宋" w:hAnsi="仿宋" w:eastAsia="仿宋" w:cs="仿宋"/>
          <w:b w:val="0"/>
          <w:bCs w:val="0"/>
          <w:sz w:val="30"/>
          <w:szCs w:val="30"/>
        </w:rPr>
        <w:t>持续深化政网互动创新</w:t>
      </w:r>
      <w:r>
        <w:rPr>
          <w:rFonts w:hint="eastAsia" w:ascii="仿宋" w:hAnsi="仿宋" w:eastAsia="仿宋" w:cs="仿宋"/>
          <w:b w:val="0"/>
          <w:bCs w:val="0"/>
          <w:sz w:val="30"/>
          <w:szCs w:val="30"/>
          <w:lang w:val="en-US" w:eastAsia="zh-CN"/>
        </w:rPr>
        <w:t>,</w:t>
      </w:r>
      <w:r>
        <w:rPr>
          <w:rFonts w:ascii="黑体" w:hAnsi="黑体" w:eastAsia="黑体"/>
          <w:sz w:val="32"/>
          <w:szCs w:val="32"/>
        </w:rPr>
        <w:t xml:space="preserve"> </w:t>
      </w:r>
      <w:r>
        <w:rPr>
          <w:rFonts w:hint="eastAsia" w:ascii="仿宋" w:hAnsi="仿宋" w:eastAsia="仿宋" w:cs="仿宋"/>
          <w:b w:val="0"/>
          <w:bCs w:val="0"/>
          <w:sz w:val="32"/>
          <w:szCs w:val="32"/>
        </w:rPr>
        <w:t>严格落实“四个第一时间”要求，加强网络舆情监测、研判和风险管控，推动形成舆情监测预警、分析研判和应对处置三位一体工作格局，加强新媒体从业人员引导，加强网络内容管理建设，常态化开展专项行动，确保全县不发生较大网络舆情事件；强化依法治网，全面从严管理，狠抓责任落实，着力防范和化解网络安全风险，着力加强安全管理，着力保障关键信息基础设施安全，全力提升网络安全保障能力和水平，加大网络安全检查力度，切实维护我县网络安全，不发生较大网络安全事件；精心做好习近平总书记讲话网上宣传和习近平新时代中国特色社会主义思想网上宣传，围绕党的二十大精神、全国两会、省委“三高四新”战略、市委“二中心一枢纽”战略、县委全面建设“三宜三融三区”现代化新隆回战略，充分发挥网络宣传评论队伍作用，不断加强在网络意识形态领域的引导作用和发言主导权，持续打通网上传播“最后一公里”，提升网上传播的覆盖面、精准度和有效性。</w:t>
      </w:r>
      <w:r>
        <w:rPr>
          <w:rFonts w:hint="eastAsia" w:ascii="仿宋" w:hAnsi="仿宋" w:eastAsia="仿宋" w:cs="仿宋"/>
          <w:b w:val="0"/>
          <w:bCs w:val="0"/>
          <w:sz w:val="32"/>
          <w:szCs w:val="32"/>
          <w:lang w:eastAsia="zh-CN"/>
        </w:rPr>
        <w:t>搞好乡村振兴驻村结对帮扶工作。</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存在的问题</w:t>
      </w:r>
    </w:p>
    <w:p>
      <w:pPr>
        <w:pStyle w:val="2"/>
        <w:numPr>
          <w:ilvl w:val="0"/>
          <w:numId w:val="3"/>
        </w:numPr>
        <w:ind w:left="800" w:leftChars="0" w:firstLine="0" w:firstLineChars="0"/>
        <w:rPr>
          <w:rFonts w:hint="eastAsia"/>
          <w:lang w:val="en-US" w:eastAsia="zh-CN"/>
        </w:rPr>
      </w:pPr>
      <w:r>
        <w:rPr>
          <w:rFonts w:hint="eastAsia"/>
          <w:lang w:val="en-US" w:eastAsia="zh-CN"/>
        </w:rPr>
        <w:t>财务业务待加强培训。</w:t>
      </w:r>
    </w:p>
    <w:p>
      <w:pPr>
        <w:pStyle w:val="2"/>
        <w:numPr>
          <w:ilvl w:val="0"/>
          <w:numId w:val="3"/>
        </w:numPr>
        <w:ind w:left="800" w:leftChars="0" w:firstLine="0" w:firstLineChars="0"/>
        <w:rPr>
          <w:rFonts w:hint="default"/>
          <w:lang w:val="en-US" w:eastAsia="zh-CN"/>
        </w:rPr>
      </w:pPr>
      <w:r>
        <w:rPr>
          <w:rFonts w:hint="default"/>
          <w:lang w:val="en-US" w:eastAsia="zh-CN"/>
        </w:rPr>
        <w:t>资产管理不完善</w:t>
      </w:r>
      <w:r>
        <w:rPr>
          <w:rFonts w:hint="eastAsia"/>
          <w:lang w:val="en-US" w:eastAsia="zh-CN"/>
        </w:rPr>
        <w:t>。</w:t>
      </w:r>
    </w:p>
    <w:p>
      <w:pPr>
        <w:pStyle w:val="2"/>
        <w:numPr>
          <w:ilvl w:val="0"/>
          <w:numId w:val="3"/>
        </w:numPr>
        <w:ind w:left="800" w:leftChars="0" w:firstLine="0" w:firstLineChars="0"/>
        <w:rPr>
          <w:rFonts w:hint="default"/>
          <w:lang w:val="en-US" w:eastAsia="zh-CN"/>
        </w:rPr>
      </w:pPr>
      <w:r>
        <w:rPr>
          <w:rFonts w:hint="eastAsia"/>
          <w:lang w:val="en-US" w:eastAsia="zh-CN"/>
        </w:rPr>
        <w:t>预算和执行有待更精准。</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改进措施和有关建议</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仿宋" w:hAnsi="仿宋" w:eastAsia="仿宋" w:cs="仿宋"/>
          <w:b w:val="0"/>
          <w:bCs w:val="0"/>
          <w:sz w:val="32"/>
          <w:szCs w:val="32"/>
          <w:lang w:eastAsia="zh-CN"/>
        </w:rPr>
      </w:pPr>
      <w:r>
        <w:rPr>
          <w:rFonts w:hint="eastAsia"/>
          <w:lang w:val="en-US" w:eastAsia="zh-CN"/>
        </w:rPr>
        <w:t xml:space="preserve">  </w:t>
      </w:r>
      <w:r>
        <w:rPr>
          <w:rFonts w:hint="eastAsia" w:ascii="仿宋" w:hAnsi="仿宋" w:eastAsia="仿宋" w:cs="仿宋"/>
          <w:b w:val="0"/>
          <w:bCs w:val="0"/>
          <w:sz w:val="32"/>
          <w:szCs w:val="32"/>
          <w:lang w:eastAsia="zh-CN"/>
        </w:rPr>
        <w:t>加强财务业务知识培训，加强</w:t>
      </w:r>
      <w:r>
        <w:rPr>
          <w:rFonts w:hint="eastAsia" w:ascii="仿宋" w:hAnsi="仿宋" w:eastAsia="仿宋" w:cs="仿宋"/>
          <w:b w:val="0"/>
          <w:bCs w:val="0"/>
          <w:sz w:val="32"/>
          <w:szCs w:val="32"/>
          <w:lang w:val="en-US" w:eastAsia="zh-CN"/>
        </w:rPr>
        <w:t>资产管理，做好采购计划，进一步加强预算执行和绩效管理。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pStyle w:val="2"/>
        <w:numPr>
          <w:ilvl w:val="0"/>
          <w:numId w:val="0"/>
        </w:numPr>
        <w:ind w:leftChars="200"/>
        <w:rPr>
          <w:rFonts w:hint="default" w:eastAsia="宋体"/>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32"/>
          <w:szCs w:val="32"/>
        </w:rPr>
      </w:pPr>
    </w:p>
    <w:p>
      <w:pPr>
        <w:spacing w:line="560" w:lineRule="exact"/>
        <w:rPr>
          <w:rFonts w:ascii="黑体" w:hAnsi="宋体" w:eastAsia="黑体" w:cs="宋体"/>
          <w:kern w:val="0"/>
          <w:sz w:val="32"/>
          <w:szCs w:val="32"/>
        </w:rPr>
      </w:pPr>
    </w:p>
    <w:p>
      <w:pPr>
        <w:spacing w:line="560" w:lineRule="exact"/>
        <w:rPr>
          <w:rFonts w:ascii="黑体" w:hAnsi="宋体" w:eastAsia="黑体" w:cs="宋体"/>
          <w:kern w:val="0"/>
          <w:sz w:val="32"/>
          <w:szCs w:val="32"/>
        </w:rPr>
      </w:pPr>
    </w:p>
    <w:p/>
    <w:p/>
    <w:p/>
    <w:sectPr>
      <w:headerReference r:id="rId3" w:type="default"/>
      <w:footerReference r:id="rId4" w:type="default"/>
      <w:footerReference r:id="rId5" w:type="even"/>
      <w:pgSz w:w="11905" w:h="16837"/>
      <w:pgMar w:top="1418"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altName w:val="Arial Unicode MS"/>
    <w:panose1 w:val="02010601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2BACF"/>
    <w:multiLevelType w:val="singleLevel"/>
    <w:tmpl w:val="B5E2BACF"/>
    <w:lvl w:ilvl="0" w:tentative="0">
      <w:start w:val="1"/>
      <w:numFmt w:val="chineseCounting"/>
      <w:suff w:val="nothing"/>
      <w:lvlText w:val="%1、"/>
      <w:lvlJc w:val="left"/>
      <w:rPr>
        <w:rFonts w:hint="eastAsia"/>
      </w:rPr>
    </w:lvl>
  </w:abstractNum>
  <w:abstractNum w:abstractNumId="1">
    <w:nsid w:val="EF7CAE16"/>
    <w:multiLevelType w:val="singleLevel"/>
    <w:tmpl w:val="EF7CAE16"/>
    <w:lvl w:ilvl="0" w:tentative="0">
      <w:start w:val="4"/>
      <w:numFmt w:val="chineseCounting"/>
      <w:suff w:val="nothing"/>
      <w:lvlText w:val="%1、"/>
      <w:lvlJc w:val="left"/>
      <w:rPr>
        <w:rFonts w:hint="eastAsia"/>
      </w:rPr>
    </w:lvl>
  </w:abstractNum>
  <w:abstractNum w:abstractNumId="2">
    <w:nsid w:val="7542C39B"/>
    <w:multiLevelType w:val="singleLevel"/>
    <w:tmpl w:val="7542C39B"/>
    <w:lvl w:ilvl="0" w:tentative="0">
      <w:start w:val="1"/>
      <w:numFmt w:val="decimal"/>
      <w:lvlText w:val="%1."/>
      <w:lvlJc w:val="left"/>
      <w:pPr>
        <w:tabs>
          <w:tab w:val="left" w:pos="312"/>
        </w:tabs>
        <w:ind w:left="800" w:leftChars="0" w:firstLine="0" w:firstLineChars="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mNmQ1MTNlNzQzOTcwYTIzOWIyMzRhMGQwMDFhYWYifQ=="/>
  </w:docVars>
  <w:rsids>
    <w:rsidRoot w:val="18D538B0"/>
    <w:rsid w:val="01600BAC"/>
    <w:rsid w:val="018E17F6"/>
    <w:rsid w:val="04676387"/>
    <w:rsid w:val="09D347BB"/>
    <w:rsid w:val="0A686BF6"/>
    <w:rsid w:val="117C2E73"/>
    <w:rsid w:val="11E9622E"/>
    <w:rsid w:val="12607728"/>
    <w:rsid w:val="13113C31"/>
    <w:rsid w:val="13C57FC2"/>
    <w:rsid w:val="13EB2DF0"/>
    <w:rsid w:val="1767588B"/>
    <w:rsid w:val="17B16819"/>
    <w:rsid w:val="18D538B0"/>
    <w:rsid w:val="18E032C2"/>
    <w:rsid w:val="192B6CEA"/>
    <w:rsid w:val="1CCF110C"/>
    <w:rsid w:val="21B552CB"/>
    <w:rsid w:val="2483632E"/>
    <w:rsid w:val="25B05D49"/>
    <w:rsid w:val="26FB185B"/>
    <w:rsid w:val="275315FC"/>
    <w:rsid w:val="2A706BB3"/>
    <w:rsid w:val="2C2B5641"/>
    <w:rsid w:val="2E2B5E45"/>
    <w:rsid w:val="2E515D05"/>
    <w:rsid w:val="2FC02FA6"/>
    <w:rsid w:val="2FF745A3"/>
    <w:rsid w:val="316450AF"/>
    <w:rsid w:val="335115F0"/>
    <w:rsid w:val="3546366F"/>
    <w:rsid w:val="357070B5"/>
    <w:rsid w:val="37C643D6"/>
    <w:rsid w:val="38FC7F68"/>
    <w:rsid w:val="3A20719A"/>
    <w:rsid w:val="3A754CC9"/>
    <w:rsid w:val="3BEA370A"/>
    <w:rsid w:val="3ECD3124"/>
    <w:rsid w:val="3F9A003D"/>
    <w:rsid w:val="40F164D7"/>
    <w:rsid w:val="475F4422"/>
    <w:rsid w:val="48302A37"/>
    <w:rsid w:val="4874505C"/>
    <w:rsid w:val="49136AFE"/>
    <w:rsid w:val="49201968"/>
    <w:rsid w:val="4BB905DA"/>
    <w:rsid w:val="4E0B709E"/>
    <w:rsid w:val="507C62DD"/>
    <w:rsid w:val="563C6D66"/>
    <w:rsid w:val="565C4B5A"/>
    <w:rsid w:val="578E37A1"/>
    <w:rsid w:val="58C76ABA"/>
    <w:rsid w:val="635B32B1"/>
    <w:rsid w:val="63AD5DD7"/>
    <w:rsid w:val="65ED7F30"/>
    <w:rsid w:val="6A522671"/>
    <w:rsid w:val="6ACB22C2"/>
    <w:rsid w:val="6C6A0E2B"/>
    <w:rsid w:val="6C801864"/>
    <w:rsid w:val="6E615BFD"/>
    <w:rsid w:val="767C2482"/>
    <w:rsid w:val="78853E63"/>
    <w:rsid w:val="7A3613CA"/>
    <w:rsid w:val="7D2A54B9"/>
    <w:rsid w:val="7FA61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3829</Words>
  <Characters>4167</Characters>
  <Lines>0</Lines>
  <Paragraphs>0</Paragraphs>
  <TotalTime>1</TotalTime>
  <ScaleCrop>false</ScaleCrop>
  <LinksUpToDate>false</LinksUpToDate>
  <CharactersWithSpaces>4301</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Administrator</cp:lastModifiedBy>
  <cp:lastPrinted>2022-04-15T09:18:00Z</cp:lastPrinted>
  <dcterms:modified xsi:type="dcterms:W3CDTF">2023-09-22T00:52:18Z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8B82F1FC056D4B238519C98C0CE7523D_13</vt:lpwstr>
  </property>
</Properties>
</file>